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448945</wp:posOffset>
            </wp:positionH>
            <wp:positionV relativeFrom="page">
              <wp:posOffset>419100</wp:posOffset>
            </wp:positionV>
            <wp:extent cx="6873875" cy="152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3875" cy="152400"/>
                    </a:xfrm>
                    <a:prstGeom prst="rect">
                      <a:avLst/>
                    </a:prstGeom>
                    <a:noFill/>
                  </pic:spPr>
                </pic:pic>
              </a:graphicData>
            </a:graphic>
          </wp:anchor>
        </w:drawing>
        <w:t>UNITED STATES</w:t>
      </w: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70485</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5pt" to="540pt,5.55pt" o:allowincell="f" strokecolor="#000000" strokeweight="1pt"/>
            </w:pict>
          </mc:Fallback>
        </mc:AlternateConten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86995</wp:posOffset>
                </wp:positionV>
                <wp:extent cx="68580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85pt" to="540pt,6.85pt" o:allowincell="f" strokecolor="#000000" strokeweight="1pt"/>
            </w:pict>
          </mc:Fallback>
        </mc:AlternateContent>
      </w:r>
    </w:p>
    <w:p>
      <w:pPr>
        <w:spacing w:after="0" w:line="21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8" w:lineRule="exact"/>
        <w:rPr>
          <w:sz w:val="24"/>
          <w:szCs w:val="24"/>
          <w:color w:val="auto"/>
        </w:rPr>
      </w:pPr>
    </w:p>
    <w:p>
      <w:pPr>
        <w:ind w:left="280" w:hanging="246"/>
        <w:spacing w:after="0"/>
        <w:tabs>
          <w:tab w:leader="none" w:pos="280" w:val="left"/>
        </w:tabs>
        <w:numPr>
          <w:ilvl w:val="0"/>
          <w:numId w:val="1"/>
        </w:numPr>
        <w:rPr>
          <w:rFonts w:ascii="MS PGothic" w:cs="MS PGothic" w:eastAsia="MS PGothic" w:hAnsi="MS PGothic"/>
          <w:sz w:val="20"/>
          <w:szCs w:val="20"/>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37" w:lineRule="exact"/>
        <w:rPr>
          <w:sz w:val="24"/>
          <w:szCs w:val="24"/>
          <w:color w:val="auto"/>
        </w:rPr>
      </w:pPr>
    </w:p>
    <w:p>
      <w:pPr>
        <w:ind w:left="220" w:hanging="186"/>
        <w:spacing w:after="0"/>
        <w:tabs>
          <w:tab w:leader="none" w:pos="220" w:val="left"/>
        </w:tabs>
        <w:numPr>
          <w:ilvl w:val="0"/>
          <w:numId w:val="2"/>
        </w:numPr>
        <w:rPr>
          <w:rFonts w:ascii="MS PGothic" w:cs="MS PGothic" w:eastAsia="MS PGothic" w:hAnsi="MS PGothic"/>
          <w:sz w:val="18"/>
          <w:szCs w:val="18"/>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ectPr>
          <w:pgSz w:w="12240" w:h="15840" w:orient="portrait"/>
          <w:cols w:equalWidth="0" w:num="1">
            <w:col w:w="10800"/>
          </w:cols>
          <w:pgMar w:left="720" w:top="756" w:right="720" w:bottom="727" w:gutter="0" w:footer="0" w:header="0"/>
        </w:sectPr>
      </w:pPr>
    </w:p>
    <w:p>
      <w:pPr>
        <w:spacing w:after="0" w:line="137"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34" w:lineRule="exact"/>
        <w:rPr>
          <w:sz w:val="24"/>
          <w:szCs w:val="24"/>
          <w:color w:val="auto"/>
        </w:rPr>
      </w:pPr>
    </w:p>
    <w:p>
      <w:pPr>
        <w:sectPr>
          <w:pgSz w:w="12240" w:h="15840" w:orient="portrait"/>
          <w:cols w:equalWidth="0" w:num="2">
            <w:col w:w="6780" w:space="640"/>
            <w:col w:w="3380"/>
          </w:cols>
          <w:pgMar w:left="720" w:top="756" w:right="720" w:bottom="727"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001-39558</w:t>
      </w:r>
    </w:p>
    <w:p>
      <w:pPr>
        <w:sectPr>
          <w:pgSz w:w="12240" w:h="15840" w:orient="portrait"/>
          <w:cols w:equalWidth="0" w:num="1">
            <w:col w:w="10800"/>
          </w:cols>
          <w:pgMar w:left="720" w:top="756" w:right="720" w:bottom="727" w:gutter="0" w:footer="0" w:header="0"/>
          <w:type w:val="continuous"/>
        </w:sectPr>
      </w:pP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-266700</wp:posOffset>
                </wp:positionV>
                <wp:extent cx="684847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8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1pt" to="539.6pt,-21pt" o:allowincell="f" strokecolor="#000000" strokeweight="1pt"/>
            </w:pict>
          </mc:Fallback>
        </mc:AlternateConten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109855</wp:posOffset>
                </wp:positionV>
                <wp:extent cx="684847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8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8.65pt" to="539.6pt,8.65pt" o:allowincell="f" strokecolor="#000000" strokeweight="1pt"/>
            </w:pict>
          </mc:Fallback>
        </mc:AlternateContent>
      </w:r>
    </w:p>
    <w:p>
      <w:pPr>
        <w:spacing w:after="0" w:line="238" w:lineRule="exact"/>
        <w:rPr>
          <w:sz w:val="24"/>
          <w:szCs w:val="24"/>
          <w:color w:val="auto"/>
        </w:rPr>
      </w:pPr>
    </w:p>
    <w:tbl>
      <w:tblPr>
        <w:tblLayout w:type="fixed"/>
        <w:tblInd w:w="1020" w:type="dxa"/>
        <w:tblCellMar>
          <w:top w:w="0" w:type="dxa"/>
          <w:left w:w="0" w:type="dxa"/>
          <w:bottom w:w="0" w:type="dxa"/>
          <w:right w:w="0" w:type="dxa"/>
        </w:tblCellMar>
      </w:tblPr>
      <w:tr>
        <w:trPr>
          <w:trHeight w:val="264"/>
        </w:trPr>
        <w:tc>
          <w:tcPr>
            <w:tcW w:w="4760" w:type="dxa"/>
            <w:vAlign w:val="bottom"/>
          </w:tcPr>
          <w:p>
            <w:pPr>
              <w:jc w:val="center"/>
              <w:ind w:right="1032"/>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3240" w:type="dxa"/>
            <w:vAlign w:val="bottom"/>
          </w:tcPr>
          <w:p>
            <w:pPr>
              <w:jc w:val="right"/>
              <w:ind w:right="495"/>
              <w:spacing w:after="0"/>
              <w:rPr>
                <w:sz w:val="20"/>
                <w:szCs w:val="20"/>
                <w:color w:val="auto"/>
              </w:rPr>
            </w:pPr>
            <w:r>
              <w:rPr>
                <w:rFonts w:ascii="Times New Roman" w:cs="Times New Roman" w:eastAsia="Times New Roman" w:hAnsi="Times New Roman"/>
                <w:sz w:val="20"/>
                <w:szCs w:val="20"/>
                <w:b w:val="1"/>
                <w:bCs w:val="1"/>
                <w:color w:val="auto"/>
              </w:rPr>
              <w:t>84-1770732</w:t>
            </w:r>
          </w:p>
        </w:tc>
        <w:tc>
          <w:tcPr>
            <w:tcW w:w="0" w:type="dxa"/>
            <w:vAlign w:val="bottom"/>
          </w:tcPr>
          <w:p>
            <w:pPr>
              <w:spacing w:after="0"/>
              <w:rPr>
                <w:sz w:val="1"/>
                <w:szCs w:val="1"/>
                <w:color w:val="auto"/>
              </w:rPr>
            </w:pPr>
          </w:p>
        </w:tc>
      </w:tr>
      <w:tr>
        <w:trPr>
          <w:trHeight w:val="226"/>
        </w:trPr>
        <w:tc>
          <w:tcPr>
            <w:tcW w:w="4760" w:type="dxa"/>
            <w:vAlign w:val="bottom"/>
          </w:tcPr>
          <w:p>
            <w:pPr>
              <w:jc w:val="center"/>
              <w:ind w:right="1032"/>
              <w:spacing w:after="0"/>
              <w:rPr>
                <w:sz w:val="20"/>
                <w:szCs w:val="20"/>
                <w:color w:val="auto"/>
              </w:rPr>
            </w:pPr>
            <w:r>
              <w:rPr>
                <w:rFonts w:ascii="Times New Roman" w:cs="Times New Roman" w:eastAsia="Times New Roman" w:hAnsi="Times New Roman"/>
                <w:sz w:val="14"/>
                <w:szCs w:val="14"/>
                <w:b w:val="1"/>
                <w:bCs w:val="1"/>
                <w:color w:val="auto"/>
                <w:w w:val="99"/>
              </w:rPr>
              <w:t>( State or other jurisdiction of incorporation or organization)</w:t>
            </w:r>
          </w:p>
        </w:tc>
        <w:tc>
          <w:tcPr>
            <w:tcW w:w="3240" w:type="dxa"/>
            <w:vAlign w:val="bottom"/>
          </w:tcPr>
          <w:p>
            <w:pPr>
              <w:jc w:val="center"/>
              <w:ind w:left="1015"/>
              <w:spacing w:after="0"/>
              <w:rPr>
                <w:sz w:val="20"/>
                <w:szCs w:val="20"/>
                <w:color w:val="auto"/>
              </w:rPr>
            </w:pPr>
            <w:r>
              <w:rPr>
                <w:rFonts w:ascii="Times New Roman" w:cs="Times New Roman" w:eastAsia="Times New Roman" w:hAnsi="Times New Roman"/>
                <w:sz w:val="14"/>
                <w:szCs w:val="14"/>
                <w:b w:val="1"/>
                <w:bCs w:val="1"/>
                <w:color w:val="auto"/>
                <w:w w:val="99"/>
              </w:rPr>
              <w:t>(I.R.S. Employer Identification No.)</w:t>
            </w:r>
          </w:p>
        </w:tc>
        <w:tc>
          <w:tcPr>
            <w:tcW w:w="0" w:type="dxa"/>
            <w:vAlign w:val="bottom"/>
          </w:tcPr>
          <w:p>
            <w:pPr>
              <w:spacing w:after="0"/>
              <w:rPr>
                <w:sz w:val="1"/>
                <w:szCs w:val="1"/>
                <w:color w:val="auto"/>
              </w:rPr>
            </w:pPr>
          </w:p>
        </w:tc>
      </w:tr>
      <w:tr>
        <w:trPr>
          <w:trHeight w:val="228"/>
        </w:trPr>
        <w:tc>
          <w:tcPr>
            <w:tcW w:w="4760" w:type="dxa"/>
            <w:vAlign w:val="bottom"/>
          </w:tcPr>
          <w:p>
            <w:pPr>
              <w:jc w:val="center"/>
              <w:ind w:right="1032"/>
              <w:spacing w:after="0" w:line="228" w:lineRule="exact"/>
              <w:rPr>
                <w:sz w:val="20"/>
                <w:szCs w:val="20"/>
                <w:color w:val="auto"/>
              </w:rPr>
            </w:pPr>
            <w:r>
              <w:rPr>
                <w:rFonts w:ascii="Times New Roman" w:cs="Times New Roman" w:eastAsia="Times New Roman" w:hAnsi="Times New Roman"/>
                <w:sz w:val="20"/>
                <w:szCs w:val="20"/>
                <w:b w:val="1"/>
                <w:bCs w:val="1"/>
                <w:color w:val="auto"/>
              </w:rPr>
              <w:t>767 Fifth Avenue</w:t>
            </w:r>
          </w:p>
        </w:tc>
        <w:tc>
          <w:tcPr>
            <w:tcW w:w="3240" w:type="dxa"/>
            <w:vAlign w:val="bottom"/>
            <w:vMerge w:val="restart"/>
          </w:tcPr>
          <w:p>
            <w:pPr>
              <w:jc w:val="right"/>
              <w:ind w:right="735"/>
              <w:spacing w:after="0"/>
              <w:rPr>
                <w:sz w:val="20"/>
                <w:szCs w:val="20"/>
                <w:color w:val="auto"/>
              </w:rPr>
            </w:pPr>
            <w:r>
              <w:rPr>
                <w:rFonts w:ascii="Times New Roman" w:cs="Times New Roman" w:eastAsia="Times New Roman" w:hAnsi="Times New Roman"/>
                <w:sz w:val="20"/>
                <w:szCs w:val="20"/>
                <w:b w:val="1"/>
                <w:bCs w:val="1"/>
                <w:color w:val="auto"/>
              </w:rPr>
              <w:t>10153</w:t>
            </w:r>
          </w:p>
        </w:tc>
        <w:tc>
          <w:tcPr>
            <w:tcW w:w="0" w:type="dxa"/>
            <w:vAlign w:val="bottom"/>
          </w:tcPr>
          <w:p>
            <w:pPr>
              <w:spacing w:after="0"/>
              <w:rPr>
                <w:sz w:val="1"/>
                <w:szCs w:val="1"/>
                <w:color w:val="auto"/>
              </w:rPr>
            </w:pPr>
          </w:p>
        </w:tc>
      </w:tr>
      <w:tr>
        <w:trPr>
          <w:trHeight w:val="264"/>
        </w:trPr>
        <w:tc>
          <w:tcPr>
            <w:tcW w:w="4760" w:type="dxa"/>
            <w:vAlign w:val="bottom"/>
          </w:tcPr>
          <w:p>
            <w:pPr>
              <w:jc w:val="center"/>
              <w:ind w:right="1012"/>
              <w:spacing w:after="0"/>
              <w:rPr>
                <w:sz w:val="20"/>
                <w:szCs w:val="20"/>
                <w:color w:val="auto"/>
              </w:rPr>
            </w:pPr>
            <w:r>
              <w:rPr>
                <w:rFonts w:ascii="Times New Roman" w:cs="Times New Roman" w:eastAsia="Times New Roman" w:hAnsi="Times New Roman"/>
                <w:sz w:val="20"/>
                <w:szCs w:val="20"/>
                <w:b w:val="1"/>
                <w:bCs w:val="1"/>
                <w:color w:val="auto"/>
                <w:w w:val="99"/>
              </w:rPr>
              <w:t>New York, NY</w:t>
            </w:r>
          </w:p>
        </w:tc>
        <w:tc>
          <w:tcPr>
            <w:tcW w:w="3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4760" w:type="dxa"/>
            <w:vAlign w:val="bottom"/>
          </w:tcPr>
          <w:p>
            <w:pPr>
              <w:jc w:val="center"/>
              <w:ind w:right="103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40" w:type="dxa"/>
            <w:vAlign w:val="bottom"/>
          </w:tcPr>
          <w:p>
            <w:pPr>
              <w:jc w:val="center"/>
              <w:ind w:left="1035"/>
              <w:spacing w:after="0"/>
              <w:rPr>
                <w:sz w:val="20"/>
                <w:szCs w:val="20"/>
                <w:color w:val="auto"/>
              </w:rPr>
            </w:pPr>
            <w:r>
              <w:rPr>
                <w:rFonts w:ascii="Times New Roman" w:cs="Times New Roman" w:eastAsia="Times New Roman" w:hAnsi="Times New Roman"/>
                <w:sz w:val="14"/>
                <w:szCs w:val="14"/>
                <w:b w:val="1"/>
                <w:bCs w:val="1"/>
                <w:color w:val="auto"/>
                <w:w w:val="98"/>
              </w:rPr>
              <w:t>(Zip Code)</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(212) 287-3200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128905</wp:posOffset>
                </wp:positionV>
                <wp:extent cx="68580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5pt" to="540pt,10.15pt" o:allowincell="f" strokecolor="#000000" strokeweight="1pt"/>
            </w:pict>
          </mc:Fallback>
        </mc:AlternateConten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ind w:left="20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6"/>
                <w:szCs w:val="16"/>
                <w:color w:val="auto"/>
              </w:rPr>
            </w:pPr>
          </w:p>
        </w:tc>
        <w:tc>
          <w:tcPr>
            <w:tcW w:w="21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09"/>
        </w:trPr>
        <w:tc>
          <w:tcPr>
            <w:tcW w:w="5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20" w:type="dxa"/>
            <w:vAlign w:val="bottom"/>
          </w:tcPr>
          <w:p>
            <w:pPr>
              <w:spacing w:after="0"/>
              <w:rPr>
                <w:sz w:val="18"/>
                <w:szCs w:val="18"/>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PWP</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Nasdaq Global Select Market</w:t>
            </w:r>
          </w:p>
        </w:tc>
      </w:tr>
      <w:tr>
        <w:trPr>
          <w:trHeight w:val="269"/>
        </w:trPr>
        <w:tc>
          <w:tcPr>
            <w:tcW w:w="8160" w:type="dxa"/>
            <w:vAlign w:val="bottom"/>
            <w:gridSpan w:val="6"/>
          </w:tcPr>
          <w:p>
            <w:pPr>
              <w:ind w:left="2980"/>
              <w:spacing w:after="0"/>
              <w:rPr>
                <w:sz w:val="20"/>
                <w:szCs w:val="20"/>
                <w:color w:val="auto"/>
              </w:rPr>
            </w:pPr>
            <w:r>
              <w:rPr>
                <w:rFonts w:ascii="Times New Roman" w:cs="Times New Roman" w:eastAsia="Times New Roman" w:hAnsi="Times New Roman"/>
                <w:sz w:val="18"/>
                <w:szCs w:val="18"/>
                <w:color w:val="auto"/>
              </w:rPr>
              <w:t>Securities registered pursuant to the Section 12(g) of the Act: None</w:t>
            </w:r>
          </w:p>
        </w:tc>
        <w:tc>
          <w:tcPr>
            <w:tcW w:w="2640" w:type="dxa"/>
            <w:vAlign w:val="bottom"/>
          </w:tcPr>
          <w:p>
            <w:pPr>
              <w:spacing w:after="0"/>
              <w:rPr>
                <w:sz w:val="23"/>
                <w:szCs w:val="23"/>
                <w:color w:val="auto"/>
              </w:rPr>
            </w:pPr>
          </w:p>
        </w:tc>
      </w:tr>
      <w:tr>
        <w:trPr>
          <w:trHeight w:val="360"/>
        </w:trPr>
        <w:tc>
          <w:tcPr>
            <w:tcW w:w="75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00" w:type="dxa"/>
            <w:vAlign w:val="bottom"/>
          </w:tcPr>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b w:val="1"/>
                <w:bCs w:val="1"/>
                <w:color w:val="auto"/>
              </w:rPr>
              <w:t>☒</w:t>
            </w:r>
          </w:p>
        </w:tc>
        <w:tc>
          <w:tcPr>
            <w:tcW w:w="2640" w:type="dxa"/>
            <w:vAlign w:val="bottom"/>
          </w:tcPr>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b w:val="1"/>
                <w:bCs w:val="1"/>
                <w:color w:val="auto"/>
              </w:rPr>
              <w:t>☐</w:t>
            </w:r>
          </w:p>
        </w:tc>
      </w:tr>
      <w:tr>
        <w:trPr>
          <w:trHeight w:val="280"/>
        </w:trPr>
        <w:tc>
          <w:tcPr>
            <w:tcW w:w="75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  Yes</w:t>
            </w:r>
          </w:p>
        </w:tc>
        <w:tc>
          <w:tcPr>
            <w:tcW w:w="600" w:type="dxa"/>
            <w:vAlign w:val="bottom"/>
          </w:tcPr>
          <w:p>
            <w:pPr>
              <w:ind w:left="60"/>
              <w:spacing w:after="0" w:line="184" w:lineRule="exact"/>
              <w:rPr>
                <w:sz w:val="20"/>
                <w:szCs w:val="20"/>
                <w:color w:val="auto"/>
              </w:rPr>
            </w:pP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w:t>
            </w:r>
          </w:p>
        </w:tc>
        <w:tc>
          <w:tcPr>
            <w:tcW w:w="2640" w:type="dxa"/>
            <w:vAlign w:val="bottom"/>
          </w:tcPr>
          <w:p>
            <w:pPr>
              <w:ind w:left="20"/>
              <w:spacing w:after="0" w:line="161" w:lineRule="exact"/>
              <w:rPr>
                <w:sz w:val="20"/>
                <w:szCs w:val="20"/>
                <w:color w:val="auto"/>
              </w:rPr>
            </w:pPr>
            <w:r>
              <w:rPr>
                <w:rFonts w:ascii="MS PGothic" w:cs="MS PGothic" w:eastAsia="MS PGothic" w:hAnsi="MS PGothic"/>
                <w:sz w:val="16"/>
                <w:szCs w:val="16"/>
                <w:b w:val="1"/>
                <w:bCs w:val="1"/>
                <w:color w:val="auto"/>
              </w:rPr>
              <w:t>☒</w:t>
            </w:r>
          </w:p>
        </w:tc>
      </w:tr>
    </w:tbl>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3381375</wp:posOffset>
                </wp:positionH>
                <wp:positionV relativeFrom="paragraph">
                  <wp:posOffset>-715645</wp:posOffset>
                </wp:positionV>
                <wp:extent cx="6667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25pt,-56.3499pt" to="271.5pt,-56.34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-715645</wp:posOffset>
                </wp:positionV>
                <wp:extent cx="46482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48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3499pt" to="366pt,-56.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4581525</wp:posOffset>
                </wp:positionH>
                <wp:positionV relativeFrom="paragraph">
                  <wp:posOffset>-715645</wp:posOffset>
                </wp:positionV>
                <wp:extent cx="6667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75pt,-56.3499pt" to="366pt,-56.3499pt" o:allowincell="f" strokecolor="#FFFFFF" strokeweight="1pt"/>
            </w:pict>
          </mc:Fallback>
        </mc:AlternateContent>
      </w:r>
    </w:p>
    <w:p>
      <w:pPr>
        <w:spacing w:after="0" w:line="37" w:lineRule="exact"/>
        <w:rPr>
          <w:sz w:val="24"/>
          <w:szCs w:val="24"/>
          <w:color w:val="auto"/>
        </w:rPr>
      </w:pPr>
    </w:p>
    <w:p>
      <w:pPr>
        <w:ind w:right="80"/>
        <w:spacing w:after="0" w:line="18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60" w:lineRule="exact"/>
        <w:rPr>
          <w:sz w:val="24"/>
          <w:szCs w:val="24"/>
          <w:color w:val="auto"/>
        </w:rPr>
      </w:pPr>
    </w:p>
    <w:p>
      <w:pPr>
        <w:ind w:right="100"/>
        <w:spacing w:after="0" w:line="19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58" w:lineRule="exact"/>
        <w:rPr>
          <w:sz w:val="24"/>
          <w:szCs w:val="24"/>
          <w:color w:val="auto"/>
        </w:rPr>
      </w:pPr>
    </w:p>
    <w:p>
      <w:pPr>
        <w:ind w:right="40"/>
        <w:spacing w:after="0" w:line="22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360"/>
        <w:spacing w:after="0" w:line="184" w:lineRule="exact"/>
        <w:tabs>
          <w:tab w:leader="none" w:pos="2100" w:val="left"/>
          <w:tab w:leader="none" w:pos="2400" w:val="left"/>
          <w:tab w:leader="none" w:pos="3720" w:val="left"/>
          <w:tab w:leader="none" w:pos="4020" w:val="left"/>
          <w:tab w:leader="none" w:pos="5520" w:val="left"/>
          <w:tab w:leader="none" w:pos="5820" w:val="left"/>
          <w:tab w:leader="none" w:pos="798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b w:val="1"/>
          <w:bCs w:val="1"/>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6"/>
          <w:szCs w:val="16"/>
          <w:b w:val="1"/>
          <w:bCs w:val="1"/>
          <w:color w:val="auto"/>
        </w:rPr>
        <w:t>☐</w:t>
      </w:r>
      <w:r>
        <w:rPr>
          <w:sz w:val="20"/>
          <w:szCs w:val="20"/>
          <w:color w:val="auto"/>
        </w:rPr>
        <w:tab/>
      </w: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b w:val="1"/>
          <w:bCs w:val="1"/>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b w:val="1"/>
          <w:bCs w:val="1"/>
          <w:color w:val="auto"/>
        </w:rPr>
        <w:t>☐</w:t>
      </w:r>
      <w:r>
        <w:rPr>
          <w:sz w:val="20"/>
          <w:szCs w:val="20"/>
          <w:color w:val="auto"/>
        </w:rPr>
        <w:tab/>
      </w: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b w:val="1"/>
          <w:bCs w:val="1"/>
          <w:color w:val="auto"/>
        </w:rPr>
        <w:t>☐</w:t>
      </w:r>
    </w:p>
    <w:p>
      <w:pPr>
        <w:spacing w:after="0" w:line="132" w:lineRule="exact"/>
        <w:rPr>
          <w:sz w:val="24"/>
          <w:szCs w:val="24"/>
          <w:color w:val="auto"/>
        </w:rPr>
      </w:pPr>
    </w:p>
    <w:p>
      <w:pPr>
        <w:ind w:right="260"/>
        <w:spacing w:after="0" w:line="19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spacing w:after="0" w:line="58" w:lineRule="exact"/>
        <w:rPr>
          <w:sz w:val="24"/>
          <w:szCs w:val="24"/>
          <w:color w:val="auto"/>
        </w:rPr>
      </w:pPr>
    </w:p>
    <w:p>
      <w:pPr>
        <w:jc w:val="both"/>
        <w:ind w:right="460"/>
        <w:spacing w:after="0" w:line="18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MS PGothic" w:cs="MS PGothic" w:eastAsia="MS PGothic" w:hAnsi="MS PGothic"/>
          <w:sz w:val="16"/>
          <w:szCs w:val="16"/>
          <w:b w:val="1"/>
          <w:bCs w:val="1"/>
          <w:color w:val="auto"/>
        </w:rPr>
        <w:t>☒</w:t>
      </w:r>
    </w:p>
    <w:p>
      <w:pPr>
        <w:spacing w:after="0" w:line="60" w:lineRule="exact"/>
        <w:rPr>
          <w:sz w:val="24"/>
          <w:szCs w:val="24"/>
          <w:color w:val="auto"/>
        </w:rPr>
      </w:pPr>
    </w:p>
    <w:p>
      <w:pPr>
        <w:ind w:right="20"/>
        <w:spacing w:after="0" w:line="19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58" w:lineRule="exact"/>
        <w:rPr>
          <w:sz w:val="24"/>
          <w:szCs w:val="24"/>
          <w:color w:val="auto"/>
        </w:rPr>
      </w:pPr>
    </w:p>
    <w:p>
      <w:pPr>
        <w:ind w:right="20"/>
        <w:spacing w:after="0" w:line="191"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46" w:lineRule="exact"/>
        <w:rPr>
          <w:sz w:val="24"/>
          <w:szCs w:val="24"/>
          <w:color w:val="auto"/>
        </w:rPr>
      </w:pPr>
    </w:p>
    <w:p>
      <w:pPr>
        <w:spacing w:after="0" w:line="184" w:lineRule="exact"/>
        <w:tabs>
          <w:tab w:leader="none" w:pos="7400" w:val="left"/>
          <w:tab w:leader="none" w:pos="80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b w:val="1"/>
          <w:bCs w:val="1"/>
          <w:color w:val="auto"/>
        </w:rPr>
        <w:t>☒</w:t>
      </w:r>
    </w:p>
    <w:p>
      <w:pPr>
        <w:spacing w:after="0" w:line="148" w:lineRule="exact"/>
        <w:rPr>
          <w:sz w:val="24"/>
          <w:szCs w:val="24"/>
          <w:color w:val="auto"/>
        </w:rPr>
      </w:pPr>
    </w:p>
    <w:p>
      <w:pPr>
        <w:ind w:right="140"/>
        <w:spacing w:after="0"/>
        <w:rPr>
          <w:sz w:val="20"/>
          <w:szCs w:val="20"/>
          <w:color w:val="auto"/>
        </w:rPr>
      </w:pPr>
      <w:r>
        <w:rPr>
          <w:rFonts w:ascii="Times New Roman" w:cs="Times New Roman" w:eastAsia="Times New Roman" w:hAnsi="Times New Roman"/>
          <w:sz w:val="16"/>
          <w:szCs w:val="16"/>
          <w:color w:val="auto"/>
        </w:rPr>
        <w:t>The aggregate market value of the common stock of the registrant held by non-affiliates, based on the closing price on the Nasdaq Global Select Market as of June 30, 2025 was $1.2 billion.</w:t>
      </w:r>
    </w:p>
    <w:p>
      <w:pPr>
        <w:spacing w:after="0" w:line="112" w:lineRule="exact"/>
        <w:rPr>
          <w:sz w:val="24"/>
          <w:szCs w:val="24"/>
          <w:color w:val="auto"/>
        </w:rPr>
      </w:pPr>
    </w:p>
    <w:p>
      <w:pPr>
        <w:ind w:right="60"/>
        <w:spacing w:after="0"/>
        <w:rPr>
          <w:sz w:val="20"/>
          <w:szCs w:val="20"/>
          <w:color w:val="auto"/>
        </w:rPr>
      </w:pPr>
      <w:r>
        <w:rPr>
          <w:rFonts w:ascii="Times New Roman" w:cs="Times New Roman" w:eastAsia="Times New Roman" w:hAnsi="Times New Roman"/>
          <w:sz w:val="16"/>
          <w:szCs w:val="16"/>
          <w:color w:val="auto"/>
        </w:rPr>
        <w:t>As of February 24, 2026, the registrant had 69,652,088 shares of Class A common stock, par value $0.0001 per share, and 22,139,506 shares of Class B common stock, par value $0.0001 per share, outstanding.</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89"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6"/>
          <w:szCs w:val="16"/>
          <w:color w:val="auto"/>
        </w:rPr>
        <w:t>Portions of Perella Weinberg Partners’ Proxy Statement for the 2026 Annual Meeting of Stockholders to be filed with the Securities and Exchange Commission within 120 days after December 31, 2025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-50165</wp:posOffset>
            </wp:positionH>
            <wp:positionV relativeFrom="paragraph">
              <wp:posOffset>114935</wp:posOffset>
            </wp:positionV>
            <wp:extent cx="6959600" cy="152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extLst>
                    </a:blip>
                    <a:srcRect/>
                    <a:stretch>
                      <a:fillRect/>
                    </a:stretch>
                  </pic:blipFill>
                  <pic:spPr bwMode="auto">
                    <a:xfrm>
                      <a:off x="0" y="0"/>
                      <a:ext cx="6959600" cy="152400"/>
                    </a:xfrm>
                    <a:prstGeom prst="rect">
                      <a:avLst/>
                    </a:prstGeom>
                    <a:noFill/>
                  </pic:spPr>
                </pic:pic>
              </a:graphicData>
            </a:graphic>
          </wp:anchor>
        </w:drawing>
      </w:r>
    </w:p>
    <w:p>
      <w:pPr>
        <w:sectPr>
          <w:pgSz w:w="12240" w:h="15840" w:orient="portrait"/>
          <w:cols w:equalWidth="0" w:num="1">
            <w:col w:w="10800"/>
          </w:cols>
          <w:pgMar w:left="720" w:top="756" w:right="720" w:bottom="727" w:gutter="0" w:footer="0" w:header="0"/>
          <w:type w:val="continuous"/>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2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5489575</wp:posOffset>
                </wp:positionH>
                <wp:positionV relativeFrom="paragraph">
                  <wp:posOffset>-135255</wp:posOffset>
                </wp:positionV>
                <wp:extent cx="44767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767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25pt,-10.6499pt" to="467.5pt,-10.6499pt" o:allowincell="f" strokecolor="#000000" strokeweight="0.5pt"/>
            </w:pict>
          </mc:Fallback>
        </mc:AlternateContent>
      </w:r>
    </w:p>
    <w:p>
      <w:pPr>
        <w:spacing w:after="0" w:line="42" w:lineRule="exact"/>
        <w:rPr>
          <w:sz w:val="20"/>
          <w:szCs w:val="20"/>
          <w:color w:val="auto"/>
        </w:rPr>
      </w:pPr>
    </w:p>
    <w:p>
      <w:pPr>
        <w:spacing w:after="0"/>
        <w:tabs>
          <w:tab w:leader="none" w:pos="1760" w:val="left"/>
          <w:tab w:leader="dot" w:pos="9180" w:val="left"/>
        </w:tabs>
        <w:rPr>
          <w:sz w:val="20"/>
          <w:szCs w:val="20"/>
          <w:color w:val="auto"/>
        </w:rPr>
      </w:pPr>
      <w:r>
        <w:rPr>
          <w:rFonts w:ascii="Times New Roman" w:cs="Times New Roman" w:eastAsia="Times New Roman" w:hAnsi="Times New Roman"/>
          <w:sz w:val="20"/>
          <w:szCs w:val="20"/>
          <w:u w:val="single" w:color="auto"/>
          <w:color w:val="0000FF"/>
        </w:rPr>
        <w:t>Item 1.</w:t>
      </w:r>
      <w:r>
        <w:rPr>
          <w:sz w:val="20"/>
          <w:szCs w:val="20"/>
          <w:color w:val="auto"/>
        </w:rPr>
        <w:tab/>
      </w:r>
      <w:r>
        <w:rPr>
          <w:rFonts w:ascii="Times New Roman" w:cs="Times New Roman" w:eastAsia="Times New Roman" w:hAnsi="Times New Roman"/>
          <w:sz w:val="20"/>
          <w:szCs w:val="20"/>
          <w:u w:val="single" w:color="auto"/>
          <w:color w:val="0000FF"/>
        </w:rPr>
        <w:t>Business</w:t>
      </w:r>
      <w:r>
        <w:rPr>
          <w:sz w:val="20"/>
          <w:szCs w:val="20"/>
          <w:color w:val="auto"/>
        </w:rPr>
        <w:tab/>
      </w:r>
      <w:r>
        <w:rPr>
          <w:rFonts w:ascii="Times New Roman" w:cs="Times New Roman" w:eastAsia="Times New Roman" w:hAnsi="Times New Roman"/>
          <w:sz w:val="20"/>
          <w:szCs w:val="20"/>
          <w:u w:val="single" w:color="auto"/>
          <w:color w:val="0000FF"/>
        </w:rPr>
        <w:t>3</w:t>
      </w:r>
    </w:p>
    <w:p>
      <w:pPr>
        <w:spacing w:after="0" w:line="55" w:lineRule="exact"/>
        <w:rPr>
          <w:sz w:val="20"/>
          <w:szCs w:val="20"/>
          <w:color w:val="auto"/>
        </w:rPr>
      </w:pPr>
    </w:p>
    <w:p>
      <w:pPr>
        <w:spacing w:after="0"/>
        <w:tabs>
          <w:tab w:leader="none" w:pos="1760" w:val="left"/>
          <w:tab w:leader="dot" w:pos="9180" w:val="left"/>
        </w:tabs>
        <w:rPr>
          <w:sz w:val="20"/>
          <w:szCs w:val="20"/>
          <w:color w:val="auto"/>
        </w:rPr>
      </w:pPr>
      <w:r>
        <w:rPr>
          <w:rFonts w:ascii="Times New Roman" w:cs="Times New Roman" w:eastAsia="Times New Roman" w:hAnsi="Times New Roman"/>
          <w:sz w:val="20"/>
          <w:szCs w:val="20"/>
          <w:u w:val="single" w:color="auto"/>
          <w:color w:val="0000FF"/>
        </w:rPr>
        <w:t>Item 1A.</w:t>
      </w:r>
      <w:r>
        <w:rPr>
          <w:sz w:val="20"/>
          <w:szCs w:val="20"/>
          <w:color w:val="auto"/>
        </w:rPr>
        <w:tab/>
      </w:r>
      <w:r>
        <w:rPr>
          <w:rFonts w:ascii="Times New Roman" w:cs="Times New Roman" w:eastAsia="Times New Roman" w:hAnsi="Times New Roman"/>
          <w:sz w:val="20"/>
          <w:szCs w:val="20"/>
          <w:u w:val="single" w:color="auto"/>
          <w:color w:val="0000FF"/>
        </w:rPr>
        <w:t>Risk Factors</w:t>
      </w:r>
      <w:r>
        <w:rPr>
          <w:sz w:val="20"/>
          <w:szCs w:val="20"/>
          <w:color w:val="auto"/>
        </w:rPr>
        <w:tab/>
      </w:r>
      <w:r>
        <w:rPr>
          <w:rFonts w:ascii="Times New Roman" w:cs="Times New Roman" w:eastAsia="Times New Roman" w:hAnsi="Times New Roman"/>
          <w:sz w:val="20"/>
          <w:szCs w:val="20"/>
          <w:u w:val="single" w:color="auto"/>
          <w:color w:val="0000FF"/>
        </w:rPr>
        <w:t>8</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1B.</w:t>
      </w:r>
      <w:r>
        <w:rPr>
          <w:sz w:val="20"/>
          <w:szCs w:val="20"/>
          <w:color w:val="auto"/>
        </w:rPr>
        <w:tab/>
      </w:r>
      <w:r>
        <w:rPr>
          <w:rFonts w:ascii="Times New Roman" w:cs="Times New Roman" w:eastAsia="Times New Roman" w:hAnsi="Times New Roman"/>
          <w:sz w:val="20"/>
          <w:szCs w:val="20"/>
          <w:u w:val="single" w:color="auto"/>
          <w:color w:val="0000FF"/>
        </w:rPr>
        <w:t>Unresolved Staff Comments</w:t>
      </w:r>
      <w:r>
        <w:rPr>
          <w:sz w:val="20"/>
          <w:szCs w:val="20"/>
          <w:color w:val="auto"/>
        </w:rPr>
        <w:tab/>
      </w:r>
      <w:r>
        <w:rPr>
          <w:rFonts w:ascii="Times New Roman" w:cs="Times New Roman" w:eastAsia="Times New Roman" w:hAnsi="Times New Roman"/>
          <w:sz w:val="20"/>
          <w:szCs w:val="20"/>
          <w:u w:val="single" w:color="auto"/>
          <w:color w:val="0000FF"/>
        </w:rPr>
        <w:t>26</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1C.</w:t>
      </w:r>
      <w:r>
        <w:rPr>
          <w:sz w:val="20"/>
          <w:szCs w:val="20"/>
          <w:color w:val="auto"/>
        </w:rPr>
        <w:tab/>
      </w:r>
      <w:r>
        <w:rPr>
          <w:rFonts w:ascii="Times New Roman" w:cs="Times New Roman" w:eastAsia="Times New Roman" w:hAnsi="Times New Roman"/>
          <w:sz w:val="20"/>
          <w:szCs w:val="20"/>
          <w:u w:val="single" w:color="auto"/>
          <w:color w:val="0000FF"/>
        </w:rPr>
        <w:t>Cybersecurity</w:t>
      </w:r>
      <w:r>
        <w:rPr>
          <w:sz w:val="20"/>
          <w:szCs w:val="20"/>
          <w:color w:val="auto"/>
        </w:rPr>
        <w:tab/>
      </w:r>
      <w:r>
        <w:rPr>
          <w:rFonts w:ascii="Times New Roman" w:cs="Times New Roman" w:eastAsia="Times New Roman" w:hAnsi="Times New Roman"/>
          <w:sz w:val="20"/>
          <w:szCs w:val="20"/>
          <w:u w:val="single" w:color="auto"/>
          <w:color w:val="0000FF"/>
        </w:rPr>
        <w:t>26</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2.</w:t>
      </w:r>
      <w:r>
        <w:rPr>
          <w:sz w:val="20"/>
          <w:szCs w:val="20"/>
          <w:color w:val="auto"/>
        </w:rPr>
        <w:tab/>
      </w:r>
      <w:r>
        <w:rPr>
          <w:rFonts w:ascii="Times New Roman" w:cs="Times New Roman" w:eastAsia="Times New Roman" w:hAnsi="Times New Roman"/>
          <w:sz w:val="20"/>
          <w:szCs w:val="20"/>
          <w:u w:val="single" w:color="auto"/>
          <w:color w:val="0000FF"/>
        </w:rPr>
        <w:t>Properties</w:t>
      </w:r>
      <w:r>
        <w:rPr>
          <w:sz w:val="20"/>
          <w:szCs w:val="20"/>
          <w:color w:val="auto"/>
        </w:rPr>
        <w:tab/>
      </w:r>
      <w:r>
        <w:rPr>
          <w:rFonts w:ascii="Times New Roman" w:cs="Times New Roman" w:eastAsia="Times New Roman" w:hAnsi="Times New Roman"/>
          <w:sz w:val="20"/>
          <w:szCs w:val="20"/>
          <w:u w:val="single" w:color="auto"/>
          <w:color w:val="0000FF"/>
        </w:rPr>
        <w:t>27</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3.</w:t>
      </w:r>
      <w:r>
        <w:rPr>
          <w:sz w:val="20"/>
          <w:szCs w:val="20"/>
          <w:color w:val="auto"/>
        </w:rPr>
        <w:tab/>
      </w:r>
      <w:r>
        <w:rPr>
          <w:rFonts w:ascii="Times New Roman" w:cs="Times New Roman" w:eastAsia="Times New Roman" w:hAnsi="Times New Roman"/>
          <w:sz w:val="20"/>
          <w:szCs w:val="20"/>
          <w:u w:val="single" w:color="auto"/>
          <w:color w:val="0000FF"/>
        </w:rPr>
        <w:t>Legal Proceedings</w:t>
      </w:r>
      <w:r>
        <w:rPr>
          <w:sz w:val="20"/>
          <w:szCs w:val="20"/>
          <w:color w:val="auto"/>
        </w:rPr>
        <w:tab/>
      </w:r>
      <w:r>
        <w:rPr>
          <w:rFonts w:ascii="Times New Roman" w:cs="Times New Roman" w:eastAsia="Times New Roman" w:hAnsi="Times New Roman"/>
          <w:sz w:val="20"/>
          <w:szCs w:val="20"/>
          <w:u w:val="single" w:color="auto"/>
          <w:color w:val="0000FF"/>
        </w:rPr>
        <w:t>27</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4.</w:t>
      </w:r>
      <w:r>
        <w:rPr>
          <w:sz w:val="20"/>
          <w:szCs w:val="20"/>
          <w:color w:val="auto"/>
        </w:rPr>
        <w:tab/>
      </w:r>
      <w:r>
        <w:rPr>
          <w:rFonts w:ascii="Times New Roman" w:cs="Times New Roman" w:eastAsia="Times New Roman" w:hAnsi="Times New Roman"/>
          <w:sz w:val="20"/>
          <w:szCs w:val="20"/>
          <w:u w:val="single" w:color="auto"/>
          <w:color w:val="0000FF"/>
        </w:rPr>
        <w:t>Mine Safety Disclosures</w:t>
      </w:r>
      <w:r>
        <w:rPr>
          <w:sz w:val="20"/>
          <w:szCs w:val="20"/>
          <w:color w:val="auto"/>
        </w:rPr>
        <w:tab/>
      </w:r>
      <w:r>
        <w:rPr>
          <w:rFonts w:ascii="Times New Roman" w:cs="Times New Roman" w:eastAsia="Times New Roman" w:hAnsi="Times New Roman"/>
          <w:sz w:val="20"/>
          <w:szCs w:val="20"/>
          <w:u w:val="single" w:color="auto"/>
          <w:color w:val="0000FF"/>
        </w:rPr>
        <w:t>28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II.</w:t>
      </w:r>
    </w:p>
    <w:p>
      <w:pPr>
        <w:spacing w:after="0" w:line="54" w:lineRule="exact"/>
        <w:rPr>
          <w:sz w:val="20"/>
          <w:szCs w:val="20"/>
          <w:color w:val="auto"/>
        </w:rPr>
      </w:pPr>
    </w:p>
    <w:p>
      <w:pPr>
        <w:spacing w:after="0"/>
        <w:tabs>
          <w:tab w:leader="none" w:pos="1760" w:val="left"/>
          <w:tab w:leader="none" w:pos="9080" w:val="left"/>
        </w:tabs>
        <w:rPr>
          <w:sz w:val="20"/>
          <w:szCs w:val="20"/>
          <w:color w:val="auto"/>
        </w:rPr>
      </w:pPr>
      <w:r>
        <w:rPr>
          <w:rFonts w:ascii="Times New Roman" w:cs="Times New Roman" w:eastAsia="Times New Roman" w:hAnsi="Times New Roman"/>
          <w:sz w:val="20"/>
          <w:szCs w:val="20"/>
          <w:u w:val="single" w:color="auto"/>
          <w:color w:val="0000FF"/>
        </w:rPr>
        <w:t>Item 5.</w:t>
      </w:r>
      <w:r>
        <w:rPr>
          <w:sz w:val="20"/>
          <w:szCs w:val="20"/>
          <w:color w:val="auto"/>
        </w:rPr>
        <w:tab/>
      </w:r>
      <w:r>
        <w:rPr>
          <w:rFonts w:ascii="Times New Roman" w:cs="Times New Roman" w:eastAsia="Times New Roman" w:hAnsi="Times New Roman"/>
          <w:sz w:val="20"/>
          <w:szCs w:val="20"/>
          <w:u w:val="single" w:color="auto"/>
          <w:color w:val="0000FF"/>
        </w:rPr>
        <w:t>Market for Registrant’s Common Equity, Related Stockholder Matters and Issuer</w:t>
      </w:r>
      <w:r>
        <w:rPr>
          <w:sz w:val="20"/>
          <w:szCs w:val="20"/>
          <w:color w:val="auto"/>
        </w:rPr>
        <w:tab/>
      </w:r>
      <w:r>
        <w:rPr>
          <w:rFonts w:ascii="Times New Roman" w:cs="Times New Roman" w:eastAsia="Times New Roman" w:hAnsi="Times New Roman"/>
          <w:sz w:val="20"/>
          <w:szCs w:val="20"/>
          <w:u w:val="single" w:color="auto"/>
          <w:color w:val="0000FF"/>
        </w:rPr>
        <w:t>29</w:t>
      </w:r>
    </w:p>
    <w:p>
      <w:pPr>
        <w:ind w:left="1780"/>
        <w:spacing w:after="0"/>
        <w:tabs>
          <w:tab w:leader="none" w:pos="4220" w:val="left"/>
        </w:tabs>
        <w:rPr>
          <w:sz w:val="20"/>
          <w:szCs w:val="20"/>
          <w:color w:val="auto"/>
        </w:rPr>
      </w:pPr>
      <w:r>
        <w:rPr>
          <w:rFonts w:ascii="Times New Roman" w:cs="Times New Roman" w:eastAsia="Times New Roman" w:hAnsi="Times New Roman"/>
          <w:sz w:val="20"/>
          <w:szCs w:val="20"/>
          <w:u w:val="single" w:color="auto"/>
          <w:color w:val="0000FF"/>
        </w:rPr>
        <w:t>Purchases of Equity Securities</w:t>
      </w:r>
      <w:r>
        <w:rPr>
          <w:sz w:val="20"/>
          <w:szCs w:val="20"/>
          <w:color w:val="auto"/>
        </w:rPr>
        <w:tab/>
      </w:r>
      <w:r>
        <w:rPr>
          <w:rFonts w:ascii="Times New Roman" w:cs="Times New Roman" w:eastAsia="Times New Roman" w:hAnsi="Times New Roman"/>
          <w:sz w:val="19"/>
          <w:szCs w:val="19"/>
          <w:color w:val="B4B4B4"/>
        </w:rPr>
        <w:t>.......................................................................................</w:t>
      </w:r>
    </w:p>
    <w:p>
      <w:pPr>
        <w:spacing w:after="0" w:line="13"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6.</w:t>
      </w:r>
      <w:r>
        <w:rPr>
          <w:sz w:val="20"/>
          <w:szCs w:val="20"/>
          <w:color w:val="auto"/>
        </w:rPr>
        <w:tab/>
      </w:r>
      <w:r>
        <w:rPr>
          <w:rFonts w:ascii="Times New Roman" w:cs="Times New Roman" w:eastAsia="Times New Roman" w:hAnsi="Times New Roman"/>
          <w:sz w:val="20"/>
          <w:szCs w:val="20"/>
          <w:u w:val="single" w:color="auto"/>
          <w:color w:val="0000FF"/>
        </w:rPr>
        <w:t>[Reserved]</w:t>
      </w:r>
      <w:r>
        <w:rPr>
          <w:sz w:val="20"/>
          <w:szCs w:val="20"/>
          <w:color w:val="auto"/>
        </w:rPr>
        <w:tab/>
      </w:r>
      <w:r>
        <w:rPr>
          <w:rFonts w:ascii="Times New Roman" w:cs="Times New Roman" w:eastAsia="Times New Roman" w:hAnsi="Times New Roman"/>
          <w:sz w:val="20"/>
          <w:szCs w:val="20"/>
          <w:u w:val="single" w:color="auto"/>
          <w:color w:val="0000FF"/>
        </w:rPr>
        <w:t>30</w:t>
      </w:r>
    </w:p>
    <w:p>
      <w:pPr>
        <w:spacing w:after="0" w:line="47" w:lineRule="exact"/>
        <w:rPr>
          <w:sz w:val="20"/>
          <w:szCs w:val="20"/>
          <w:color w:val="auto"/>
        </w:rPr>
      </w:pPr>
    </w:p>
    <w:p>
      <w:pPr>
        <w:spacing w:after="0"/>
        <w:tabs>
          <w:tab w:leader="none" w:pos="1760" w:val="left"/>
          <w:tab w:leader="none" w:pos="9080" w:val="left"/>
        </w:tabs>
        <w:rPr>
          <w:sz w:val="20"/>
          <w:szCs w:val="20"/>
          <w:color w:val="auto"/>
        </w:rPr>
      </w:pPr>
      <w:r>
        <w:rPr>
          <w:rFonts w:ascii="Times New Roman" w:cs="Times New Roman" w:eastAsia="Times New Roman" w:hAnsi="Times New Roman"/>
          <w:sz w:val="20"/>
          <w:szCs w:val="20"/>
          <w:u w:val="single" w:color="auto"/>
          <w:color w:val="0000FF"/>
        </w:rPr>
        <w:t>Item 7.</w:t>
      </w:r>
      <w:r>
        <w:rPr>
          <w:sz w:val="20"/>
          <w:szCs w:val="20"/>
          <w:color w:val="auto"/>
        </w:rPr>
        <w:tab/>
      </w:r>
      <w:r>
        <w:rPr>
          <w:rFonts w:ascii="Times New Roman" w:cs="Times New Roman" w:eastAsia="Times New Roman" w:hAnsi="Times New Roman"/>
          <w:sz w:val="20"/>
          <w:szCs w:val="20"/>
          <w:u w:val="single" w:color="auto"/>
          <w:color w:val="0000FF"/>
        </w:rPr>
        <w:t>Management’s Discussion and Analysis of Financial Condition and Results of</w:t>
      </w:r>
      <w:r>
        <w:rPr>
          <w:sz w:val="20"/>
          <w:szCs w:val="20"/>
          <w:color w:val="auto"/>
        </w:rPr>
        <w:tab/>
      </w:r>
      <w:r>
        <w:rPr>
          <w:rFonts w:ascii="Times New Roman" w:cs="Times New Roman" w:eastAsia="Times New Roman" w:hAnsi="Times New Roman"/>
          <w:sz w:val="20"/>
          <w:szCs w:val="20"/>
          <w:u w:val="single" w:color="auto"/>
          <w:color w:val="0000FF"/>
        </w:rPr>
        <w:t>31</w:t>
      </w:r>
    </w:p>
    <w:p>
      <w:pPr>
        <w:ind w:left="1780"/>
        <w:spacing w:after="0"/>
        <w:tabs>
          <w:tab w:leader="none" w:pos="2660" w:val="left"/>
        </w:tabs>
        <w:rPr>
          <w:sz w:val="20"/>
          <w:szCs w:val="20"/>
          <w:color w:val="auto"/>
        </w:rPr>
      </w:pPr>
      <w:r>
        <w:rPr>
          <w:rFonts w:ascii="Times New Roman" w:cs="Times New Roman" w:eastAsia="Times New Roman" w:hAnsi="Times New Roman"/>
          <w:sz w:val="20"/>
          <w:szCs w:val="20"/>
          <w:u w:val="single" w:color="auto"/>
          <w:color w:val="0000FF"/>
        </w:rPr>
        <w:t>Operations</w:t>
      </w:r>
      <w:r>
        <w:rPr>
          <w:sz w:val="20"/>
          <w:szCs w:val="20"/>
          <w:color w:val="auto"/>
        </w:rPr>
        <w:tab/>
      </w:r>
      <w:r>
        <w:rPr>
          <w:rFonts w:ascii="Times New Roman" w:cs="Times New Roman" w:eastAsia="Times New Roman" w:hAnsi="Times New Roman"/>
          <w:sz w:val="20"/>
          <w:szCs w:val="20"/>
          <w:color w:val="B4B4B4"/>
        </w:rPr>
        <w:t>......................................................................................................................</w:t>
      </w:r>
    </w:p>
    <w:p>
      <w:pPr>
        <w:spacing w:after="0" w:line="13"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7A.</w:t>
      </w:r>
      <w:r>
        <w:rPr>
          <w:sz w:val="20"/>
          <w:szCs w:val="20"/>
          <w:color w:val="auto"/>
        </w:rPr>
        <w:tab/>
      </w:r>
      <w:r>
        <w:rPr>
          <w:rFonts w:ascii="Times New Roman" w:cs="Times New Roman" w:eastAsia="Times New Roman" w:hAnsi="Times New Roman"/>
          <w:sz w:val="20"/>
          <w:szCs w:val="20"/>
          <w:u w:val="single" w:color="auto"/>
          <w:color w:val="0000FF"/>
        </w:rPr>
        <w:t>Quantitative and Qualitative Disclosures About Market Risk</w:t>
      </w:r>
      <w:r>
        <w:rPr>
          <w:sz w:val="20"/>
          <w:szCs w:val="20"/>
          <w:color w:val="auto"/>
        </w:rPr>
        <w:tab/>
      </w:r>
      <w:r>
        <w:rPr>
          <w:rFonts w:ascii="Times New Roman" w:cs="Times New Roman" w:eastAsia="Times New Roman" w:hAnsi="Times New Roman"/>
          <w:sz w:val="20"/>
          <w:szCs w:val="20"/>
          <w:u w:val="single" w:color="auto"/>
          <w:color w:val="0000FF"/>
        </w:rPr>
        <w:t>40</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8.</w:t>
      </w:r>
      <w:r>
        <w:rPr>
          <w:sz w:val="20"/>
          <w:szCs w:val="20"/>
          <w:color w:val="auto"/>
        </w:rPr>
        <w:tab/>
      </w:r>
      <w:r>
        <w:rPr>
          <w:rFonts w:ascii="Times New Roman" w:cs="Times New Roman" w:eastAsia="Times New Roman" w:hAnsi="Times New Roman"/>
          <w:sz w:val="20"/>
          <w:szCs w:val="20"/>
          <w:u w:val="single" w:color="auto"/>
          <w:color w:val="0000FF"/>
        </w:rPr>
        <w:t>Financial Statements and Supplementary Data</w:t>
      </w:r>
      <w:r>
        <w:rPr>
          <w:sz w:val="20"/>
          <w:szCs w:val="20"/>
          <w:color w:val="auto"/>
        </w:rPr>
        <w:tab/>
      </w:r>
      <w:r>
        <w:rPr>
          <w:rFonts w:ascii="Times New Roman" w:cs="Times New Roman" w:eastAsia="Times New Roman" w:hAnsi="Times New Roman"/>
          <w:sz w:val="20"/>
          <w:szCs w:val="20"/>
          <w:u w:val="single" w:color="auto"/>
          <w:color w:val="0000FF"/>
        </w:rPr>
        <w:t>41</w:t>
      </w:r>
    </w:p>
    <w:p>
      <w:pPr>
        <w:spacing w:after="0" w:line="47" w:lineRule="exact"/>
        <w:rPr>
          <w:sz w:val="20"/>
          <w:szCs w:val="20"/>
          <w:color w:val="auto"/>
        </w:rPr>
      </w:pPr>
    </w:p>
    <w:p>
      <w:pPr>
        <w:spacing w:after="0"/>
        <w:tabs>
          <w:tab w:leader="none" w:pos="1760" w:val="left"/>
          <w:tab w:leader="none" w:pos="9080" w:val="left"/>
        </w:tabs>
        <w:rPr>
          <w:sz w:val="20"/>
          <w:szCs w:val="20"/>
          <w:color w:val="auto"/>
        </w:rPr>
      </w:pPr>
      <w:r>
        <w:rPr>
          <w:rFonts w:ascii="Times New Roman" w:cs="Times New Roman" w:eastAsia="Times New Roman" w:hAnsi="Times New Roman"/>
          <w:sz w:val="20"/>
          <w:szCs w:val="20"/>
          <w:u w:val="single" w:color="auto"/>
          <w:color w:val="0000FF"/>
        </w:rPr>
        <w:t>Item 9.</w:t>
      </w:r>
      <w:r>
        <w:rPr>
          <w:sz w:val="20"/>
          <w:szCs w:val="20"/>
          <w:color w:val="auto"/>
        </w:rPr>
        <w:tab/>
      </w:r>
      <w:r>
        <w:rPr>
          <w:rFonts w:ascii="Times New Roman" w:cs="Times New Roman" w:eastAsia="Times New Roman" w:hAnsi="Times New Roman"/>
          <w:sz w:val="20"/>
          <w:szCs w:val="20"/>
          <w:u w:val="single" w:color="auto"/>
          <w:color w:val="0000FF"/>
        </w:rPr>
        <w:t>Changes in and Disagreements with Accountants on Accounting and Financial</w:t>
      </w:r>
      <w:r>
        <w:rPr>
          <w:sz w:val="20"/>
          <w:szCs w:val="20"/>
          <w:color w:val="auto"/>
        </w:rPr>
        <w:tab/>
      </w:r>
      <w:r>
        <w:rPr>
          <w:rFonts w:ascii="Times New Roman" w:cs="Times New Roman" w:eastAsia="Times New Roman" w:hAnsi="Times New Roman"/>
          <w:sz w:val="20"/>
          <w:szCs w:val="20"/>
          <w:u w:val="single" w:color="auto"/>
          <w:color w:val="0000FF"/>
        </w:rPr>
        <w:t>80</w:t>
      </w:r>
    </w:p>
    <w:p>
      <w:pPr>
        <w:ind w:left="1780"/>
        <w:spacing w:after="0"/>
        <w:tabs>
          <w:tab w:leader="none" w:pos="2620" w:val="left"/>
        </w:tabs>
        <w:rPr>
          <w:sz w:val="20"/>
          <w:szCs w:val="20"/>
          <w:color w:val="auto"/>
        </w:rPr>
      </w:pPr>
      <w:r>
        <w:rPr>
          <w:rFonts w:ascii="Times New Roman" w:cs="Times New Roman" w:eastAsia="Times New Roman" w:hAnsi="Times New Roman"/>
          <w:sz w:val="20"/>
          <w:szCs w:val="20"/>
          <w:u w:val="single" w:color="auto"/>
          <w:color w:val="0000FF"/>
        </w:rPr>
        <w:t>Disclosure</w:t>
      </w:r>
      <w:r>
        <w:rPr>
          <w:sz w:val="20"/>
          <w:szCs w:val="20"/>
          <w:color w:val="auto"/>
        </w:rPr>
        <w:tab/>
      </w:r>
      <w:r>
        <w:rPr>
          <w:rFonts w:ascii="Times New Roman" w:cs="Times New Roman" w:eastAsia="Times New Roman" w:hAnsi="Times New Roman"/>
          <w:sz w:val="20"/>
          <w:szCs w:val="20"/>
          <w:color w:val="B4B4B4"/>
        </w:rPr>
        <w:t>.......................................................................................................................</w:t>
      </w:r>
    </w:p>
    <w:p>
      <w:pPr>
        <w:spacing w:after="0" w:line="13"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9A.</w:t>
      </w:r>
      <w:r>
        <w:rPr>
          <w:sz w:val="20"/>
          <w:szCs w:val="20"/>
          <w:color w:val="auto"/>
        </w:rPr>
        <w:tab/>
      </w:r>
      <w:r>
        <w:rPr>
          <w:rFonts w:ascii="Times New Roman" w:cs="Times New Roman" w:eastAsia="Times New Roman" w:hAnsi="Times New Roman"/>
          <w:sz w:val="20"/>
          <w:szCs w:val="20"/>
          <w:u w:val="single" w:color="auto"/>
          <w:color w:val="0000FF"/>
        </w:rPr>
        <w:t>Controls and Procedures</w:t>
      </w:r>
      <w:r>
        <w:rPr>
          <w:sz w:val="20"/>
          <w:szCs w:val="20"/>
          <w:color w:val="auto"/>
        </w:rPr>
        <w:tab/>
      </w:r>
      <w:r>
        <w:rPr>
          <w:rFonts w:ascii="Times New Roman" w:cs="Times New Roman" w:eastAsia="Times New Roman" w:hAnsi="Times New Roman"/>
          <w:sz w:val="20"/>
          <w:szCs w:val="20"/>
          <w:u w:val="single" w:color="auto"/>
          <w:color w:val="0000FF"/>
        </w:rPr>
        <w:t>80</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9B.</w:t>
      </w:r>
      <w:r>
        <w:rPr>
          <w:sz w:val="20"/>
          <w:szCs w:val="20"/>
          <w:color w:val="auto"/>
        </w:rPr>
        <w:tab/>
      </w:r>
      <w:r>
        <w:rPr>
          <w:rFonts w:ascii="Times New Roman" w:cs="Times New Roman" w:eastAsia="Times New Roman" w:hAnsi="Times New Roman"/>
          <w:sz w:val="20"/>
          <w:szCs w:val="20"/>
          <w:u w:val="single" w:color="auto"/>
          <w:color w:val="0000FF"/>
        </w:rPr>
        <w:t>Other Information</w:t>
      </w:r>
      <w:r>
        <w:rPr>
          <w:sz w:val="20"/>
          <w:szCs w:val="20"/>
          <w:color w:val="auto"/>
        </w:rPr>
        <w:tab/>
      </w:r>
      <w:r>
        <w:rPr>
          <w:rFonts w:ascii="Times New Roman" w:cs="Times New Roman" w:eastAsia="Times New Roman" w:hAnsi="Times New Roman"/>
          <w:sz w:val="20"/>
          <w:szCs w:val="20"/>
          <w:u w:val="single" w:color="auto"/>
          <w:color w:val="0000FF"/>
        </w:rPr>
        <w:t>82</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9C.</w:t>
      </w:r>
      <w:r>
        <w:rPr>
          <w:sz w:val="20"/>
          <w:szCs w:val="20"/>
          <w:color w:val="auto"/>
        </w:rPr>
        <w:tab/>
      </w:r>
      <w:r>
        <w:rPr>
          <w:rFonts w:ascii="Times New Roman" w:cs="Times New Roman" w:eastAsia="Times New Roman" w:hAnsi="Times New Roman"/>
          <w:sz w:val="20"/>
          <w:szCs w:val="20"/>
          <w:u w:val="single" w:color="auto"/>
          <w:color w:val="0000FF"/>
        </w:rPr>
        <w:t>Disclosure Regarding Foreign Jurisdictions that Prevent Inspections</w:t>
      </w:r>
      <w:r>
        <w:rPr>
          <w:sz w:val="20"/>
          <w:szCs w:val="20"/>
          <w:color w:val="auto"/>
        </w:rPr>
        <w:tab/>
      </w:r>
      <w:r>
        <w:rPr>
          <w:rFonts w:ascii="Times New Roman" w:cs="Times New Roman" w:eastAsia="Times New Roman" w:hAnsi="Times New Roman"/>
          <w:sz w:val="20"/>
          <w:szCs w:val="20"/>
          <w:u w:val="single" w:color="auto"/>
          <w:color w:val="0000FF"/>
        </w:rPr>
        <w:t>82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III.</w:t>
      </w:r>
    </w:p>
    <w:p>
      <w:pPr>
        <w:spacing w:after="0" w:line="62"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10.</w:t>
      </w:r>
      <w:r>
        <w:rPr>
          <w:sz w:val="20"/>
          <w:szCs w:val="20"/>
          <w:color w:val="auto"/>
        </w:rPr>
        <w:tab/>
      </w:r>
      <w:r>
        <w:rPr>
          <w:rFonts w:ascii="Times New Roman" w:cs="Times New Roman" w:eastAsia="Times New Roman" w:hAnsi="Times New Roman"/>
          <w:sz w:val="20"/>
          <w:szCs w:val="20"/>
          <w:u w:val="single" w:color="auto"/>
          <w:color w:val="0000FF"/>
        </w:rPr>
        <w:t>Directors, Executive Officers and Corporate Governance</w:t>
      </w:r>
      <w:r>
        <w:rPr>
          <w:sz w:val="20"/>
          <w:szCs w:val="20"/>
          <w:color w:val="auto"/>
        </w:rPr>
        <w:tab/>
      </w:r>
      <w:r>
        <w:rPr>
          <w:rFonts w:ascii="Times New Roman" w:cs="Times New Roman" w:eastAsia="Times New Roman" w:hAnsi="Times New Roman"/>
          <w:sz w:val="20"/>
          <w:szCs w:val="20"/>
          <w:u w:val="single" w:color="auto"/>
          <w:color w:val="0000FF"/>
        </w:rPr>
        <w:t>83</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11.</w:t>
      </w:r>
      <w:r>
        <w:rPr>
          <w:sz w:val="20"/>
          <w:szCs w:val="20"/>
          <w:color w:val="auto"/>
        </w:rPr>
        <w:tab/>
      </w:r>
      <w:r>
        <w:rPr>
          <w:rFonts w:ascii="Times New Roman" w:cs="Times New Roman" w:eastAsia="Times New Roman" w:hAnsi="Times New Roman"/>
          <w:sz w:val="20"/>
          <w:szCs w:val="20"/>
          <w:u w:val="single" w:color="auto"/>
          <w:color w:val="0000FF"/>
        </w:rPr>
        <w:t>Executive Compensation</w:t>
      </w:r>
      <w:r>
        <w:rPr>
          <w:sz w:val="20"/>
          <w:szCs w:val="20"/>
          <w:color w:val="auto"/>
        </w:rPr>
        <w:tab/>
      </w:r>
      <w:r>
        <w:rPr>
          <w:rFonts w:ascii="Times New Roman" w:cs="Times New Roman" w:eastAsia="Times New Roman" w:hAnsi="Times New Roman"/>
          <w:sz w:val="20"/>
          <w:szCs w:val="20"/>
          <w:u w:val="single" w:color="auto"/>
          <w:color w:val="0000FF"/>
        </w:rPr>
        <w:t>83</w:t>
      </w:r>
    </w:p>
    <w:p>
      <w:pPr>
        <w:spacing w:after="0" w:line="47" w:lineRule="exact"/>
        <w:rPr>
          <w:sz w:val="20"/>
          <w:szCs w:val="20"/>
          <w:color w:val="auto"/>
        </w:rPr>
      </w:pPr>
    </w:p>
    <w:p>
      <w:pPr>
        <w:spacing w:after="0"/>
        <w:tabs>
          <w:tab w:leader="none" w:pos="1760" w:val="left"/>
          <w:tab w:leader="none" w:pos="9080" w:val="left"/>
        </w:tabs>
        <w:rPr>
          <w:sz w:val="20"/>
          <w:szCs w:val="20"/>
          <w:color w:val="auto"/>
        </w:rPr>
      </w:pPr>
      <w:r>
        <w:rPr>
          <w:rFonts w:ascii="Times New Roman" w:cs="Times New Roman" w:eastAsia="Times New Roman" w:hAnsi="Times New Roman"/>
          <w:sz w:val="20"/>
          <w:szCs w:val="20"/>
          <w:u w:val="single" w:color="auto"/>
          <w:color w:val="0000FF"/>
        </w:rPr>
        <w:t>Item 12.</w:t>
      </w:r>
      <w:r>
        <w:rPr>
          <w:sz w:val="20"/>
          <w:szCs w:val="20"/>
          <w:color w:val="auto"/>
        </w:rPr>
        <w:tab/>
      </w:r>
      <w:r>
        <w:rPr>
          <w:rFonts w:ascii="Times New Roman" w:cs="Times New Roman" w:eastAsia="Times New Roman" w:hAnsi="Times New Roman"/>
          <w:sz w:val="20"/>
          <w:szCs w:val="20"/>
          <w:u w:val="single" w:color="auto"/>
          <w:color w:val="0000FF"/>
        </w:rPr>
        <w:t>Security Ownership of Certain Beneficial Owners and Management and Related</w:t>
      </w:r>
      <w:r>
        <w:rPr>
          <w:sz w:val="20"/>
          <w:szCs w:val="20"/>
          <w:color w:val="auto"/>
        </w:rPr>
        <w:tab/>
      </w:r>
      <w:r>
        <w:rPr>
          <w:rFonts w:ascii="Times New Roman" w:cs="Times New Roman" w:eastAsia="Times New Roman" w:hAnsi="Times New Roman"/>
          <w:sz w:val="20"/>
          <w:szCs w:val="20"/>
          <w:u w:val="single" w:color="auto"/>
          <w:color w:val="0000FF"/>
        </w:rPr>
        <w:t>83</w:t>
      </w:r>
    </w:p>
    <w:p>
      <w:pPr>
        <w:ind w:left="1780"/>
        <w:spacing w:after="0"/>
        <w:tabs>
          <w:tab w:leader="none" w:pos="3420" w:val="left"/>
        </w:tabs>
        <w:rPr>
          <w:sz w:val="20"/>
          <w:szCs w:val="20"/>
          <w:color w:val="auto"/>
        </w:rPr>
      </w:pPr>
      <w:r>
        <w:rPr>
          <w:rFonts w:ascii="Times New Roman" w:cs="Times New Roman" w:eastAsia="Times New Roman" w:hAnsi="Times New Roman"/>
          <w:sz w:val="20"/>
          <w:szCs w:val="20"/>
          <w:u w:val="single" w:color="auto"/>
          <w:color w:val="0000FF"/>
        </w:rPr>
        <w:t>Stockholder Matters</w:t>
      </w:r>
      <w:r>
        <w:rPr>
          <w:sz w:val="20"/>
          <w:szCs w:val="20"/>
          <w:color w:val="auto"/>
        </w:rPr>
        <w:tab/>
      </w:r>
      <w:r>
        <w:rPr>
          <w:rFonts w:ascii="Times New Roman" w:cs="Times New Roman" w:eastAsia="Times New Roman" w:hAnsi="Times New Roman"/>
          <w:sz w:val="19"/>
          <w:szCs w:val="19"/>
          <w:color w:val="B4B4B4"/>
        </w:rPr>
        <w:t>.......................................................................................................</w:t>
      </w:r>
    </w:p>
    <w:p>
      <w:pPr>
        <w:spacing w:after="0" w:line="13"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13.</w:t>
      </w:r>
      <w:r>
        <w:rPr>
          <w:sz w:val="20"/>
          <w:szCs w:val="20"/>
          <w:color w:val="auto"/>
        </w:rPr>
        <w:tab/>
      </w:r>
      <w:r>
        <w:rPr>
          <w:rFonts w:ascii="Times New Roman" w:cs="Times New Roman" w:eastAsia="Times New Roman" w:hAnsi="Times New Roman"/>
          <w:sz w:val="20"/>
          <w:szCs w:val="20"/>
          <w:u w:val="single" w:color="auto"/>
          <w:color w:val="0000FF"/>
        </w:rPr>
        <w:t>Certain Relationships and Related Transactions, and Director Independence</w:t>
      </w:r>
      <w:r>
        <w:rPr>
          <w:sz w:val="20"/>
          <w:szCs w:val="20"/>
          <w:color w:val="auto"/>
        </w:rPr>
        <w:tab/>
      </w:r>
      <w:r>
        <w:rPr>
          <w:rFonts w:ascii="Times New Roman" w:cs="Times New Roman" w:eastAsia="Times New Roman" w:hAnsi="Times New Roman"/>
          <w:sz w:val="20"/>
          <w:szCs w:val="20"/>
          <w:u w:val="single" w:color="auto"/>
          <w:color w:val="0000FF"/>
        </w:rPr>
        <w:t>83</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14.</w:t>
      </w:r>
      <w:r>
        <w:rPr>
          <w:sz w:val="20"/>
          <w:szCs w:val="20"/>
          <w:color w:val="auto"/>
        </w:rPr>
        <w:tab/>
      </w:r>
      <w:r>
        <w:rPr>
          <w:rFonts w:ascii="Times New Roman" w:cs="Times New Roman" w:eastAsia="Times New Roman" w:hAnsi="Times New Roman"/>
          <w:sz w:val="20"/>
          <w:szCs w:val="20"/>
          <w:u w:val="single" w:color="auto"/>
          <w:color w:val="0000FF"/>
        </w:rPr>
        <w:t>Principal Accountant Fees and Services</w:t>
      </w:r>
      <w:r>
        <w:rPr>
          <w:sz w:val="20"/>
          <w:szCs w:val="20"/>
          <w:color w:val="auto"/>
        </w:rPr>
        <w:tab/>
      </w:r>
      <w:r>
        <w:rPr>
          <w:rFonts w:ascii="Times New Roman" w:cs="Times New Roman" w:eastAsia="Times New Roman" w:hAnsi="Times New Roman"/>
          <w:sz w:val="20"/>
          <w:szCs w:val="20"/>
          <w:u w:val="single" w:color="auto"/>
          <w:color w:val="0000FF"/>
        </w:rPr>
        <w:t>83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IV.</w:t>
      </w:r>
    </w:p>
    <w:p>
      <w:pPr>
        <w:spacing w:after="0" w:line="62" w:lineRule="exact"/>
        <w:rPr>
          <w:sz w:val="20"/>
          <w:szCs w:val="20"/>
          <w:color w:val="auto"/>
        </w:rPr>
      </w:pPr>
    </w:p>
    <w:p>
      <w:pPr>
        <w:spacing w:after="0"/>
        <w:tabs>
          <w:tab w:leader="dot"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15.</w:t>
      </w:r>
      <w:r>
        <w:rPr>
          <w:sz w:val="20"/>
          <w:szCs w:val="20"/>
          <w:color w:val="auto"/>
        </w:rPr>
        <w:tab/>
      </w:r>
      <w:r>
        <w:rPr>
          <w:rFonts w:ascii="Times New Roman" w:cs="Times New Roman" w:eastAsia="Times New Roman" w:hAnsi="Times New Roman"/>
          <w:sz w:val="20"/>
          <w:szCs w:val="20"/>
          <w:u w:val="single" w:color="auto"/>
          <w:color w:val="0000FF"/>
        </w:rPr>
        <w:t>Exhibits and Financial Statement Schedules</w:t>
      </w:r>
      <w:r>
        <w:rPr>
          <w:sz w:val="20"/>
          <w:szCs w:val="20"/>
          <w:color w:val="auto"/>
        </w:rPr>
        <w:tab/>
      </w:r>
      <w:r>
        <w:rPr>
          <w:rFonts w:ascii="Times New Roman" w:cs="Times New Roman" w:eastAsia="Times New Roman" w:hAnsi="Times New Roman"/>
          <w:sz w:val="20"/>
          <w:szCs w:val="20"/>
          <w:u w:val="single" w:color="auto"/>
          <w:color w:val="0000FF"/>
        </w:rPr>
        <w:t>84</w:t>
      </w:r>
    </w:p>
    <w:p>
      <w:pPr>
        <w:spacing w:after="0" w:line="55" w:lineRule="exact"/>
        <w:rPr>
          <w:sz w:val="20"/>
          <w:szCs w:val="20"/>
          <w:color w:val="auto"/>
        </w:rPr>
      </w:pPr>
    </w:p>
    <w:p>
      <w:pPr>
        <w:spacing w:after="0"/>
        <w:tabs>
          <w:tab w:leader="dot"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16.</w:t>
      </w:r>
      <w:r>
        <w:rPr>
          <w:sz w:val="20"/>
          <w:szCs w:val="20"/>
          <w:color w:val="auto"/>
        </w:rPr>
        <w:tab/>
      </w:r>
      <w:r>
        <w:rPr>
          <w:rFonts w:ascii="Times New Roman" w:cs="Times New Roman" w:eastAsia="Times New Roman" w:hAnsi="Times New Roman"/>
          <w:sz w:val="20"/>
          <w:szCs w:val="20"/>
          <w:u w:val="single" w:color="auto"/>
          <w:color w:val="0000FF"/>
        </w:rPr>
        <w:t>Form 10-K Summary</w:t>
      </w:r>
      <w:r>
        <w:rPr>
          <w:sz w:val="20"/>
          <w:szCs w:val="20"/>
          <w:color w:val="auto"/>
        </w:rPr>
        <w:tab/>
      </w:r>
      <w:r>
        <w:rPr>
          <w:rFonts w:ascii="Times New Roman" w:cs="Times New Roman" w:eastAsia="Times New Roman" w:hAnsi="Times New Roman"/>
          <w:sz w:val="20"/>
          <w:szCs w:val="20"/>
          <w:u w:val="single" w:color="auto"/>
          <w:color w:val="0000FF"/>
        </w:rPr>
        <w:t>86</w:t>
      </w:r>
    </w:p>
    <w:p>
      <w:pPr>
        <w:spacing w:after="0" w:line="55" w:lineRule="exact"/>
        <w:rPr>
          <w:sz w:val="20"/>
          <w:szCs w:val="20"/>
          <w:color w:val="auto"/>
        </w:rPr>
      </w:pPr>
    </w:p>
    <w:p>
      <w:pPr>
        <w:spacing w:after="0"/>
        <w:tabs>
          <w:tab w:leader="dot" w:pos="9080" w:val="left"/>
        </w:tabs>
        <w:rPr>
          <w:sz w:val="20"/>
          <w:szCs w:val="20"/>
          <w:color w:val="auto"/>
        </w:rPr>
      </w:pPr>
      <w:r>
        <w:rPr>
          <w:rFonts w:ascii="Times New Roman" w:cs="Times New Roman" w:eastAsia="Times New Roman" w:hAnsi="Times New Roman"/>
          <w:sz w:val="20"/>
          <w:szCs w:val="20"/>
          <w:u w:val="single" w:color="auto"/>
          <w:color w:val="0000FF"/>
        </w:rPr>
        <w:t>SIGNATURES</w:t>
      </w:r>
      <w:r>
        <w:rPr>
          <w:sz w:val="20"/>
          <w:szCs w:val="20"/>
          <w:color w:val="auto"/>
        </w:rPr>
        <w:tab/>
      </w:r>
      <w:r>
        <w:rPr>
          <w:rFonts w:ascii="Times New Roman" w:cs="Times New Roman" w:eastAsia="Times New Roman" w:hAnsi="Times New Roman"/>
          <w:sz w:val="20"/>
          <w:szCs w:val="20"/>
          <w:u w:val="single" w:color="auto"/>
          <w:color w:val="0000FF"/>
        </w:rPr>
        <w:t>87</w:t>
      </w:r>
    </w:p>
    <w:p>
      <w:pPr>
        <w:sectPr>
          <w:pgSz w:w="12240" w:h="15840" w:orient="portrait"/>
          <w:cols w:equalWidth="0" w:num="1">
            <w:col w:w="9620"/>
          </w:cols>
          <w:pgMar w:left="1180" w:top="1371" w:right="1440" w:bottom="1440" w:gutter="0" w:footer="0" w:header="0"/>
        </w:sectPr>
      </w:pPr>
    </w:p>
    <w:bookmarkStart w:id="2" w:name="page3"/>
    <w:bookmarkEnd w:id="2"/>
    <w:p>
      <w:pPr>
        <w:jc w:val="both"/>
        <w:ind w:left="10" w:right="20" w:firstLine="360"/>
        <w:spacing w:after="0" w:line="212" w:lineRule="auto"/>
        <w:rPr>
          <w:sz w:val="20"/>
          <w:szCs w:val="20"/>
          <w:color w:val="auto"/>
        </w:rPr>
      </w:pPr>
      <w:r>
        <w:rPr>
          <w:rFonts w:ascii="Times New Roman" w:cs="Times New Roman" w:eastAsia="Times New Roman" w:hAnsi="Times New Roman"/>
          <w:sz w:val="20"/>
          <w:szCs w:val="20"/>
          <w:color w:val="auto"/>
        </w:rPr>
        <w:t>On June 24, 2021 (the “Closing Date” or the “Closing”), Perella Weinberg Partners consummated a business combination pursuant to that certain Business Combination Agreement, dated as of December 29, 2020 (the “Business Combination Agreement”). As contemplated by the Business Combination Agreement, (i) Perella Weinberg Partners acquired certain partnership interests in PWP Holdings LP (“PWP OpCo”), (ii) PWP OpCo became jointly-owned by Perella Weinberg Partners, PWP Professional Partners LP (together with its successors (including pursuant to the Division (as defined below)) and assigns, as applicable, “Professional Partners”) and certain existing partners of PWP OpCo, and</w:t>
      </w:r>
    </w:p>
    <w:p>
      <w:pPr>
        <w:spacing w:after="0" w:line="3" w:lineRule="exact"/>
        <w:rPr>
          <w:sz w:val="20"/>
          <w:szCs w:val="20"/>
          <w:color w:val="auto"/>
        </w:rPr>
      </w:pPr>
    </w:p>
    <w:p>
      <w:pPr>
        <w:jc w:val="both"/>
        <w:ind w:left="10" w:hanging="10"/>
        <w:spacing w:after="0" w:line="212" w:lineRule="auto"/>
        <w:tabs>
          <w:tab w:leader="none" w:pos="37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PWP OpCo serves as Perella Weinberg Partners’ operating partnership as part of an umbrella limited partnership C-corporation (Up-C) structure (collectively with the other transactions contemplated by the Business Combination Agreement, the “Business Combination”). On December 31, 2023 and as part of an internal reorganization, Professional Partners was divided into three partnerships pursuant to a plan of division (the “Division”), which, among other things, provided that (i) all of its limited partnership interests in PWP OpCo were allocated to one of the divided partnerships, PWP AdCo Professionals LP (“AdCo Professionals”), (ii) all of its shares of Class B-1 common stock of Perella Weinberg Partners were allocated to another divided partnership, PWP VoteCo Professionals LP (“VoteCo Professionals”) and (iii) PWP Professional Partners LP changed its name to PWP AmCo Professional Partners LP. On April 1, 2024, as part of this internal reorganization, AdCo Professionals merged with and into PWP OpCo (the “Merger”). Unless the context otherwise requires, all references to the “Company,” “we,” “us” or “our” refer to Perella Weinberg Partners and its consolidated subsidiaries following the Business Combination, other than certain historical information which refers to the business of PWP OpCo prior to the consummation of the Business Combination.</w:t>
      </w:r>
    </w:p>
    <w:p>
      <w:pPr>
        <w:spacing w:after="0" w:line="17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w:t>
      </w:r>
    </w:p>
    <w:p>
      <w:pPr>
        <w:spacing w:after="0" w:line="217" w:lineRule="exact"/>
        <w:rPr>
          <w:sz w:val="20"/>
          <w:szCs w:val="20"/>
          <w:color w:val="auto"/>
        </w:rPr>
      </w:pPr>
    </w:p>
    <w:p>
      <w:pPr>
        <w:jc w:val="both"/>
        <w:ind w:left="10" w:firstLine="360"/>
        <w:spacing w:after="0" w:line="214" w:lineRule="auto"/>
        <w:rPr>
          <w:sz w:val="20"/>
          <w:szCs w:val="20"/>
          <w:color w:val="auto"/>
        </w:rPr>
      </w:pPr>
      <w:r>
        <w:rPr>
          <w:rFonts w:ascii="Times New Roman" w:cs="Times New Roman" w:eastAsia="Times New Roman" w:hAnsi="Times New Roman"/>
          <w:sz w:val="20"/>
          <w:szCs w:val="20"/>
          <w:color w:val="auto"/>
        </w:rPr>
        <w:t>Certain statements made in this Annual Report on Form 10-K are “forward looking statements” within the meaning of the federal securities laws, including the Private Securities Litigation Reform Act of 1995, Section 27A of the Securities Act of 1933, as amended (the “Securities Act”), and Section 21E of the Securities Exchange Act of 1934, as amended (the “Exchange Act”). Statements regarding expectations for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w:t>
      </w:r>
    </w:p>
    <w:p>
      <w:pPr>
        <w:spacing w:after="0" w:line="184" w:lineRule="exact"/>
        <w:rPr>
          <w:sz w:val="20"/>
          <w:szCs w:val="20"/>
          <w:color w:val="auto"/>
        </w:rPr>
      </w:pPr>
    </w:p>
    <w:p>
      <w:pPr>
        <w:jc w:val="both"/>
        <w:ind w:left="10" w:firstLine="360"/>
        <w:spacing w:after="0" w:line="214" w:lineRule="auto"/>
        <w:rPr>
          <w:sz w:val="20"/>
          <w:szCs w:val="20"/>
          <w:color w:val="auto"/>
        </w:rPr>
      </w:pPr>
      <w:r>
        <w:rPr>
          <w:rFonts w:ascii="Times New Roman" w:cs="Times New Roman" w:eastAsia="Times New Roman" w:hAnsi="Times New Roman"/>
          <w:sz w:val="20"/>
          <w:szCs w:val="20"/>
          <w:color w:val="auto"/>
        </w:rPr>
        <w:t xml:space="preserve">Important factors, among others, that may affect actual results or outcomes include (but are not limited to): changing market conditions; the Company's ability to execute on its growth initiatives, business strategies or operating plans; the Company's ability to successfully identify, recruit, develop and retain talent; the Company's dependence on its fee-paying clients and fluctuating revenues from its non-exclusive, engagement-by-engagement business model; the high volatility of the Company's revenue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substantial litigation risks in the financial services industry; cybersecurity and other operational risks; extensive regulation of the corporate advisory industry and U.S. and foreign regulatory developments relating to, among other things, financial institutions and markets, government oversight, fiscal and tax policy and laws; and other risks and uncertainties described under </w:t>
      </w:r>
      <w:r>
        <w:rPr>
          <w:rFonts w:ascii="Times New Roman" w:cs="Times New Roman" w:eastAsia="Times New Roman" w:hAnsi="Times New Roman"/>
          <w:sz w:val="20"/>
          <w:szCs w:val="20"/>
          <w:b w:val="1"/>
          <w:bCs w:val="1"/>
          <w:i w:val="1"/>
          <w:iCs w:val="1"/>
          <w:color w:val="auto"/>
        </w:rPr>
        <w:t>“Part I—Item 1A. Risk Factors.”</w:t>
      </w:r>
    </w:p>
    <w:p>
      <w:pPr>
        <w:spacing w:after="0" w:line="184" w:lineRule="exact"/>
        <w:rPr>
          <w:sz w:val="20"/>
          <w:szCs w:val="20"/>
          <w:color w:val="auto"/>
        </w:rPr>
      </w:pPr>
    </w:p>
    <w:p>
      <w:pPr>
        <w:jc w:val="both"/>
        <w:ind w:left="10" w:right="20" w:firstLine="360"/>
        <w:spacing w:after="0" w:line="221" w:lineRule="auto"/>
        <w:rPr>
          <w:sz w:val="20"/>
          <w:szCs w:val="20"/>
          <w:color w:val="auto"/>
        </w:rPr>
      </w:pPr>
      <w:r>
        <w:rPr>
          <w:rFonts w:ascii="Times New Roman" w:cs="Times New Roman" w:eastAsia="Times New Roman" w:hAnsi="Times New Roman"/>
          <w:sz w:val="20"/>
          <w:szCs w:val="20"/>
          <w:color w:val="auto"/>
        </w:rPr>
        <w:t>The forward-looking statements contained in this Annual Report on Form 10-K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ectPr>
          <w:pgSz w:w="12240" w:h="15840" w:orient="portrait"/>
          <w:cols w:equalWidth="0" w:num="1">
            <w:col w:w="9910"/>
          </w:cols>
          <w:pgMar w:left="117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910"/>
          </w:cols>
          <w:pgMar w:left="1170" w:top="1378" w:right="1160" w:bottom="169"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Website Disclosure</w:t>
      </w:r>
    </w:p>
    <w:p>
      <w:pPr>
        <w:spacing w:after="0" w:line="217"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We file annual, quarterly and current reports, proxy statements and other information with the Securities and Exchange Commission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pacing w:after="0" w:line="184"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The Company uses its investor relations website (investors.pwpartners.com), press releases, SEC filings and public conference calls and webcasts to announce material financial and operational information to its investors. The Company may also use certain social media accounts as additional means of disclosing information about the Company to comply with its disclosure obligations under Regulation FD, including its LinkedIn account (https://www.linkedin.com/company/ perella-weinberg-partners/).</w:t>
      </w:r>
    </w:p>
    <w:p>
      <w:pPr>
        <w:spacing w:after="0" w:line="181"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The information the Company posts through these social media accounts may be material. Accordingly, investors should monitor these social media accounts in addition to following the Company's press releases, SEC filings and public conference calls and webcasts. The contents of the Company's website and its social media channels are not incorporated by reference in this Annual Report on Form 10-K or in any other report or document the Company files with the SEC, and any references to websites are intended to be inactive textual references only.</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900"/>
          </w:cols>
          <w:pgMar w:left="1180" w:top="1371" w:right="1160" w:bottom="169" w:gutter="0" w:footer="0" w:header="0"/>
          <w:type w:val="continuous"/>
        </w:sectPr>
      </w:pPr>
    </w:p>
    <w:bookmarkStart w:id="4" w:name="page5"/>
    <w:bookmarkEnd w:id="4"/>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17"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are a leading global independent advisory firm that provides strategic and financial advice to clients across the most active industry sectors and international markets. Our wide range of global clients include large public multinational corporations, mid-sized public and private companies, financial sponsors, individual entrepreneurs, private and institutional investors, creditor committees and government institutions.</w:t>
      </w:r>
    </w:p>
    <w:p>
      <w:pPr>
        <w:spacing w:after="0" w:line="181"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89"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Our business provides services to multiple industry sectors, geographic markets and advisory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strategic and financial decisions, mergers and acquisitions (“M&amp;A”) execution, shareholder engagement advisory, financing and capital solutions advice with a focus on restructuring and liability management, capital markets advisory, private funds advisory, and private capital placement, as well as specialized underwriting and research services primarily for the energy and related industries.</w:t>
      </w:r>
    </w:p>
    <w:p>
      <w:pPr>
        <w:spacing w:after="0" w:line="18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As of December 31, 2025, we serve our clients with 549 advisory professionals, including 75 advisory partners and 47 advisory managing directors, based in twelve offices, located in five countries around the world.</w:t>
      </w:r>
    </w:p>
    <w:p>
      <w:pPr>
        <w:spacing w:after="0" w:line="181"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For the years ended December 31, 2025, 2024, and 2023, we achieved revenues of $750.9 million, $878.0 million, and $648.7 million, respectively, and operating income (losses) of $48.0 million, $(78.5) million, and $(115.1) million, respectively. The operating losses were largely due to the amortization of equity-based compensation awards granted by Professional Partners in connection with the Business Combination and a related internal reorganization of Professional Partners (the “Professional Partners Awards”), which were fully amortized in 2024, and the amortization of equity-based compensation awards granted in connection with the Business Combination. These awards have been and will be recorded as an equity-based compensation expense at PWP OpCo pursuant to generally accepted accounting principles in the United States (“U.S. GAAP”).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Market Opportunity</w:t>
      </w:r>
    </w:p>
    <w:p>
      <w:pPr>
        <w:spacing w:after="0" w:line="217"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founded our Company with the objective of providing strategic and financial advice to business leaders that is critical to the success of their businesses throughout their corporate evolution. We believe that clients are increasingly looking for an independent advisor who can serve as an unbiased sounding board, work with them in genuine partnership and be by their side as they navigate mission-critical and complex issues.</w:t>
      </w:r>
    </w:p>
    <w:p>
      <w:pPr>
        <w:sectPr>
          <w:pgSz w:w="12240" w:h="15840" w:orient="portrait"/>
          <w:cols w:equalWidth="0" w:num="1">
            <w:col w:w="9900"/>
          </w:cols>
          <w:pgMar w:left="1180" w:top="1440"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900"/>
          </w:cols>
          <w:pgMar w:left="1180" w:top="1440" w:right="1160" w:bottom="169"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Our Key Competitive Strengths</w:t>
      </w:r>
    </w:p>
    <w:p>
      <w:pPr>
        <w:spacing w:after="0" w:line="217"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When we founded the Company, we saw a compelling market opportunity to create a platform with deeply experienced, senior advisory professionals from the most reputable institutions around the world to focus solely on advising clients.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We believe that our integrated approach and our partnership culture in how we work with each other and our clients provides an ideal platform to deliver the strategic and financial advice sought by our clients.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Growth Strategy</w:t>
      </w:r>
    </w:p>
    <w:p>
      <w:pPr>
        <w:spacing w:after="0" w:line="217"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Our growth strategy centers on increasing the depth and breadth of our advisory business in both current and potential future markets. This expansion will be driven by our ability to attract and develop outstanding professionals who complement or expand our market presence or broaden our advisory product offerings and help us attain scale. As we execute on our growth strategy, we expect to strengthen our relationships with clients and the capabilities we can offer them, which will enhance our position as a leading independent advisory firm.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Advisory Offerings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Clients</w:t>
      </w:r>
    </w:p>
    <w:p>
      <w:pPr>
        <w:spacing w:after="0" w:line="219"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Our business provides services to multiple industry sectors and geographic markets through a broad range of advisory service offerings, which we believe offer us an opportunity to realize sustainable growth. Our primary areas of industry focus include: Consumer &amp; Retail; Energy &amp; Energy Transition; Financial Services &amp; FinTech; Healthcare; Industrials &amp; Infrastructure; and Technology, Telecom &amp; Media.</w:t>
      </w:r>
    </w:p>
    <w:p>
      <w:pPr>
        <w:spacing w:after="0" w:line="18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complement our industry focus with extensive advisory expertise in the largest international advisory markets. We operate out of twelve offices in the United States, Canada, the United Kingdom, France and Germany, and we have deep international experience that has enabled us to work extensively with clients worldwide. Since our inception, we have advised over 1,500 clients on transactions in over 55 countries.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Advisory Services</w:t>
      </w:r>
    </w:p>
    <w:p>
      <w:pPr>
        <w:spacing w:after="0" w:line="219"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We seek to advise our clients throughout their corporate evolution, with the full range of our advisory capabilities. Those services include advice related to strategic and financial decisions, M&amp;A execution, shareholder engagement advisory, financing and capital solutions advice with a focus on restructuring and liability management, capital markets advisory, private funds advisory, and private capital placement, as well as specialized underwriting and research services primarily for the energy and related industries.</w:t>
      </w:r>
    </w:p>
    <w:p>
      <w:pPr>
        <w:spacing w:after="0" w:line="175" w:lineRule="exact"/>
        <w:rPr>
          <w:sz w:val="20"/>
          <w:szCs w:val="20"/>
          <w:color w:val="auto"/>
        </w:rPr>
      </w:pPr>
    </w:p>
    <w:p>
      <w:pPr>
        <w:jc w:val="both"/>
        <w:ind w:right="20" w:firstLine="360"/>
        <w:spacing w:after="0" w:line="220"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M&amp;A and Strategic Advisory: </w:t>
      </w:r>
      <w:r>
        <w:rPr>
          <w:rFonts w:ascii="Times New Roman" w:cs="Times New Roman" w:eastAsia="Times New Roman" w:hAnsi="Times New Roman"/>
          <w:sz w:val="20"/>
          <w:szCs w:val="20"/>
          <w:color w:val="auto"/>
        </w:rPr>
        <w:t>We have established a leading M&amp;A and strategic advisory practice, advising clients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range of strategic issues, risks 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75"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Financing and Capital Solutions Advisory: </w:t>
      </w:r>
      <w:r>
        <w:rPr>
          <w:rFonts w:ascii="Times New Roman" w:cs="Times New Roman" w:eastAsia="Times New Roman" w:hAnsi="Times New Roman"/>
          <w:sz w:val="20"/>
          <w:szCs w:val="20"/>
          <w:color w:val="auto"/>
        </w:rPr>
        <w:t>We have built, and are continuing to invest in, a leading franchise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advising clients on capital markets matters, both in transaction-related and ordinary course financing execution. We provide comprehensive capital structure advice and help our clients develop financing solutions tailored to their specific needs. We believe our independence and objectivity, coupled with our deep experience in complex financial matters, inform our market views and enhance the likelihood of a successful transaction, and in turn have helped us develop trusted and long-lasting relationships with our clients. Moreover, we believe the dramatic shift towards private credit is a once-in-a-generation move. It has been, and we believe will continue to be, a tailwind for our business, both for our corporate clients as well as for financial sponsors.</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900"/>
          </w:cols>
          <w:pgMar w:left="1180" w:top="1371" w:right="1160" w:bottom="169"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Our Commitment to Environmental, Social and Governance Leadership</w:t>
      </w:r>
    </w:p>
    <w:p>
      <w:pPr>
        <w:spacing w:after="0" w:line="217"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We believe that leadership in Environmental, Social and Governance (“ESG”)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cybersecurity program, and adhering to what we consider to be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178" w:lineRule="exact"/>
        <w:rPr>
          <w:sz w:val="20"/>
          <w:szCs w:val="20"/>
          <w:color w:val="auto"/>
        </w:rPr>
      </w:pPr>
    </w:p>
    <w:p>
      <w:pPr>
        <w:jc w:val="both"/>
        <w:ind w:left="720" w:right="20" w:hanging="370"/>
        <w:spacing w:after="0" w:line="26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Environmental. </w:t>
      </w:r>
      <w:r>
        <w:rPr>
          <w:rFonts w:ascii="Times New Roman" w:cs="Times New Roman" w:eastAsia="Times New Roman" w:hAnsi="Times New Roman"/>
          <w:sz w:val="20"/>
          <w:szCs w:val="20"/>
          <w:color w:val="auto"/>
        </w:rPr>
        <w:t>The Environmental pillar is focused on assessing and monitoring our environmental footprint,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proactively raising our firm-wide awareness of environmental risk and opportunity by committing to sustainable practices to oversee environmental aspects in our business activities.</w:t>
      </w:r>
    </w:p>
    <w:p>
      <w:pPr>
        <w:spacing w:after="0" w:line="186" w:lineRule="exact"/>
        <w:rPr>
          <w:rFonts w:ascii="Times New Roman" w:cs="Times New Roman" w:eastAsia="Times New Roman" w:hAnsi="Times New Roman"/>
          <w:sz w:val="20"/>
          <w:szCs w:val="20"/>
          <w:color w:val="auto"/>
        </w:rPr>
      </w:pPr>
    </w:p>
    <w:p>
      <w:pPr>
        <w:ind w:left="720" w:right="20" w:hanging="370"/>
        <w:spacing w:after="0" w:line="28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Social. </w:t>
      </w:r>
      <w:r>
        <w:rPr>
          <w:rFonts w:ascii="Times New Roman" w:cs="Times New Roman" w:eastAsia="Times New Roman" w:hAnsi="Times New Roman"/>
          <w:sz w:val="20"/>
          <w:szCs w:val="20"/>
          <w:color w:val="auto"/>
        </w:rPr>
        <w:t>The Social pillar is focused on reinforcing our commitment to engage, develop and motivate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employees, and maintaining a rigorous cybersecurity program to protect our valuable data.</w:t>
      </w:r>
    </w:p>
    <w:p>
      <w:pPr>
        <w:spacing w:after="0" w:line="168" w:lineRule="exact"/>
        <w:rPr>
          <w:rFonts w:ascii="Times New Roman" w:cs="Times New Roman" w:eastAsia="Times New Roman" w:hAnsi="Times New Roman"/>
          <w:sz w:val="20"/>
          <w:szCs w:val="20"/>
          <w:color w:val="auto"/>
        </w:rPr>
      </w:pPr>
    </w:p>
    <w:p>
      <w:pPr>
        <w:jc w:val="both"/>
        <w:ind w:left="720" w:hanging="370"/>
        <w:spacing w:after="0" w:line="26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Governance. </w:t>
      </w:r>
      <w:r>
        <w:rPr>
          <w:rFonts w:ascii="Times New Roman" w:cs="Times New Roman" w:eastAsia="Times New Roman" w:hAnsi="Times New Roman"/>
          <w:sz w:val="20"/>
          <w:szCs w:val="20"/>
          <w:color w:val="auto"/>
        </w:rPr>
        <w:t>The Governance pillar is focused on upholding our commitment to ethical business conduct,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professional integrity and corporate responsibility by integrating strong governance and enterprise risk management oversight across all aspects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People and Inclusive Culture</w:t>
      </w:r>
    </w:p>
    <w:p>
      <w:pPr>
        <w:spacing w:after="0" w:line="217"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82"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The drivers of the growth of the Company include a combination of internal promotions and lateral recruiting in our areas of focus. In addition to this promotion and addition of external hires, we have also maintained significant discipline in how we assess our advisory professionals within our culture and our strategic and financial objectives.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181"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Our senior professionals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184"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We recruit our junior professionals from the world's leading undergraduate and graduate programs. We devote significant time and resources to attracting, training and mentoring our employees. This starts with positioning our Company to attract competitive, high caliber talent and providing a hands-on development platform from day one through our global internship program and early careers curriculum. We are committed to talent retention, and our goal is to develop our brightest and most ambitious junior professionals into successful partners. To this end, as of December 31, 2025, 41% of our 75 advisory partners were promoted internally.</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In addition to recruiting and developing advisory professionals, we have also entered into formal relationships with certain senior advisors who work with our advisory professionals to augment our overall advisory services to our clients.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December 31, 2025, we had 736 employees.</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900"/>
          </w:cols>
          <w:pgMar w:left="1180" w:top="1371" w:right="1160" w:bottom="169" w:gutter="0" w:footer="0" w:header="0"/>
          <w:type w:val="continuous"/>
        </w:sectPr>
      </w:pPr>
    </w:p>
    <w:bookmarkStart w:id="7" w:name="page8"/>
    <w:bookmarkEnd w:id="7"/>
    <w:p>
      <w:pPr>
        <w:ind w:left="10"/>
        <w:spacing w:after="0"/>
        <w:rPr>
          <w:sz w:val="20"/>
          <w:szCs w:val="20"/>
          <w:color w:val="auto"/>
        </w:rPr>
      </w:pPr>
      <w:r>
        <w:rPr>
          <w:rFonts w:ascii="Times New Roman" w:cs="Times New Roman" w:eastAsia="Times New Roman" w:hAnsi="Times New Roman"/>
          <w:sz w:val="20"/>
          <w:szCs w:val="20"/>
          <w:b w:val="1"/>
          <w:bCs w:val="1"/>
          <w:color w:val="auto"/>
        </w:rPr>
        <w:t>Our Focus on Cybersecurity</w:t>
      </w:r>
    </w:p>
    <w:p>
      <w:pPr>
        <w:spacing w:after="0" w:line="217" w:lineRule="exact"/>
        <w:rPr>
          <w:sz w:val="20"/>
          <w:szCs w:val="20"/>
          <w:color w:val="auto"/>
        </w:rPr>
      </w:pPr>
    </w:p>
    <w:p>
      <w:pPr>
        <w:jc w:val="both"/>
        <w:ind w:left="10" w:firstLine="360"/>
        <w:spacing w:after="0" w:line="221" w:lineRule="auto"/>
        <w:rPr>
          <w:sz w:val="20"/>
          <w:szCs w:val="20"/>
          <w:color w:val="auto"/>
        </w:rPr>
      </w:pPr>
      <w:r>
        <w:rPr>
          <w:rFonts w:ascii="Times New Roman" w:cs="Times New Roman" w:eastAsia="Times New Roman" w:hAnsi="Times New Roman"/>
          <w:sz w:val="20"/>
          <w:szCs w:val="20"/>
          <w:color w:val="auto"/>
        </w:rPr>
        <w:t>We strive to protect the reputation of our Company by establishing, protecting and defending our data and systems in a number of ways through a combination of processes, tools, and awareness-building. We aim to adhere to the best practices outlined in the National Institute of Standards and Technology (“NIST”) and International Organization for Standardization (“ISO”) frameworks, and our policies and procedures in managing personally identifiable information (“PII”) are in compliance with General Data Protection Regulation (“GDPR”) requirements.</w:t>
      </w:r>
    </w:p>
    <w:p>
      <w:pPr>
        <w:spacing w:after="0" w:line="181" w:lineRule="exact"/>
        <w:rPr>
          <w:sz w:val="20"/>
          <w:szCs w:val="20"/>
          <w:color w:val="auto"/>
        </w:rPr>
      </w:pPr>
    </w:p>
    <w:p>
      <w:pPr>
        <w:jc w:val="both"/>
        <w:ind w:left="10" w:right="20" w:firstLine="360"/>
        <w:spacing w:after="0" w:line="219" w:lineRule="auto"/>
        <w:rPr>
          <w:sz w:val="20"/>
          <w:szCs w:val="20"/>
          <w:color w:val="auto"/>
        </w:rPr>
      </w:pPr>
      <w:r>
        <w:rPr>
          <w:rFonts w:ascii="Times New Roman" w:cs="Times New Roman" w:eastAsia="Times New Roman" w:hAnsi="Times New Roman"/>
          <w:sz w:val="20"/>
          <w:szCs w:val="20"/>
          <w:color w:val="auto"/>
        </w:rPr>
        <w:t>We maintain a process to enhance security and optimize our IT systems, and regularly conduct security assessments and testing of our systems to verify our systems' integrity to protect against being compromised from both internal and external sources. In addition to identifying information security risks, we have established robust controls to seek to reduce or mitigate such risks. Cybersecurity training for employees is conducted regularly and we maintain system logs of user activities, exceptions, and security events for a period consistent with industry best practices unless otherwise required by law, regulation or contractual obligation.</w:t>
      </w:r>
    </w:p>
    <w:p>
      <w:pPr>
        <w:spacing w:after="0" w:line="181" w:lineRule="exact"/>
        <w:rPr>
          <w:sz w:val="20"/>
          <w:szCs w:val="20"/>
          <w:color w:val="auto"/>
        </w:rPr>
      </w:pPr>
    </w:p>
    <w:p>
      <w:pPr>
        <w:jc w:val="both"/>
        <w:ind w:left="10" w:right="20" w:firstLine="360"/>
        <w:spacing w:after="0" w:line="217" w:lineRule="auto"/>
        <w:rPr>
          <w:sz w:val="20"/>
          <w:szCs w:val="20"/>
          <w:color w:val="auto"/>
        </w:rPr>
      </w:pPr>
      <w:r>
        <w:rPr>
          <w:rFonts w:ascii="Times New Roman" w:cs="Times New Roman" w:eastAsia="Times New Roman" w:hAnsi="Times New Roman"/>
          <w:sz w:val="20"/>
          <w:szCs w:val="20"/>
          <w:color w:val="auto"/>
        </w:rPr>
        <w:t>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are designed to provide tightly controlled and selective access to such information. We have mechanisms in place to help ensure that our data is secured when at-rest or in-transit, and industry standard encryption is used to the maximum extent possible. We also take steps to help ensure our ability to restore data in the event of data failure, corruption, accidental deletion, or malicious tampering.</w:t>
      </w:r>
    </w:p>
    <w:p>
      <w:pPr>
        <w:spacing w:after="0" w:line="17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Organizational Structure</w:t>
      </w:r>
    </w:p>
    <w:p>
      <w:pPr>
        <w:spacing w:after="0" w:line="217" w:lineRule="exact"/>
        <w:rPr>
          <w:sz w:val="20"/>
          <w:szCs w:val="20"/>
          <w:color w:val="auto"/>
        </w:rPr>
      </w:pPr>
    </w:p>
    <w:p>
      <w:pPr>
        <w:jc w:val="both"/>
        <w:ind w:left="10" w:right="20" w:firstLine="360"/>
        <w:spacing w:after="0" w:line="224" w:lineRule="auto"/>
        <w:rPr>
          <w:sz w:val="20"/>
          <w:szCs w:val="20"/>
          <w:color w:val="auto"/>
        </w:rPr>
      </w:pPr>
      <w:r>
        <w:rPr>
          <w:rFonts w:ascii="Times New Roman" w:cs="Times New Roman" w:eastAsia="Times New Roman" w:hAnsi="Times New Roman"/>
          <w:sz w:val="20"/>
          <w:szCs w:val="20"/>
          <w:color w:val="auto"/>
        </w:rPr>
        <w:t>We are a holding company and our only material assets are our partnership interests in PWP OpCo and our equity interest in the general partner of PWP OpCo, PWP GP, LLC (“PWP GP”). We operate and control all of the business and affairs of our advisory business, as run by PWP OpCo and its operating entity subsidiaries, indirectly through our equity interest in PWP GP.</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17" w:lineRule="exact"/>
        <w:rPr>
          <w:sz w:val="20"/>
          <w:szCs w:val="20"/>
          <w:color w:val="auto"/>
        </w:rPr>
      </w:pPr>
    </w:p>
    <w:p>
      <w:pPr>
        <w:jc w:val="both"/>
        <w:ind w:left="10" w:right="20" w:firstLine="360"/>
        <w:spacing w:after="0" w:line="224" w:lineRule="auto"/>
        <w:rPr>
          <w:sz w:val="20"/>
          <w:szCs w:val="20"/>
          <w:color w:val="auto"/>
        </w:rPr>
      </w:pPr>
      <w:r>
        <w:rPr>
          <w:rFonts w:ascii="Times New Roman" w:cs="Times New Roman" w:eastAsia="Times New Roman" w:hAnsi="Times New Roman"/>
          <w:sz w:val="20"/>
          <w:szCs w:val="20"/>
          <w:color w:val="auto"/>
        </w:rPr>
        <w:t>The financial services industry is intensely competitive, and we expect it to remain so. Our competitors are other investment banking and financial advisory firms. We compete on both a global and a regional basis, and on the basis of a number of factors, including our reputation, depth of client relationships, industry knowledge and insights, transaction execution skills, our range of products and services, innovation and price.</w:t>
      </w:r>
    </w:p>
    <w:p>
      <w:pPr>
        <w:spacing w:after="0" w:line="181" w:lineRule="exact"/>
        <w:rPr>
          <w:sz w:val="20"/>
          <w:szCs w:val="20"/>
          <w:color w:val="auto"/>
        </w:rPr>
      </w:pPr>
    </w:p>
    <w:p>
      <w:pPr>
        <w:jc w:val="both"/>
        <w:ind w:left="10" w:right="20" w:firstLine="360"/>
        <w:spacing w:after="0" w:line="229" w:lineRule="auto"/>
        <w:rPr>
          <w:sz w:val="20"/>
          <w:szCs w:val="20"/>
          <w:color w:val="auto"/>
        </w:rPr>
      </w:pPr>
      <w:r>
        <w:rPr>
          <w:rFonts w:ascii="Times New Roman" w:cs="Times New Roman" w:eastAsia="Times New Roman" w:hAnsi="Times New Roman"/>
          <w:sz w:val="20"/>
          <w:szCs w:val="20"/>
          <w:color w:val="auto"/>
        </w:rPr>
        <w:t>We compete for business as well as to attract and retain qualified employees. Our ability to continue to compete effectively in our business will depend upon our ability to attract new employees and retain and motivate our existing employees who are essential to our ability to serve clients.</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217" w:lineRule="exact"/>
        <w:rPr>
          <w:sz w:val="20"/>
          <w:szCs w:val="20"/>
          <w:color w:val="auto"/>
        </w:rPr>
      </w:pPr>
    </w:p>
    <w:p>
      <w:pPr>
        <w:jc w:val="both"/>
        <w:ind w:left="10" w:firstLine="360"/>
        <w:spacing w:after="0" w:line="224" w:lineRule="auto"/>
        <w:rPr>
          <w:sz w:val="20"/>
          <w:szCs w:val="20"/>
          <w:color w:val="auto"/>
        </w:rPr>
      </w:pPr>
      <w:r>
        <w:rPr>
          <w:rFonts w:ascii="Times New Roman" w:cs="Times New Roman" w:eastAsia="Times New Roman" w:hAnsi="Times New Roman"/>
          <w:sz w:val="20"/>
          <w:szCs w:val="20"/>
          <w:color w:val="auto"/>
        </w:rPr>
        <w:t>Our business, as well as the financial services industry generally, is subject to extensive regulation in the United States and abroad. As a matter of public policy, regulatory bodies in the United States and foreign jurisdictions are charged with safeguarding the integrity of their home country’s securities and other financial markets and with protecting the interests of clients participating in those markets.</w:t>
      </w:r>
    </w:p>
    <w:p>
      <w:pPr>
        <w:spacing w:after="0" w:line="181" w:lineRule="exact"/>
        <w:rPr>
          <w:sz w:val="20"/>
          <w:szCs w:val="20"/>
          <w:color w:val="auto"/>
        </w:rPr>
      </w:pPr>
    </w:p>
    <w:p>
      <w:pPr>
        <w:jc w:val="both"/>
        <w:ind w:left="10" w:right="20" w:firstLine="360"/>
        <w:spacing w:after="0" w:line="216" w:lineRule="auto"/>
        <w:rPr>
          <w:sz w:val="20"/>
          <w:szCs w:val="20"/>
          <w:color w:val="auto"/>
        </w:rPr>
      </w:pPr>
      <w:r>
        <w:rPr>
          <w:rFonts w:ascii="Times New Roman" w:cs="Times New Roman" w:eastAsia="Times New Roman" w:hAnsi="Times New Roman"/>
          <w:sz w:val="20"/>
          <w:szCs w:val="20"/>
          <w:color w:val="auto"/>
        </w:rPr>
        <w:t>In the United States, the SEC is the federal agency responsible for the administration of the federal securities laws. Perella Weinberg Partners LP, through which we (i) conduct strategic advisory and restructuring services in the United States, (ii) engage in private placements of securities and investment banking mergers and acquisitions advisory services,</w:t>
      </w:r>
    </w:p>
    <w:p>
      <w:pPr>
        <w:spacing w:after="0" w:line="1" w:lineRule="exact"/>
        <w:rPr>
          <w:sz w:val="20"/>
          <w:szCs w:val="20"/>
          <w:color w:val="auto"/>
        </w:rPr>
      </w:pPr>
    </w:p>
    <w:p>
      <w:pPr>
        <w:jc w:val="both"/>
        <w:ind w:left="10" w:right="20" w:hanging="10"/>
        <w:spacing w:after="0" w:line="215" w:lineRule="auto"/>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equity research and sales in the United States, and Devon Park Securities, LLC, through which we conduct our private funds advisory services, are each registered as a broker-dealer with, and is subject to regulation and oversight by, the SEC. In addition, the Financial Industry Regulatory Authority (“FINRA”), a self-regulatory organization that is subject to oversight by the SEC, adopts and enforces rules governing the conduct, and examines the activities of, its member firms, including Perella Weinberg Partners LP and Devon Park Securities, LLC. State securities regulators also have regulatory or oversight authority over Perella Weinberg Partners LP and Devon Park Securities, LLC.</w:t>
      </w:r>
    </w:p>
    <w:p>
      <w:pPr>
        <w:sectPr>
          <w:pgSz w:w="12240" w:h="15840" w:orient="portrait"/>
          <w:cols w:equalWidth="0" w:num="1">
            <w:col w:w="9910"/>
          </w:cols>
          <w:pgMar w:left="117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910"/>
          </w:cols>
          <w:pgMar w:left="1170" w:top="1371" w:right="1160" w:bottom="169" w:gutter="0" w:footer="0" w:header="0"/>
          <w:type w:val="continuous"/>
        </w:sectPr>
      </w:pPr>
    </w:p>
    <w:bookmarkStart w:id="8" w:name="page9"/>
    <w:bookmarkEnd w:id="8"/>
    <w:p>
      <w:pPr>
        <w:jc w:val="both"/>
        <w:ind w:left="10" w:right="20" w:firstLine="360"/>
        <w:spacing w:after="0" w:line="213" w:lineRule="auto"/>
        <w:rPr>
          <w:sz w:val="20"/>
          <w:szCs w:val="20"/>
          <w:color w:val="auto"/>
        </w:rPr>
      </w:pPr>
      <w:r>
        <w:rPr>
          <w:rFonts w:ascii="Times New Roman" w:cs="Times New Roman" w:eastAsia="Times New Roman" w:hAnsi="Times New Roman"/>
          <w:sz w:val="20"/>
          <w:szCs w:val="20"/>
          <w:color w:val="auto"/>
        </w:rPr>
        <w:t>Broker-dealers are subject to regulations that cover all aspects of the securities business, including anti-money laundering, handling of material non-public information, safeguarding data, reporting, record retention, market access and the conduct and qualifications of its officers, directors, employees and other associated persons. In particular, as registered broker-dealers and members of a self-regulatory organization, our U.S. broker-dealer subsidiaries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Any failure to comply with applicable broker-dealer rules or regulations could have a material adverse effect on the operation of our business, financial condition and operating results.</w:t>
      </w:r>
    </w:p>
    <w:p>
      <w:pPr>
        <w:spacing w:after="0" w:line="187" w:lineRule="exact"/>
        <w:rPr>
          <w:sz w:val="20"/>
          <w:szCs w:val="20"/>
          <w:color w:val="auto"/>
        </w:rPr>
      </w:pPr>
    </w:p>
    <w:p>
      <w:pPr>
        <w:jc w:val="both"/>
        <w:ind w:left="10" w:firstLine="360"/>
        <w:spacing w:after="0" w:line="211" w:lineRule="auto"/>
        <w:rPr>
          <w:sz w:val="20"/>
          <w:szCs w:val="20"/>
          <w:color w:val="auto"/>
        </w:rPr>
      </w:pPr>
      <w:r>
        <w:rPr>
          <w:rFonts w:ascii="Times New Roman" w:cs="Times New Roman" w:eastAsia="Times New Roman" w:hAnsi="Times New Roman"/>
          <w:sz w:val="20"/>
          <w:szCs w:val="20"/>
          <w:color w:val="auto"/>
        </w:rPr>
        <w:t>In addition to the regulation, we are subject to in the United States, we are also subject to regulation internationally. Perella Weinberg UK Limited (“PWP U.K.”) is authorized and regulated by the Financial Conduct Authority (“FCA”) as a Small Non-Interconnected investment firm. Perella Weinberg Partners France SAS (“PWP France”) is authorized and regulated by the Authorite de Controle Prudentiel (“ACPR”) and the Authorite des Marches Financiers (“AMF”) as a class 3 investment firm. Both PWP U.K. and PWP France are subject to regulations applicable to investment firms respectively in the U.K. and in France, including market abuse and insider dealing regulation, anti-money laundering, conflicts management, business conduct, regulatory reporting and minimum regulatory capital requirements. Tudor, Pickering, Holt</w:t>
      </w:r>
    </w:p>
    <w:p>
      <w:pPr>
        <w:spacing w:after="0" w:line="7" w:lineRule="exact"/>
        <w:rPr>
          <w:sz w:val="20"/>
          <w:szCs w:val="20"/>
          <w:color w:val="auto"/>
        </w:rPr>
      </w:pPr>
    </w:p>
    <w:p>
      <w:pPr>
        <w:jc w:val="both"/>
        <w:ind w:left="10" w:right="20" w:hanging="10"/>
        <w:spacing w:after="0" w:line="213" w:lineRule="auto"/>
        <w:tabs>
          <w:tab w:leader="none" w:pos="25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 Securities - Canada, ULC (“TPH Canada”) is registered as an investment dealer with the provincial securities regulators in the Canadian provinces of Alberta, British Columbia, Manitoba, Ontario, Québec and Saskatchewan, with the Alberta Securities Commission being TPH Canada's principal regulator under the passport system adopted by Canada's provincial and territorial securities regulators. TPH Canada is also a dealer member of the Canadian Investment Regulatory Organization (“CIRO”), which adopts and enforces rules overseeing the capital, business conduct, record keeping, individual registration and proficiency, governance, and examines the activities of, its member firms. Per CIRO’s rules, TPH Canada is required to maintain certain minimum capital, with additional capital requirements when TPH Canada participates in deal financings outside of its carrying broker relationship.</w:t>
      </w:r>
    </w:p>
    <w:p>
      <w:pPr>
        <w:spacing w:after="0" w:line="185" w:lineRule="exact"/>
        <w:rPr>
          <w:sz w:val="20"/>
          <w:szCs w:val="20"/>
          <w:color w:val="auto"/>
        </w:rPr>
      </w:pPr>
    </w:p>
    <w:p>
      <w:pPr>
        <w:jc w:val="both"/>
        <w:ind w:left="10" w:right="20" w:firstLine="360"/>
        <w:spacing w:after="0" w:line="224" w:lineRule="auto"/>
        <w:rPr>
          <w:sz w:val="20"/>
          <w:szCs w:val="20"/>
          <w:color w:val="auto"/>
        </w:rPr>
      </w:pPr>
      <w:r>
        <w:rPr>
          <w:rFonts w:ascii="Times New Roman" w:cs="Times New Roman" w:eastAsia="Times New Roman" w:hAnsi="Times New Roman"/>
          <w:sz w:val="20"/>
          <w:szCs w:val="20"/>
          <w:color w:val="auto"/>
        </w:rPr>
        <w:t>Certain parts of our business are subject to compliance with laws and regulations of U.S. federal and state governments, non-U.S. governments, their respective agencies and/or various self-regulatory organizations relating to, among other things, the privacy of client information, and any failure to comply with these regulations could expose us to liability and/or reputational damage.</w:t>
      </w:r>
    </w:p>
    <w:p>
      <w:pPr>
        <w:spacing w:after="0" w:line="181" w:lineRule="exact"/>
        <w:rPr>
          <w:sz w:val="20"/>
          <w:szCs w:val="20"/>
          <w:color w:val="auto"/>
        </w:rPr>
      </w:pPr>
    </w:p>
    <w:p>
      <w:pPr>
        <w:jc w:val="both"/>
        <w:ind w:left="10" w:firstLine="360"/>
        <w:spacing w:after="0" w:line="213" w:lineRule="auto"/>
        <w:rPr>
          <w:sz w:val="20"/>
          <w:szCs w:val="20"/>
          <w:color w:val="auto"/>
        </w:rPr>
      </w:pPr>
      <w:r>
        <w:rPr>
          <w:rFonts w:ascii="Times New Roman" w:cs="Times New Roman" w:eastAsia="Times New Roman" w:hAnsi="Times New Roman"/>
          <w:sz w:val="20"/>
          <w:szCs w:val="20"/>
          <w:color w:val="auto"/>
        </w:rPr>
        <w:t>Failure to comply with any laws, rules or regulations could result in administrative or court proceedings, censures, fines, penalties, judgments, disgorgement, restitution and censures, suspension or expulsion from a certain jurisdiction, self-regulatory organization or market, the revocation or limitation of licenses, the issuance of cease-and-desist orders or injunctions or the suspension or disqualification of the entity and/or its officers, employees or other associated persons. The U.S. and non-U.S. government agencies and self-regulatory organizations, as well as state securities commissions in the United States, are empowered to conduct periodic examinations and initiate administrative proceedings that can result in censure, fines, the issuance of cease-and-desist orders or the suspension or expulsion of a broker-dealer or its directors, officers or employees. These administrative or court proceedings, whether or not resulting in adverse findings, can require substantial expenditures of time and money and can have an adverse impact on a firm's reputation, customer relationship and profitability. Our U.S. broker-dealer subsidiaries, like most other broker-dealers, have from time to time been the subject of requests for information and documents from the SEC, FINRA and other regulators. We have cooperated and complied in all material respects with any such requests for information and documents.</w:t>
      </w:r>
    </w:p>
    <w:p>
      <w:pPr>
        <w:spacing w:after="0" w:line="191" w:lineRule="exact"/>
        <w:rPr>
          <w:sz w:val="20"/>
          <w:szCs w:val="20"/>
          <w:color w:val="auto"/>
        </w:rPr>
      </w:pPr>
    </w:p>
    <w:p>
      <w:pPr>
        <w:jc w:val="both"/>
        <w:ind w:left="10" w:right="20" w:firstLine="360"/>
        <w:spacing w:after="0" w:line="215" w:lineRule="auto"/>
        <w:rPr>
          <w:sz w:val="20"/>
          <w:szCs w:val="20"/>
          <w:color w:val="auto"/>
        </w:rPr>
      </w:pPr>
      <w:r>
        <w:rPr>
          <w:rFonts w:ascii="Times New Roman" w:cs="Times New Roman" w:eastAsia="Times New Roman" w:hAnsi="Times New Roman"/>
          <w:sz w:val="20"/>
          <w:szCs w:val="20"/>
          <w:color w:val="auto"/>
        </w:rPr>
        <w:t>The Bank Secrecy Act (the “BSA”), as amended by the USA PATRIOT Act of 2001, the Anti-Money Laundering Act of 2021, and the Treasury Department's and FINRA's implementing regulations require Perella Weinberg Partners LP and Devon Park Securities, LLC, as broker-dealers, to establish and maintain an anti-money laundering program, file suspicious activity and other reports, and comply with certain record-keeping requirements. Under the BSA, a financial institution's anti-money laundering program must include policies, procedures and controls, employee training, the designation of an anti-money laundering compliance officer, periodic independent testing and customer due diligence and monitoring. PWP's non-U.S. subsidiaries are required to comply with similar non-U.S. laws and regulations designed to deter and detect money laundering and the financing of terrorism. Failure to comply with these requirements may result in reputational damage as well as monetary, regulatory and, in certain cases, criminal penalties.</w:t>
      </w:r>
    </w:p>
    <w:p>
      <w:pPr>
        <w:sectPr>
          <w:pgSz w:w="12240" w:h="15840" w:orient="portrait"/>
          <w:cols w:equalWidth="0" w:num="1">
            <w:col w:w="9910"/>
          </w:cols>
          <w:pgMar w:left="117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910"/>
          </w:cols>
          <w:pgMar w:left="1170" w:top="1378" w:right="1160" w:bottom="169" w:gutter="0" w:footer="0" w:header="0"/>
          <w:type w:val="continuous"/>
        </w:sectPr>
      </w:pPr>
    </w:p>
    <w:bookmarkStart w:id="9" w:name="page10"/>
    <w:bookmarkEnd w:id="9"/>
    <w:p>
      <w:pPr>
        <w:jc w:val="both"/>
        <w:ind w:firstLine="360"/>
        <w:spacing w:after="0" w:line="212" w:lineRule="auto"/>
        <w:rPr>
          <w:sz w:val="20"/>
          <w:szCs w:val="20"/>
          <w:color w:val="auto"/>
        </w:rPr>
      </w:pPr>
      <w:r>
        <w:rPr>
          <w:rFonts w:ascii="Times New Roman" w:cs="Times New Roman" w:eastAsia="Times New Roman" w:hAnsi="Times New Roman"/>
          <w:sz w:val="20"/>
          <w:szCs w:val="20"/>
          <w:color w:val="auto"/>
        </w:rPr>
        <w:t>In support of U.S. foreign policy and national security goals, the Treasury Department's Office of Foreign Assets Control (“OFAC”), administers and enforces economic and trade sanctions against targeted foreign countries and regimes, terrorists, international narcotics traffickers, and those engaged in activities related to the proliferation of weapons of mass destruction and other threats to the national security, foreign policy or economy of the United States. Among other OFAC sanctions programs, comprehensive sanctions and embargoes target certain countries and geographic regions (“Sanctioned Countries”) and their governments. We are generally prohibited from engaging in transactions involving any Sanctioned Country, its government or entities owned or controlled by a Sanctioned Country's government or persons or entities located in a Sanctioned Country, unless such activity is licensed or otherwise permissible. OFAC's “list-based” sanctions are imposed on individuals and entities designated under various programs for certain activities, including those referenced above. The names of individuals and entities designated under OFAC's list-based sanctions programs are generally placed on OFAC's List of Specially Designated Nationals and Blocked Persons (parties included on such list, “SDNs”) or similar lists. Assets of SDNs are blocked, and we are generally prohibited from dealing with them. In addition, any property, including a company that is 50 percent or more owned, directly or indirectly, by one or more SDNs in the aggregate, is blocked property. We must also comply with the economic sanctions and embargo programs administered by the United Nations Security Council and certain governmental agencies outside the United States. A violation of a sanctions or embargo program could subject us, and individual employees, to reputational damage and regulatory enforcement actions as well as significant civil and criminal penalties.</w:t>
      </w:r>
    </w:p>
    <w:p>
      <w:pPr>
        <w:spacing w:after="0" w:line="186" w:lineRule="exact"/>
        <w:rPr>
          <w:sz w:val="20"/>
          <w:szCs w:val="20"/>
          <w:color w:val="auto"/>
        </w:rPr>
      </w:pPr>
    </w:p>
    <w:p>
      <w:pPr>
        <w:jc w:val="both"/>
        <w:ind w:firstLine="360"/>
        <w:spacing w:after="0" w:line="212" w:lineRule="auto"/>
        <w:rPr>
          <w:sz w:val="20"/>
          <w:szCs w:val="20"/>
          <w:color w:val="auto"/>
        </w:rPr>
      </w:pPr>
      <w:r>
        <w:rPr>
          <w:rFonts w:ascii="Times New Roman" w:cs="Times New Roman" w:eastAsia="Times New Roman" w:hAnsi="Times New Roman"/>
          <w:sz w:val="20"/>
          <w:szCs w:val="20"/>
          <w:color w:val="auto"/>
        </w:rPr>
        <w:t>The Foreign Corrupt Practices Act (“FCPA”), the UK Bribery Act 2010 (the “UK Bribery Act”) and other applicable laws and regulations prohibit the payment of bribes to foreign government officials and political figures. The FCPA prohibits us from making or offering to make any payment, or giving anything of value, to a foreign official for the purpose of influencing that official to assist us in obtaining or retaining an improper business advantage. The FCPA has a broad reach, covering all U.S. companies and citizens doing business abroad, among others, and defining as foreign officials not only those holding public office but also individuals acting in an official capacity for or on behalf of foreign government-run, -owned or -controlled organizations or public international organizations. The FCPA also requires issuers of U.S. securities to maintain accurate books and records and adequate internal controls to prevent and detect possible FCPA violations. The UK Bribery Act prohibits us from bribing, accepting bribes or making other prohibited payments to government officials or other persons (i.e., within the public or private sector) in order to obtain or retain business or gain some other business advantage. These offenses under the UK Bribery Act apply to acts or omissions that take place in the United Kingdom (“U.K.”) or outside the U.K., where the person's act or omission would constitute an offense if carried out in the U.K. and the person has a close connection with the U.K. The UK Bribery Act also establishes a corporate offense of failing to prevent bribery by an associated party, which can be committed regardless of where the offense takes place. We maintain policies and procedures designed to prevent bribery, but such policies and procedures may not be effective in all instances to prevent violations. A violation could subject us, and individual employees, to reputational damage and regulatory enforcement actions as well as significant civil and criminal penalties. We can incur higher costs and face greater compliance risks in structuring and operating our businesses to comply with any of the foregoing regulatory requirements.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17"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The principal risks and uncertainties affecting our business include (but are not limited to) the following: changing market conditions; the Company's ability to execute on its growth initiatives, business strategies or operating plans; the Company's ability to successfully identify, recruit, develop and retain talent; the Company's dependence on its fee-paying clients and fluctuating revenues from its non-exclusive, engagement-by-engagement business model; the high volatility of the Company's revenue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substantial litigation risks in the financial services industry; cybersecurity and other operational risks; extensive regulation of the corporate advisory industry and U.S. and foreign regulatory developments relating to, among other things, financial institutions and markets, government oversight, fiscal and tax policy and laws; and other risks and uncertainties described below.</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900"/>
          </w:cols>
          <w:pgMar w:left="1180" w:top="1378" w:right="1160" w:bottom="169"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08" w:lineRule="exact"/>
        <w:rPr>
          <w:sz w:val="20"/>
          <w:szCs w:val="20"/>
          <w:color w:val="auto"/>
        </w:rPr>
      </w:pPr>
    </w:p>
    <w:p>
      <w:pPr>
        <w:ind w:right="38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Changing market conditions can adversely affect our business in many ways, including by reducing the volume and value of the transactions involving our business, which could materially reduce our revenue.</w:t>
      </w:r>
    </w:p>
    <w:p>
      <w:pPr>
        <w:spacing w:after="0" w:line="178" w:lineRule="exact"/>
        <w:rPr>
          <w:sz w:val="20"/>
          <w:szCs w:val="20"/>
          <w:color w:val="auto"/>
        </w:rPr>
      </w:pPr>
    </w:p>
    <w:p>
      <w:pPr>
        <w:jc w:val="both"/>
        <w:ind w:firstLine="360"/>
        <w:spacing w:after="0" w:line="212" w:lineRule="auto"/>
        <w:rPr>
          <w:sz w:val="20"/>
          <w:szCs w:val="20"/>
          <w:color w:val="auto"/>
        </w:rPr>
      </w:pPr>
      <w:r>
        <w:rPr>
          <w:rFonts w:ascii="Times New Roman" w:cs="Times New Roman" w:eastAsia="Times New Roman" w:hAnsi="Times New Roman"/>
          <w:sz w:val="20"/>
          <w:szCs w:val="20"/>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 rising interest rates or inflation, pandemics, terrorism, international hostilities, including the current hostilities between Russia and Ukraine and the conflict between Israel and Hamas,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 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are suppressed or experience volatility for an extended period of time. In addition, during periods of strong market and economic conditions, the volume and value of other advisory services, including recapitalization and restructuring transactions, may decrease, thereby reducing demand for those services on our platform and increasing price competition among financial services companies seeking such engagements. Our results of operations could be adversely affected by any such reduction in the volume or value of such advisory transactions. Revenue improvements in our M&amp;A practice in strong economic conditions could be offset in whole or in part by any related revenue declines in such other areas. Further, in the period following an economic downturn, the volume and value of M&amp;A transactions typically take time to recover and lag behind a recovery in market and economic conditions. These trends are cyclical in nature and subject to periodic reversal.</w:t>
      </w:r>
    </w:p>
    <w:p>
      <w:pPr>
        <w:spacing w:after="0" w:line="180"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 adversely affect the size, volume, timing and ability of our clients to successfully complete M&amp;A transactions and adversely affect our advisory business. Market volatility also affects our clients’ ability and willingness to engage in stock-for-stock transactions.</w:t>
      </w:r>
    </w:p>
    <w:p>
      <w:pPr>
        <w:spacing w:after="0" w:line="181"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Changes in market and economic conditions can also impact other aspects of our business in different ways. For example, our profitability may be adversely affected by our fixed costs and the possibility that we would be unable to scale back other costs within a time frame sufficient to match any decreases in revenue relating to changes in market and economic conditions. While we operate in North America and Europe, our operations in the United States have historically provided most of our revenues and earnings. Consequently, our revenues and profitability are particularly affected by market conditions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execute on our growth initiatives, business strategies or operating plans.</w:t>
      </w:r>
    </w:p>
    <w:p>
      <w:pPr>
        <w:spacing w:after="0" w:line="219" w:lineRule="exact"/>
        <w:rPr>
          <w:sz w:val="20"/>
          <w:szCs w:val="20"/>
          <w:color w:val="auto"/>
        </w:rPr>
      </w:pPr>
    </w:p>
    <w:p>
      <w:pPr>
        <w:jc w:val="both"/>
        <w:ind w:right="20" w:firstLine="360"/>
        <w:spacing w:after="0" w:line="215" w:lineRule="auto"/>
        <w:rPr>
          <w:sz w:val="20"/>
          <w:szCs w:val="20"/>
          <w:color w:val="auto"/>
        </w:rPr>
      </w:pPr>
      <w:r>
        <w:rPr>
          <w:rFonts w:ascii="Times New Roman" w:cs="Times New Roman" w:eastAsia="Times New Roman" w:hAnsi="Times New Roman"/>
          <w:sz w:val="20"/>
          <w:szCs w:val="20"/>
          <w:color w:val="auto"/>
        </w:rPr>
        <w:t>We are executing on a number of growth initiatives, strategies and operating plans designed to enhance our business. The anticipated benefits from these 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177"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future growth will depend on, among other things, our ability to successfully identify, recruit, develop and retain talent and will require us to commit additional resources.</w:t>
      </w:r>
    </w:p>
    <w:p>
      <w:pPr>
        <w:spacing w:after="0" w:line="178"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We have experienced significant growth over the past several years, which may be difficult to sustain at the same rate. Our business objectives are dependent, in part, on our ability to further grow our business to gain benefits related to scale. In addition, our business involves the delivery of professional services and is largely dependent on the talents and efforts of highly skilled individuals. Accordingly, our future growth will depend on, among other things, our ability to successfully identify and recruit individuals to join our Company. It typically takes time for these professionals to become profitable and effective. During that time, we may incur significant expenses and expend significant time and resources toward training, integration and business development aimed at developing this new talent. If we are unable to recruit and develop such professionals, we will not be able to implement our growth strategy and gain benefits related to scale, and our financial results could be materially adversely affected.</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900"/>
          </w:cols>
          <w:pgMar w:left="1180" w:top="1371" w:right="1160" w:bottom="169" w:gutter="0" w:footer="0" w:header="0"/>
          <w:type w:val="continuous"/>
        </w:sectPr>
      </w:pPr>
    </w:p>
    <w:bookmarkStart w:id="11" w:name="page12"/>
    <w:bookmarkEnd w:id="11"/>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 before they become profitable. There can be no assurance that we will be able to manage our expanding operations effectively, and any failure to do so could materially adversely affect our ability to grow revenue and control our expenses.</w:t>
      </w:r>
    </w:p>
    <w:p>
      <w:pPr>
        <w:spacing w:after="0" w:line="181"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Furthermore, we have grown, and in the future we may continue to grow, by strategic investment or acquisition, which would expose us to numerous risks and uncertainties similar to those of hiring and developing our current 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spacing w:after="0" w:line="181"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We may not be successful in our efforts to retain the required personnel as the market for qualified advisory professionals is extremely competitive. Working partners and other senior professionals have left us in the past and others may do so in the future. Our senior personnel possess substantial experience and expertise and have strong relationships with our advisory clients. As a result, the loss of these professionals could jeopardize our relationships with clients and result in the loss of client engagements. For example, if any of our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senior professionals provide sufficient incentives or protections to prevent our working partners from resigning to compete with our Company or join our competitors. We may be unable to implement or enforce adequate restrictive covenants, including non-competition arrangements, due to legal and regulatory constraints in the jurisdictions in which we operate, which may currently or in the future apply to our senior professionals.</w:t>
      </w:r>
    </w:p>
    <w:p>
      <w:pPr>
        <w:spacing w:after="0" w:line="184"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Our ability to successfully operate our business will depend upon the efforts of certain key personnel, including key personnel of PWP. The unexpected loss of key personnel may adversely affect our operations and profitability. In addition, our future success depends in part on our ability to identify and retain key personnel to succeed senior management. Furthermore, while we have closely scrutinized the skills, abilities and qualifications of the key personnel, our assessment may not prove to be correct. If such personnel do not possess the skills, qualifications or abilities we expect or those necessary to manage a public company, the operations and profitability of our business may be negatively impacted.</w:t>
      </w:r>
    </w:p>
    <w:p>
      <w:pPr>
        <w:spacing w:after="0" w:line="17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178"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In addition to recruiting and internal promotions, we may grow our business through strategic transactions, including joint ventures, strategic investments or acquisitions.</w:t>
      </w:r>
    </w:p>
    <w:p>
      <w:pPr>
        <w:spacing w:after="0" w:line="180"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 may have “earn-out” provisions that could result in large costs after the closing of the acquisition, some or all of which could be dilutive of the holders of our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 targets. Further, acquisitions may involve a number of special legal, regulatory, financial and business risks. If we are unable to successfully manage these risks, we will not be able to implement our growth strategy, which could ultimately materially adversely affect our business, financial condition and results of operations.</w:t>
      </w:r>
    </w:p>
    <w:p>
      <w:pPr>
        <w:spacing w:after="0" w:line="175"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185"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Our revenue in any given period is dependent on the number of fee-paying clients in such period. For the year ended December 31, 2025, we earned revenues from 187 advisory clients, 136 of which generated fees equal to or greater than $1.0 million. For the year ended December 31, 2024 we earned revenues from 221 advisory clients, 141 of which generated fees equal to or greater than $1.0 million. For the year ended December 31, 2023, we earned revenues from 202 advisory clients, 123 of which generated fees equal to or greater than $1.0 million. We may lose clients as a result of the sale or merger of a client, a change in a client's senior management, competition from other financial advisors and financial institutions and other causes. A significant reduction in the number of fee-paying clients in any given period could reduce our revenue and adversely affect our operating results for such period. There was no individual client that accounted for more than 10% of aggregate revenues for the years ended December 31, 2025 and 2023, while one individual client accounted for more than 10% of aggregate revenues for the year ended December 31, 2024.</w:t>
      </w:r>
    </w:p>
    <w:p>
      <w:pPr>
        <w:sectPr>
          <w:pgSz w:w="12240" w:h="15840" w:orient="portrait"/>
          <w:cols w:equalWidth="0" w:num="1">
            <w:col w:w="9900"/>
          </w:cols>
          <w:pgMar w:left="1180" w:top="1378" w:right="1160" w:bottom="169" w:gutter="0" w:footer="0" w:header="0"/>
        </w:sect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900"/>
          </w:cols>
          <w:pgMar w:left="1180" w:top="1378" w:right="1160" w:bottom="169" w:gutter="0" w:footer="0" w:header="0"/>
          <w:type w:val="continuous"/>
        </w:sectPr>
      </w:pPr>
    </w:p>
    <w:bookmarkStart w:id="12" w:name="page13"/>
    <w:bookmarkEnd w:id="12"/>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 significantly affected by the loss of a relatively small number of mandates or the failure of a relatively small number of assignments to be completed.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recorded operating losses in the past and may experience operating losses in the future.</w:t>
      </w:r>
    </w:p>
    <w:p>
      <w:pPr>
        <w:spacing w:after="0" w:line="21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For the years ended December 31, 2025, 2024, and 2023, we recorded operating income (losses) of $48.0 million, $(78.5) million, and $(115.1) million, respectively. The operating losses were largely due to the amortization of the Professional Partners Awards, which were fully amortized in 2024, and the amortization of equity-based compensation awards granted in connection with the Business Combination. These awards have been and will be recorded as equity-based compensation expense at PWP OpCo pursuant to U.S. GAAP. We need to continue to compensate personnel competitively in order to continue building our business and as a result, we may again experience operating losses in future periods.</w:t>
      </w:r>
    </w:p>
    <w:p>
      <w:pPr>
        <w:spacing w:after="0" w:line="17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185"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 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 timing of when fees are earned, and high levels of revenue in one quarter will not necessarily be predictive of continued high levels of revenue in future periods.</w:t>
      </w:r>
    </w:p>
    <w:p>
      <w:pPr>
        <w:spacing w:after="0" w:line="186"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Because in many cases revenue is not recognized until the successful consummation of the underlying transaction, our revenue is highly dependent on market conditions and the decisions and actions of our clients, interested third parties and governmental authorities. For example, we may be engaged by a 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 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 its operations or indebtedness due to a failure to reach an agreement with its principal creditors or the court. In such circumstances, we often do not receive advisory fees, despite having devoted considerable resources to these transactions.</w:t>
      </w:r>
    </w:p>
    <w:p>
      <w:pPr>
        <w:spacing w:after="0" w:line="187"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In addition, our engagements are often singular in nature and do not provide for subsequent engagements, which could cause our revenues to fluctuate materially from period to period.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spacing w:after="0" w:line="181"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Further, we have in the past and may in the future face the risk that certain clients may not have the financial resources to pay our agreed-upon fees. Certain clients may also be unwilling to pay our fees in whole or in part, in which case we may have to incur significant costs to bring legal action to enforce our engagement agreements to obtain such fees. On occasion, some of our clients have entered bankruptcy, which has prevented us from collecting amounts owed to us.</w:t>
      </w:r>
    </w:p>
    <w:p>
      <w:pPr>
        <w:sectPr>
          <w:pgSz w:w="12240" w:h="15840" w:orient="portrait"/>
          <w:cols w:equalWidth="0" w:num="1">
            <w:col w:w="9880"/>
          </w:cols>
          <w:pgMar w:left="1180" w:top="1378" w:right="118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880"/>
          </w:cols>
          <w:pgMar w:left="1180" w:top="1378" w:right="1180" w:bottom="169" w:gutter="0" w:footer="0" w:header="0"/>
          <w:type w:val="continuous"/>
        </w:sectPr>
      </w:pPr>
    </w:p>
    <w:bookmarkStart w:id="13" w:name="page14"/>
    <w:bookmarkEnd w:id="13"/>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If the number of debt defaults, bankruptcies or other factors affecting demand for our recapitalization and restructuring advisory services declines, or if capital for illiquid assets required in our private funds advisory business becomes unavailable, our business related to such services could suffer.</w:t>
      </w:r>
    </w:p>
    <w:p>
      <w:pPr>
        <w:spacing w:after="0" w:line="185"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We provide various financial recapitalization and restructuring and related advice to companies in financial distress or to their creditors or other stakeholders, and we provide private fund advisory and fundraising services to fund sponsors and institutional investors. A number of factors affect demand for these advisory services, including general economic conditions, the availability and cost of debt and equity financing, the availability of institutional capital for investment in illiquid assets,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 defaults, bankruptcies or other factors affecting demand for our advisory services related to recapitalization and restructuring activity declines, or if institutional capital focused on illiquid investment opportunities is limited, our business could be adversely affected.</w:t>
      </w:r>
    </w:p>
    <w:p>
      <w:pPr>
        <w:spacing w:after="0" w:line="18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failure to deal appropriately with actual, potential or perceived conflicts of interest could damage our reputation and materially adversely affect our business.</w:t>
      </w:r>
    </w:p>
    <w:p>
      <w:pPr>
        <w:spacing w:after="0" w:line="178"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We confront actual, potential or perceived conflicts of interest in our business. Appropriately identifying and managing actual, potential or perceived conflicts of interest is complex and difficult. Accordingly, we face the risk that our policies, controls and procedures may not timely identify or appropriately manage such conflicts of interest. If we fail, or appear to fail, to timely identify or appropriately manage one or more potential or actual conflicts of interest, we could face client dissatisfaction, damage to our reputation, or regulatory or legal risk.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w:t>
      </w:r>
    </w:p>
    <w:p>
      <w:pPr>
        <w:spacing w:after="0" w:line="18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Further, certain members of our management team oversee or are otherwise involved in PWP Capital Holdings LP’s (“PWP Capital”) asset management business or other businesses, which could divert their time and attention away from running our advisory business and create, or appear to create, potential conflicts of interest when they are faced with decisions that could have different implications for us and PWP Capital’s asset management business or other businesses that they may manage or otherwise be involved with.</w:t>
      </w:r>
    </w:p>
    <w:p>
      <w:pPr>
        <w:spacing w:after="0" w:line="181"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We may implement or may be required to implement additional policies, controls and procedures to address additional regulatory requirements, including as a result of additional foreign jurisdictions in which we operate, or to mitigate actual or potential conflicts of interest, which could limit our activities, result in increased costs, including for additional personnel and infrastructure and information technology improvements, or reduce the positive synergies that we seek to cultivate across our businesses.</w:t>
      </w:r>
    </w:p>
    <w:p>
      <w:pPr>
        <w:spacing w:after="0" w:line="17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Employee misconduct, which is difficult to detect and deter, and other labor-related issues could harm us by impairing our ability to attract and retain clients and talent and by subjecting us to legal liability and reputational harm.</w:t>
      </w:r>
    </w:p>
    <w:p>
      <w:pPr>
        <w:spacing w:after="0" w:line="178" w:lineRule="exact"/>
        <w:rPr>
          <w:sz w:val="20"/>
          <w:szCs w:val="20"/>
          <w:color w:val="auto"/>
        </w:rPr>
      </w:pPr>
    </w:p>
    <w:p>
      <w:pPr>
        <w:jc w:val="both"/>
        <w:ind w:firstLine="360"/>
        <w:spacing w:after="0" w:line="212" w:lineRule="auto"/>
        <w:rPr>
          <w:sz w:val="20"/>
          <w:szCs w:val="20"/>
          <w:color w:val="auto"/>
        </w:rPr>
      </w:pPr>
      <w:r>
        <w:rPr>
          <w:rFonts w:ascii="Times New Roman" w:cs="Times New Roman" w:eastAsia="Times New Roman" w:hAnsi="Times New Roman"/>
          <w:sz w:val="20"/>
          <w:szCs w:val="20"/>
          <w:color w:val="auto"/>
        </w:rPr>
        <w:t>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 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and/or personnel and in turn materially adversely affect our business. We also face the risk that our employees engage in work place misconduct, such as sexual harassment or discrimination, despite our implementation of policies and training to prevent and detect misconduct. In addition to impairing our ability to attract and retain clients, such misconduct may also impair our ability to attract and retain talent resulting in a materially adverse effect on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 employee misconduct, and the precautions we take to detect and prevent misconduct may not be effective in all cases. If our employees engage in misconduct or fail to follow appropriate security measures, our business could be materially adversely affected.</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900"/>
          </w:cols>
          <w:pgMar w:left="1180" w:top="1369" w:right="1160" w:bottom="169" w:gutter="0" w:footer="0" w:header="0"/>
          <w:type w:val="continuous"/>
        </w:sectPr>
      </w:pPr>
    </w:p>
    <w:bookmarkStart w:id="14" w:name="page15"/>
    <w:bookmarkEnd w:id="14"/>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The U.S. Department of Justice and the SEC continue to devote significant resources to the enforcement of the FCPA. In addition, the U.K. and other jurisdictions have significantly expanded the reach of their anti-bribery laws. While we have developed and implemented policies and procedures that we 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 securities litigation and/or a general loss of client or investor confidence, any one of which could adversely affect our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face damage to our professional reputation if our services are not regarded as satisfactory or for other reasons.</w:t>
      </w:r>
    </w:p>
    <w:p>
      <w:pPr>
        <w:spacing w:after="0" w:line="219"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As an advisory service firm, we depend to a large extent on our relationships with our clients and reputation for integrity and high caliber professional 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 professionals, including misuse of confidential information or mishandling actual or perceived conflicts, could make it substantially more difficult for us to attract new engagements and clients or retain existing clients. As a result, if a client is not satisfied with our services, it may be more damaging in our field of business than in other business fields.</w:t>
      </w:r>
    </w:p>
    <w:p>
      <w:pPr>
        <w:spacing w:after="0" w:line="184"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 inadvertent disclosures.</w:t>
      </w:r>
    </w:p>
    <w:p>
      <w:pPr>
        <w:spacing w:after="0" w:line="17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187"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 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spacing w:after="0" w:line="181"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We have experienced competition in obtaining advisory mandates, including with respect to pricing, and we may experience further pricing pressures in our business in the future as some of our competitors may seek to obtain increased market share by reducing fees.</w:t>
      </w:r>
    </w:p>
    <w:p>
      <w:pPr>
        <w:spacing w:after="0" w:line="182"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Our competitors include large financial institutions, many of which have far greater financial and other resources than we do. Unlike us, these large financial institutions have the ability to support investment banking, including financial advisory services, with commercial lending and other financial services and products we do not offer in an effort to gain market share. This may put us at a competitive disadvantage and could result in pricing pressures or loss of opportunities, which could materially adversely affect our revenue and profitability. These larger and better capitalized competitors may also be better able to respond to changes in the financial services industry.</w:t>
      </w:r>
    </w:p>
    <w:p>
      <w:pPr>
        <w:spacing w:after="0" w:line="181"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 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 and earnings.</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If we are unable to compete successfully with our existing competitors or with any new competitors, we will not be able to implement our growth strategy, which ultimately could materially adversely affect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 a member of the financial services industry, we face substantial litigation risks.</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Our business is subject to various U.S. and international laws and regulations that could lead to enforcement actions, fines, civil or criminal penalties or the assertion of litigation claims and damages. In addition, improper conduct by our employees, agents or other related parties could damage our reputation and/or lead to litigation or legal proceedings that could result in civil or criminal penalties, including substantial monetary fines. In certain circumstances it may not be economical to defend against such matters and/or our legal strategy may not ultimately result in us prevailing in a matter. Such events could lead to an adverse impact on our financial condition or results of operations.</w:t>
      </w:r>
    </w:p>
    <w:p>
      <w:pPr>
        <w:sectPr>
          <w:pgSz w:w="12240" w:h="15840" w:orient="portrait"/>
          <w:cols w:equalWidth="0" w:num="1">
            <w:col w:w="9900"/>
          </w:cols>
          <w:pgMar w:left="1180" w:top="1378" w:right="1160" w:bottom="167" w:gutter="0" w:footer="0" w:header="0"/>
        </w:sectPr>
      </w:pP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900"/>
          </w:cols>
          <w:pgMar w:left="1180" w:top="1378" w:right="1160" w:bottom="167" w:gutter="0" w:footer="0" w:header="0"/>
          <w:type w:val="continuous"/>
        </w:sectPr>
      </w:pPr>
    </w:p>
    <w:bookmarkStart w:id="15" w:name="page16"/>
    <w:bookmarkEnd w:id="15"/>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 affected third parties, including shareholders of our clients who could bring securities class actions against us. In recent years, the volume of claims and amount of damages claimed in litigation and regulatory proceedings against financial services companies have been increasing. These risks often may be difficult to assess or quantify and their existence and magnitude often remain unknown for substantial periods of time.</w:t>
      </w:r>
    </w:p>
    <w:p>
      <w:pPr>
        <w:spacing w:after="0" w:line="18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From time to time, we act as an underwriter in public offerings and other distributions of securities. Therefore, we are subject to risks associated with underwriting activity, including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w:t>
      </w:r>
    </w:p>
    <w:p>
      <w:pPr>
        <w:spacing w:after="0" w:line="181"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 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 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is subject to various cybersecurity and other operational risks.</w:t>
      </w:r>
    </w:p>
    <w:p>
      <w:pPr>
        <w:spacing w:after="0" w:line="219" w:lineRule="exact"/>
        <w:rPr>
          <w:sz w:val="20"/>
          <w:szCs w:val="20"/>
          <w:color w:val="auto"/>
        </w:rPr>
      </w:pPr>
    </w:p>
    <w:p>
      <w:pPr>
        <w:jc w:val="both"/>
        <w:ind w:firstLine="360"/>
        <w:spacing w:after="0" w:line="211" w:lineRule="auto"/>
        <w:rPr>
          <w:sz w:val="20"/>
          <w:szCs w:val="20"/>
          <w:color w:val="auto"/>
        </w:rPr>
      </w:pPr>
      <w:r>
        <w:rPr>
          <w:rFonts w:ascii="Times New Roman" w:cs="Times New Roman" w:eastAsia="Times New Roman" w:hAnsi="Times New Roman"/>
          <w:sz w:val="20"/>
          <w:szCs w:val="20"/>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 we rely, may fail to operate properly or become disabled as a result of tampering or a breach of our or such third parties' network security systems or otherwise, including for reasons beyond our control. Our clients typically provide us with sensitive and confidential information. We are dependent on information technology networks and systems to securely process, transmit and store such information and to communicate among our locations around the 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 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Company. If our or the third-party systems on which we rely are compromised, do not operate 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192"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 technology could impair our operations, affect our reputation and adversely affect our business.</w:t>
      </w:r>
    </w:p>
    <w:p>
      <w:pPr>
        <w:spacing w:after="0" w:line="181"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We utilize artificial intelligence technologies (“AI”) within our business, and we recognize that third parties that provide services to us may independently use AI. The use of AI, which involves reliance on substantial data volumes, introduces risks, including, but not limited to, leakage of confidential or proprietary information, sensitive data being accessed, misused, or stolen, evolving regulatory environment, hallucination and/or our competitors adopting and utilizing AI in a more effective manner that may have a material adverse effect on our financial condition, results of operations or market share.</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900"/>
          </w:cols>
          <w:pgMar w:left="1180" w:top="1378" w:right="1160" w:bottom="169" w:gutter="0" w:footer="0" w:header="0"/>
          <w:type w:val="continuous"/>
        </w:sectPr>
      </w:pPr>
    </w:p>
    <w:bookmarkStart w:id="16" w:name="page17"/>
    <w:bookmarkEnd w:id="16"/>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 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 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 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 regulatory actions, reputational harm or legal liability.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international operations are subject to certain risks, which may affect our revenue.</w:t>
      </w:r>
    </w:p>
    <w:p>
      <w:pPr>
        <w:spacing w:after="0" w:line="219" w:lineRule="exact"/>
        <w:rPr>
          <w:sz w:val="20"/>
          <w:szCs w:val="20"/>
          <w:color w:val="auto"/>
        </w:rPr>
      </w:pPr>
    </w:p>
    <w:p>
      <w:pPr>
        <w:jc w:val="both"/>
        <w:ind w:right="20" w:firstLine="360"/>
        <w:spacing w:after="0" w:line="213" w:lineRule="auto"/>
        <w:rPr>
          <w:sz w:val="20"/>
          <w:szCs w:val="20"/>
          <w:color w:val="auto"/>
        </w:rPr>
      </w:pPr>
      <w:r>
        <w:rPr>
          <w:rFonts w:ascii="Times New Roman" w:cs="Times New Roman" w:eastAsia="Times New Roman" w:hAnsi="Times New Roman"/>
          <w:sz w:val="20"/>
          <w:szCs w:val="20"/>
          <w:color w:val="auto"/>
        </w:rPr>
        <w:t>For the years ended December 31, 2025, 2024, and 2023, we earned approximately 25.0%, 14.2%, and 18.2%, respectively, of our revenues from our 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 greater difficulties in managing and staffing foreign operations; language barriers and cultural differences, including the need to adopt different business practices in different geographic areas; fluctuations in foreign currency exchange rates that could adversely affect our results; unexpected, additional and/or costly changes in trading policies, regulatory requirements, tariffs and other barriers; restrictions on travel; longer transaction cycles; higher operating costs; local labor conditions and regulations; adverse consequences or restrictions on the repatriation of earnings; potentially adverse tax consequences, such as trapped foreign losses or profits; potentially less stable political and economic environments; terrorism, international hostilities, war and other civil disturbances or other catastrophic events that reduce business activity; different fee structures for our advisory services; and difficulty collecting fees.</w:t>
      </w:r>
    </w:p>
    <w:p>
      <w:pPr>
        <w:spacing w:after="0" w:line="19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Further, 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geographically dispersed operations.</w:t>
      </w:r>
    </w:p>
    <w:p>
      <w:pPr>
        <w:spacing w:after="0" w:line="181"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 of international operations.</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If our international business increases relative to our total business, the materialization of these risks could have a more pronounced effect on our operating results or growth prospects.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enter into new lines of business which may result in additional risks and uncertainties in our business.</w:t>
      </w:r>
    </w:p>
    <w:p>
      <w:pPr>
        <w:spacing w:after="0" w:line="21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We currently generate substantially all of our revenue from advisory engagements. However, we may grow our business by entering into new lines of business. Moreover, we currently derive a small portion of revenue through equity research and underwriting services. 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 resources, diversion of management’s time and attention and the loss of clients due to the perception that we are no longer focusing on our business.</w:t>
      </w:r>
    </w:p>
    <w:p>
      <w:pPr>
        <w:spacing w:after="0" w:line="18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may in the future also invest in companies, including our clients, or enter into new lines of business, including alongside our clients, employees, officers and directors. To the extent that we enter into new business lines or we make such investments, we may cover costs and expenses, including with respect to broken deals. In addition, there can be no assurances that such investments will be successful or that we will not lose the entire amount of our investment.</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900"/>
          </w:cols>
          <w:pgMar w:left="1180" w:top="1378" w:right="1160" w:bottom="169" w:gutter="0" w:footer="0" w:header="0"/>
          <w:type w:val="continuous"/>
        </w:sectPr>
      </w:pPr>
    </w:p>
    <w:bookmarkStart w:id="17" w:name="page18"/>
    <w:bookmarkEnd w:id="17"/>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could be materially adversely affected.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Fluctuations in foreign currency exchange rates could adversely affect our results.</w:t>
      </w:r>
    </w:p>
    <w:p>
      <w:pPr>
        <w:spacing w:after="0" w:line="219"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Because our financial statements are denominated in U.S. dollars and we receive a portion of our revenue in other currencies (including the Euro, pound sterling and Canadian dollars), we are exposed to fluctuations in foreign currencies. During the years ended December 31, 2025, 2024, and 2023, 22.0%, 11.8%, and 16.9%, respectively, of revenue was denominated in currencies other than the U.S. dollar. In addition, we pay certain of our expenses in such currencies. Additionally, entering into transactions and holding monetary assets and liabilities that are not denominated in the functional currency of our foreign subsidiaries exposes the Company to exchange rate fluctuations which can result in foreign currency related transaction gains and losses.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spacing w:after="0" w:line="180"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Restrictions in the Credit Agreement (as defined below) governing our Revolving Credit Facility (as defined below) may impair our ability to finance our future operations or capital needs or engage in other business activities that may be in our interests.</w:t>
      </w:r>
    </w:p>
    <w:p>
      <w:pPr>
        <w:spacing w:after="0" w:line="185" w:lineRule="exact"/>
        <w:rPr>
          <w:sz w:val="20"/>
          <w:szCs w:val="20"/>
          <w:color w:val="auto"/>
        </w:rPr>
      </w:pPr>
    </w:p>
    <w:p>
      <w:pPr>
        <w:jc w:val="both"/>
        <w:ind w:right="20" w:firstLine="360"/>
        <w:spacing w:after="0" w:line="215" w:lineRule="auto"/>
        <w:rPr>
          <w:sz w:val="20"/>
          <w:szCs w:val="20"/>
          <w:color w:val="auto"/>
        </w:rPr>
      </w:pPr>
      <w:r>
        <w:rPr>
          <w:rFonts w:ascii="Times New Roman" w:cs="Times New Roman" w:eastAsia="Times New Roman" w:hAnsi="Times New Roman"/>
          <w:sz w:val="20"/>
          <w:szCs w:val="20"/>
          <w:color w:val="auto"/>
        </w:rPr>
        <w:t>We have access to a revolving credit facility (the “Revolving Credit Facility”) through an amended and restated credit agreement with Cadence Bank, dated December 11, 2018 (as amended on December 11, 2018, November 11, 2020, December 28, 2020, June 15, 2021, June 30, 2023, and January 24, 2025, the “Credit Agreement”), which provides for a $50.0 million unsecured revolving credit facility that matures on July 1, 2028, and contains a number of significant covenants that, among other things, require PWP OpCo and certain of its subsidiaries (the “Loan Parties”) to maintain (on a consolidated basis) minimum liquidity levels, a minimum debt service coverage ratio and a maximum leverage ratio and restrict the ability of the Loan Parties to: incur liens; dispose of assets; incur additional indebtedness; make certain restricted payments; engage in business mergers or consolidations; and engage in certain transactions with subsidiaries and affiliates.</w:t>
      </w:r>
    </w:p>
    <w:p>
      <w:pPr>
        <w:spacing w:after="0" w:line="186"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These restrictions (and similar restrictions under any replacement credit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credit facility) or the inability of any Loan Party to comply with the required financial ratios or covenants included therein could result in a default thereunder. In the event of any such default, the administrative agent under the Revolving Credit Facility (or any replacement credit facility) could elect to: declare the commitments of all of the lenders under the Revolving Credit Facility (or any replacement credit facility) to be terminated; and declare all outstanding debt, accrued interest and fees to be due and immediately payable.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generate sufficient cash to service any indebtedness.</w:t>
      </w:r>
    </w:p>
    <w:p>
      <w:pPr>
        <w:spacing w:after="0" w:line="21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Our ability to make scheduled payments on or to refinance any debt obligations, including borrowings under the Revolving Credit Facility or any replacement credit facility, depends on our financial condition and operating performance. We cannot provide assurance that we will maintain a level of cash flows from operating activities sufficient to permit us to pay the principal of, and interest on, any existing or future indebtedness. If our cash flows and capital resources are insufficient to fund any future debt service obligations, we may be forced to reduce or delay investments and capital expenditures, seek 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 management attention.</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900"/>
          </w:cols>
          <w:pgMar w:left="1180" w:top="1378" w:right="1160" w:bottom="169" w:gutter="0" w:footer="0" w:header="0"/>
          <w:type w:val="continuous"/>
        </w:sectPr>
      </w:pPr>
    </w:p>
    <w:bookmarkStart w:id="18" w:name="page19"/>
    <w:bookmarkEnd w:id="18"/>
    <w:p>
      <w:pPr>
        <w:jc w:val="both"/>
        <w:ind w:right="2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on the Consolidated Statements of Financial Condition.</w:t>
      </w:r>
    </w:p>
    <w:p>
      <w:pPr>
        <w:spacing w:after="0" w:line="187"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As part of the process of preparing our consolidated statements of financial condition, we are required to estimate income taxes in each of the jurisdictions in which we operate. Significant management judgment is required in determining our provision for income taxes, our deferred tax assets and liabilities, and any valuation allowance recorded against our deferred tax assets. This process requires us to estimate our actual current tax liability and to assess temporary 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 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 have a material change to our effective tax 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Regulation</w:t>
      </w:r>
    </w:p>
    <w:p>
      <w:pPr>
        <w:spacing w:after="0" w:line="208"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185"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As a participant in the financial services industry, we are subject to extensive regulation in the United States and internationally, including regulatory capital and other requirements imposed on our SEC-registered broker-dealers, Perella Weinberg Partners LP and Devon Park Securities, LLC. We are subject to regulatory restrictions and requirements imposed by applicable statutes, regulations and policies in the jurisdictions in which we operate. U.S. and non-U.S. government agencies and self-regulatory organizations, including the SEC, FINRA and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w:t>
      </w:r>
    </w:p>
    <w:p>
      <w:pPr>
        <w:spacing w:after="0" w:line="184"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Canada, France and Germany, and the manner in which those laws and related regulations are applied to our operations is still evolving. For example, in the United States, several states and municipalities, including, but not limited to, California, Illinois, New York State and New York City have adopted “pay-to-play” rules which, in addition to imposing registration and reporting requirements, limit our ability to charge fees in connection with certain engagements of our advisory business.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18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Our ability to conduct business and our operating results may also be adversely affected as a result of any new requirements imposed by, or changes in, the interpretation or enforcement of existing laws and rules by the SEC, FINRA, the FCA, the Canadian Securities Administrators, CIRO, the ACPR, the AMF or other U.S. or foreign governmental regulatory authorities or self-regulatory organizations that regulate financial services firms or supervise financial 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w:t>
      </w:r>
    </w:p>
    <w:p>
      <w:pPr>
        <w:spacing w:after="0" w:line="18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New laws or regulations or changes in enforcement of existing laws or regulations applicable to our clients may also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181"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 limitation of licenses. Failure to comply with applicable laws or regulations could also result in adverse publicity and reputational harm and could impair 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 predict the timing or the outcome of any such examinations.</w:t>
      </w:r>
    </w:p>
    <w:p>
      <w:pPr>
        <w:sectPr>
          <w:pgSz w:w="12240" w:h="15840" w:orient="portrait"/>
          <w:cols w:equalWidth="0" w:num="1">
            <w:col w:w="9900"/>
          </w:cols>
          <w:pgMar w:left="1180" w:top="1369" w:right="1160" w:bottom="169" w:gutter="0" w:footer="0" w:header="0"/>
        </w:sectPr>
      </w:pP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900"/>
          </w:cols>
          <w:pgMar w:left="1180" w:top="1369" w:right="1160" w:bottom="169" w:gutter="0" w:footer="0" w:header="0"/>
          <w:type w:val="continuous"/>
        </w:sectPr>
      </w:pPr>
    </w:p>
    <w:bookmarkStart w:id="19" w:name="page20"/>
    <w:bookmarkEnd w:id="19"/>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The cost of compliance with international broker-dealer, employment, labor, benefits and tax regulations may adversely affect our business and hamper our ability to expand internationally.</w:t>
      </w:r>
    </w:p>
    <w:p>
      <w:pPr>
        <w:spacing w:after="0" w:line="178"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Since we operate our business both in the United States and internationally, we are subject to many distinct broker-dealer, employment, labor, benefits and tax laws in each country in which we operate, including regulations affecting our employment practices and our relations with our employees and service providers. In addition, the data privacy and security framework of the European Union. and the U.K., the GDPR and the U.K. GDPR, took effect on May 25, 2018. As we engage in significant business in Europe and in the U.K., we are subject to the GDPR's requirements.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favoring or requiring local ownership.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Organizational Structure</w:t>
      </w:r>
    </w:p>
    <w:p>
      <w:pPr>
        <w:spacing w:after="0" w:line="208"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Our only material assets are our partnership interests in PWP OpCo and our equity interest in the general partner of PWP OpCo, PWP GP, and we are accordingly dependent upon distributions from PWP OpCo to pay dividends, taxes, make payments under the TRA (as defined below) and pay other expenses.</w:t>
      </w:r>
    </w:p>
    <w:p>
      <w:pPr>
        <w:spacing w:after="0" w:line="185"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We are a holding company, and our only material assets are our partnership interests in PWP OpCo and our equity interest in PWP GP, the general partner of PWP OpCo. We have no independent means of generating revenue. We are accordingly dependent upon, and intend to cause PWP OpCo to make, distributions to our partners in an amount sufficient to cover all applicable taxes payable, other expenses, payments under the TRA (as defined below), Professional Partners' indemnification claims with respect to the advisory business and dividends, if any, declared by us.</w:t>
      </w:r>
    </w:p>
    <w:p>
      <w:pPr>
        <w:spacing w:after="0" w:line="181"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 regulatory capital requirements that limit the distributions that may be made by those subsidiaries.</w:t>
      </w:r>
    </w:p>
    <w:p>
      <w:pPr>
        <w:spacing w:after="0" w:line="181"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Deterioration in the financial condition, earnings or cash flow of PWP OpCo and its subsidiaries for any reason could limit or impair its ability to pay such distributions. PWP OpCo's ability to make distributions to us will be dependent on our subsidiaries' ability to pay dividends to it. Certain of its subsidiaries are SEC-registered broker-dealers and subject to regulatory capital requirements, which may restrict their ability to make distributions unless specified levels of regulatory capital are maintained. To the extent that we require funds and PWP OpCo is restricted from making such distributions under applicable law or regulation or under the terms of financing arrangements, or is otherwise unable to provide such funds, our liquidity and financial condition could be materially adversely affected.</w:t>
      </w:r>
    </w:p>
    <w:p>
      <w:pPr>
        <w:spacing w:after="0" w:line="17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b w:val="1"/>
          <w:bCs w:val="1"/>
          <w:i w:val="1"/>
          <w:iCs w:val="1"/>
          <w:color w:val="auto"/>
        </w:rPr>
        <w:t>We are required to pay our ILPs (as defined below) and/or Limited Partners (as defined below) for certain tax benefits we may claim as a result of the tax basis step-up we received in connection with the Business Combination and related transactions and that we may receive in connection with subsequent exchanges of PWP OpCo Class A partnership units for cash or our Class A common stock. In certain circumstances, payments under the TRA (as defined herein) may be accelerated and/or significantly exceed the actual tax benefits we realize.</w:t>
      </w:r>
    </w:p>
    <w:p>
      <w:pPr>
        <w:spacing w:after="0" w:line="186"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Our acquisition of PWP OpCo Class A partnership units in connection with the Business Combination or pursuant to future exchanges of PWP OpCo Class A partnership units for shares of our Class A common stock or cash, and certain other transactions, have or are expected to result in increases in 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900"/>
          </w:cols>
          <w:pgMar w:left="1180" w:top="1369" w:right="1160" w:bottom="169" w:gutter="0" w:footer="0" w:header="0"/>
          <w:type w:val="continuous"/>
        </w:sectPr>
      </w:pPr>
    </w:p>
    <w:bookmarkStart w:id="20" w:name="page21"/>
    <w:bookmarkEnd w:id="20"/>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Our tax receivable agreement (the “TRA” or “Tax Receivable Agreement”) generally provides for payment by us to Investor Limited Partners (the “ILPs” or “ILP”) and certain Partners (as defined therein) (the “TRA Parties” and individually, a “TRA Party”) of 85% of the cash tax savings, if any, in U.S. federal, state, local and foreign income taxes and related interest realized (or deemed realized) in periods after the Closing as a result of (a) the Business Combination and related transactions, (b) exchanges of interests in PWP OpCo for cash or stock of the Company and certain other transactions and (c) payments made under the TRA. We expect to retain the benefit of the remaining 15% of these cash tax savings. While the actual increase in tax basis, as well as the amount and timing of any payments under the TRA, will vary depending upon a number of factors, including the timing of exchanges, the price of shares of our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prior and future acquisition of interests in PWP OpCo, during the expected term of the TRA, the payments that we may make under the TRA could be substantial.</w:t>
      </w:r>
    </w:p>
    <w:p>
      <w:pPr>
        <w:spacing w:after="0" w:line="191"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The payment obligation under the TRA is our obligation and not an obligation of PWP OpCo. In addition, although we are not aware of any issue that would cause the IRS to challenge a tax basis increase or other benefits, the relevant ILPs and/or limited partners of Professional Partners (“Limited Partners”) will not reimburse us for any payments that may previously have been made under the TRA if such basis increases or other benefits are subsequently disallowed. As a result, in certain circumstances we could make payments to the relevant ILPs and/or Limited Partners under the TRA in excess of our cash tax savings. Our ability to achieve benefits from any tax basis increase or other benefits, and the payments to be made under the TRA, will depend upon a number of factors, as discussed above, including the timing and amount of our future income.</w:t>
      </w:r>
    </w:p>
    <w:p>
      <w:pPr>
        <w:spacing w:after="0" w:line="184"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The TRA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spacing w:after="0" w:line="184" w:lineRule="exact"/>
        <w:rPr>
          <w:sz w:val="20"/>
          <w:szCs w:val="20"/>
          <w:color w:val="auto"/>
        </w:rPr>
      </w:pPr>
    </w:p>
    <w:p>
      <w:pPr>
        <w:jc w:val="both"/>
        <w:ind w:right="20" w:firstLine="360"/>
        <w:spacing w:after="0" w:line="213" w:lineRule="auto"/>
        <w:rPr>
          <w:sz w:val="20"/>
          <w:szCs w:val="20"/>
          <w:color w:val="auto"/>
        </w:rPr>
      </w:pPr>
      <w:r>
        <w:rPr>
          <w:rFonts w:ascii="Times New Roman" w:cs="Times New Roman" w:eastAsia="Times New Roman" w:hAnsi="Times New Roman"/>
          <w:sz w:val="20"/>
          <w:szCs w:val="20"/>
          <w:color w:val="auto"/>
        </w:rPr>
        <w:t>Furthermore, upon a material breach of our obligations under the TRA that is not cured within the time period specified by the TRA or if, at any time, we elect an early termination of the TRA, we shall pay to each ILP and/or Limited Partner the present value, discounted at the Secured Overnight Financing Rate plus 310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TRA payments.</w:t>
      </w:r>
    </w:p>
    <w:p>
      <w:pPr>
        <w:spacing w:after="0" w:line="17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b w:val="1"/>
          <w:bCs w:val="1"/>
          <w:i w:val="1"/>
          <w:iCs w:val="1"/>
          <w:color w:val="auto"/>
        </w:rPr>
        <w:t>PWP OpCo may make distributions of cash to us substantially in excess of the amounts we use to make distributions to our shareholders and to pay our expenses (including our taxes and payments under the TRA). To the extent we do not distribute such excess cash as dividends on our Class A common stock, the holders of PWP OpCo Class A partnership units would benefit from any value attributable to such cash as a result of their ownership of our Class A common stock upon a redemption or exchange of their PWP OpCo Class A partnership units.</w:t>
      </w:r>
    </w:p>
    <w:p>
      <w:pPr>
        <w:spacing w:after="0" w:line="186"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Under the amended and restated agreement of limited partnership of PWP OpCo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In accordance with the PWP OpCo LPA, we intend to use best efforts to cause PWP OpCo to make sufficient cash distributions to the holders of partnership units of PWP OpCo to fund their tax obligations in respect of the income of PWP OpCo that is allocated to them.</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900"/>
          </w:cols>
          <w:pgMar w:left="1180" w:top="1378" w:right="1160" w:bottom="169" w:gutter="0" w:footer="0" w:header="0"/>
          <w:type w:val="continuous"/>
        </w:sectPr>
      </w:pPr>
    </w:p>
    <w:bookmarkStart w:id="21" w:name="page22"/>
    <w:bookmarkEnd w:id="21"/>
    <w:p>
      <w:pPr>
        <w:jc w:val="both"/>
        <w:ind w:firstLine="360"/>
        <w:spacing w:after="0" w:line="212" w:lineRule="auto"/>
        <w:rPr>
          <w:sz w:val="20"/>
          <w:szCs w:val="20"/>
          <w:color w:val="auto"/>
        </w:rPr>
      </w:pPr>
      <w:r>
        <w:rPr>
          <w:rFonts w:ascii="Times New Roman" w:cs="Times New Roman" w:eastAsia="Times New Roman" w:hAnsi="Times New Roman"/>
          <w:sz w:val="20"/>
          <w:szCs w:val="20"/>
          <w:color w:val="auto"/>
        </w:rPr>
        <w:t>If we accumulate cash received as distributions from PWP OpCo in excess of the amounts that we need to pay any cash dividends declared by our board of directors, taxes and other expenses (including payments under the TRA), neither our organizational documents nor the PWP OpCo LPA will require us to distribute such excess cash to our stockholders. Our board of directors may, in its sole discretion, choose to use such excess cash for any purpose, including (i) to make additional distributions to the holders of our Class A common stock, (ii) to acquire additional newly-issued PWP OpCo Class A partnership units, and/or (iii) to repurchase outstanding shares of our Class A common stock. Unless and until our board of directors chooses, in its sole discretion, to make a distribution to our stockholders, we will have no obligation to distribute such cash (or other available cash other than any declared dividend) to our stockholders. No adjustments to the redemption or exchange ratio of PWP OpCo Class A partnership units for shares of our Class A common stock will be made as a result of either (i) any cash distribution by us or (ii) any cash that we retain and do not distribute to our shareholders, in each case, to the extent such cash was received pursuant to a pro rata distribution by PWP OpCo. To the extent we do not distribute such cash as dividends on our Class A common stock or otherwise use such cash as described and instead, for example, hold such cash balances or lend them to PWP OpCo, this may result in shares of our Class A common stock increasing in value relative to the PWP OpCo Class A partnership units (the “PWP OpCo Units”). The holders of PWP OpCo Units may benefit from any value attributable to such cash balances or loans to PWP OpCo if they acquire shares of our Class A common stock in exchange for their Class A partnership units or if we acquire additional PWP OpCo Class A partnership units (whether from PWP OpCo or from holders of PWP OpCo Class A partnership units) at a price based on the market price of shares of our Class A common stock at the time.</w:t>
      </w:r>
    </w:p>
    <w:p>
      <w:pPr>
        <w:spacing w:after="0" w:line="17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PWP OpCo and PWP Capital have entered into various arrangements, including a master separation agreement, which contain cross-indemnification obligations of us and PWP Capital.</w:t>
      </w:r>
    </w:p>
    <w:p>
      <w:pPr>
        <w:spacing w:after="0" w:line="178" w:lineRule="exact"/>
        <w:rPr>
          <w:sz w:val="20"/>
          <w:szCs w:val="20"/>
          <w:color w:val="auto"/>
        </w:rPr>
      </w:pPr>
    </w:p>
    <w:p>
      <w:pPr>
        <w:ind w:right="40" w:firstLine="360"/>
        <w:spacing w:after="0" w:line="214" w:lineRule="auto"/>
        <w:rPr>
          <w:sz w:val="20"/>
          <w:szCs w:val="20"/>
          <w:color w:val="auto"/>
        </w:rPr>
      </w:pPr>
      <w:r>
        <w:rPr>
          <w:rFonts w:ascii="Times New Roman" w:cs="Times New Roman" w:eastAsia="Times New Roman" w:hAnsi="Times New Roman"/>
          <w:sz w:val="20"/>
          <w:szCs w:val="20"/>
          <w:color w:val="auto"/>
        </w:rPr>
        <w:t>The master separation agreement that we entered into with PWP Capital, which holds the former asset management business of PWP OpCo prior to the separation of our advisory business from the asset management business of PWP OpCo in February 2019 (the “PWP Separation”), provides, among other things, that PWP Capital generally will indemnify us for losses that we incur relating to, arising out of or resulting from the business of PWP Capital and any payments with respect to joint liabilities to the extent they exceed 81.304% of such joint liabilities. In addition, we generally will indemnify PWP Capital for losses that PWP Capital incurs relating to our business and any payments with respect to joint liabilities to the extent they exceed 18.696% of such joint liabilities. We may not be able to recover any or all of the amount of any indemnified losses from PWP Capital should it be financially unable to perform under its indemnification obligations. In addition, we may be required to make substantial payments under our indemnity obligations to PWP Capital, which could materially adversely affect our results of operations and the price of our securities.</w:t>
      </w:r>
    </w:p>
    <w:p>
      <w:pPr>
        <w:spacing w:after="0" w:line="18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Restated Certificate of Incorporation could prevent us from benefiting from corporate opportunities that might have otherwise been available to us.</w:t>
      </w:r>
    </w:p>
    <w:p>
      <w:pPr>
        <w:spacing w:after="0" w:line="178" w:lineRule="exact"/>
        <w:rPr>
          <w:sz w:val="20"/>
          <w:szCs w:val="20"/>
          <w:color w:val="auto"/>
        </w:rPr>
      </w:pPr>
    </w:p>
    <w:p>
      <w:pPr>
        <w:jc w:val="both"/>
        <w:ind w:firstLine="360"/>
        <w:spacing w:after="0" w:line="211" w:lineRule="auto"/>
        <w:rPr>
          <w:sz w:val="20"/>
          <w:szCs w:val="20"/>
          <w:color w:val="auto"/>
        </w:rPr>
      </w:pPr>
      <w:r>
        <w:rPr>
          <w:rFonts w:ascii="Times New Roman" w:cs="Times New Roman" w:eastAsia="Times New Roman" w:hAnsi="Times New Roman"/>
          <w:sz w:val="20"/>
          <w:szCs w:val="20"/>
          <w:color w:val="auto"/>
        </w:rPr>
        <w:t>Our Restated Certificate of Incorporation, which is subject to the terms and provisions of the Stockholders Agreement (as defined below), contains provisions related to corporate opportunities that may be of interest to us and our subsidiaries and Perella Weinberg Partners LLC (“Professionals GP”) and Professional Partners and their respective subsidiaries. It provides that Professional Partners and its subsidiaries and any of their respective affiliates (excluding us or any of our subsidiaries) (collectively, the “PWP Partner Group”) will not have any duty (fiduciary or otherwise) to refrain from engaging, directly or indirectly, in the same or similar business activities or lines of business as us or any of our subsidiaries or PWP OpCo or any of its subsidiaries and in the event that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and the PWP Partner Group shall not have any duty to communicate or offer such corporate opportunity to us or any of our subsidiaries or PWP OpCo or any of its subsidiaries and may pursue such corporate opportunities for themselves or direct such corporate opportunity to another person, including one of their affiliates, in each case, to the fullest extent permitted by law. Furthermore, to the fullest extent permitted by law, in the event that any of our directors or officers or a director or officer of any or our subsidiaries, PWP OpCo or any of its subsidiaries who is also a partner, principal, director, officer, member, manager, employee, consultant, independent contractor and/or other service provider of any of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unless such corporate opportunity has expressly been offered to such person in his or her capacity as our director or officer in which case such opportunity shall belong to us. By becoming our stockholder, you will be deemed to have notice of and have consented to these provisions of our Restated Certificate of Incorporation.</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900"/>
          </w:cols>
          <w:pgMar w:left="1180" w:top="1378" w:right="1160" w:bottom="169" w:gutter="0" w:footer="0" w:header="0"/>
          <w:type w:val="continuous"/>
        </w:sectPr>
      </w:pPr>
    </w:p>
    <w:bookmarkStart w:id="22" w:name="page23"/>
    <w:bookmarkEnd w:id="22"/>
    <w:p>
      <w:pPr>
        <w:jc w:val="both"/>
        <w:ind w:right="2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If PWP OpCo were to become a publicly traded partnership taxable as a corporation for U.S. federal income tax purposes, we and PWP OpCo could be subject to potentially significant tax inefficiencies, and we would not be able to recover payments previously made by us under the TRA even if the corresponding tax benefits were subsequently determined to have been unavailable due to such status.</w:t>
      </w:r>
    </w:p>
    <w:p>
      <w:pPr>
        <w:spacing w:after="0" w:line="187"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We intend to operate such that PWP OpCo is treated as a partnership for U.S. federal income tax purposes and does not become a publicly traded partnership taxable as a corporation. A “publicly traded partnership” is a partnership the interests of which are traded on an established securities market or readily tradable on a secondary market or the substantial equivalent thereof. Under certain circumstances, exchanges of PWP OpCo Class A partnership units pursuant to the PWP OpCo LPA or other transfers of PWP OpCo Units could cause PWP OpCo to be treated as a corporation. We intend to operate such that transfers of PWP OpCo Units will not cause PWP OpCo to be treated as other than a partnership by providing for limitations on the ability of partners to exchange or otherwise transfer PWP OpCo Units and providing our board of directors and the board of directors of PWP GP with certain rights to further limit exchanges or other transfers of PWP OpCo Units as necessary to maintain the partnership status of PWP OpCo. However, there can be no assurance that this treatment will be respected.</w:t>
      </w:r>
    </w:p>
    <w:p>
      <w:pPr>
        <w:spacing w:after="0" w:line="189"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If PWP OpCo were to become a publicly traded partnership taxable as a corporation for U.S. federal income tax purposes, significant tax inefficiencies could result for us and PWP OpCo, including as a result of our inability to file a consolidated U.S. federal income tax return with PWP OpCo. In addition, we may not be able to realize tax benefits covered under the TRA and would not be able to recover any of our previously made payments under the TRA, even if the corresponding tax benefits (including any claimed increase in the tax basis of PWP OpCo's assets) were subsequently determined to have been unavailable.</w:t>
      </w:r>
    </w:p>
    <w:p>
      <w:pPr>
        <w:spacing w:after="0" w:line="172"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The use of certain of our licensed trademarks by PWP Capital and its subsidiaries may expose us to reputational harm that could adversely affect our business should they take actions that damage the brand name.</w:t>
      </w:r>
    </w:p>
    <w:p>
      <w:pPr>
        <w:spacing w:after="0" w:line="178"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We have licensed to PWP Capital and its subsidiaries the use of certain trademarks owned by us and our subsidiaries for use in connection with its asset management business that were in use by the PWP Capital business prior to the PWP Separation. As a result, there is a risk of reputational harm to us if PWP Capital and its subsidiaries use such trademarks and engage in poor business practices, experience adverse results or otherwise damage the reputational value of the “Perella Weinberg Partners” or “TPH&amp;Co.” brand names. These risks could impair our operations, affect our reputation and adversely affect our business.</w:t>
      </w:r>
    </w:p>
    <w:p>
      <w:pPr>
        <w:spacing w:after="0" w:line="172"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voting control is concentrated among the holders of our Class B-1 common stock. As a result, the market price of our securities may be materially adversely affected by such disparate voting rights.</w:t>
      </w:r>
    </w:p>
    <w:p>
      <w:pPr>
        <w:spacing w:after="0" w:line="178"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VoteCo Professionals beneficially owns all of the outstanding shares of our Class B-1 common stock, representing approximately 76.8% of our total voting power, and holders of Class A common stock own shares of our Class A common stock, representing approximately 23.2% of our total voting power (in each case as of December 31, 2025). As long as VoteCo Professionals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w:t>
      </w:r>
    </w:p>
    <w:p>
      <w:pPr>
        <w:spacing w:after="0" w:line="18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The holders of our Class A common stock and Class B common stock have substantially identical rights, except that holders of Class A common stock are entitled to one vote per share, while holders of Class B-1 common stock are entitled to 10 votes per share on all matters to be voted on by stockholders in general. This differential in the voting rights of our Class B-1 common stock could adversely affect the market price of our Class A common stock.</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900"/>
          </w:cols>
          <w:pgMar w:left="1180" w:top="1369" w:right="1160" w:bottom="169" w:gutter="0" w:footer="0" w:header="0"/>
          <w:type w:val="continuous"/>
        </w:sectPr>
      </w:pPr>
    </w:p>
    <w:bookmarkStart w:id="23" w:name="page24"/>
    <w:bookmarkEnd w:id="23"/>
    <w:p>
      <w:pPr>
        <w:ind w:right="6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VoteCo Professionals’ control over us may give rise to actual or perceived conflicts of interest with the Limited Partners who manage VoteCo Professionals.</w:t>
      </w:r>
    </w:p>
    <w:p>
      <w:pPr>
        <w:spacing w:after="0" w:line="178" w:lineRule="exact"/>
        <w:rPr>
          <w:sz w:val="20"/>
          <w:szCs w:val="20"/>
          <w:color w:val="auto"/>
        </w:rPr>
      </w:pPr>
    </w:p>
    <w:p>
      <w:pPr>
        <w:jc w:val="both"/>
        <w:ind w:firstLine="360"/>
        <w:spacing w:after="0" w:line="210" w:lineRule="auto"/>
        <w:rPr>
          <w:sz w:val="20"/>
          <w:szCs w:val="20"/>
          <w:color w:val="auto"/>
        </w:rPr>
      </w:pPr>
      <w:r>
        <w:rPr>
          <w:rFonts w:ascii="Times New Roman" w:cs="Times New Roman" w:eastAsia="Times New Roman" w:hAnsi="Times New Roman"/>
          <w:sz w:val="20"/>
          <w:szCs w:val="20"/>
          <w:color w:val="auto"/>
        </w:rPr>
        <w:t>We are controlled by VoteCo Professionals, which is ultimately managed by a committee of Limited Partners that manages Professionals GP, the general partner of VoteCo Professionals. The interests of the Limited Partners who manage VoteCo Professionals may differ from those of our other stockholders. For example, the Limited Partners who manage VoteCo Professionals may have a different tax position from us, which could influence their decisions regarding whether and when we should dispose of assets or incur new or refinance existing indebtedness, especially in light of the TRA, and whether and when we should undergo certain changes of control within the meaning of the TRA or terminate the TRA. In addition, the structuring of future transactions may take into consideration these tax or other considerations even where no similar benefit would accrue to us. VoteCo Professionals, which is ultimately managed by a committee of Limited Partners that manages Professionals GP, the general partner of VoteCo Professionals, holds all outstanding shares of Class B-1 common stock and thereby control approximately 76.8% of the voting interest in us as of December 31, 2025. The shares of Class B-1 common stock will entitle VoteCo Professionals to (i) for so long as the condition that Professional Partners or its Limited Partners as of the date of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“Class B Condition”) is satisfied, 10 votes per share for each share held of record on all matters submitted to a vote of stockholders and (ii) after the Class B Condition ceases to be satisfied, one vote per share for each share held of record on all matters submitted to a vote of stockholders. In addition, we are party to the Stockholders Agreement with VoteCo Professionals (the “Stockholders Agreement”), pursuant to which, for so long as the Class B Condition is satisfied, VoteCo Professionals will have certain approval rights over certain transactions, including the right to designate a number of nominees to our board of directors equal to a majority thereof. For so long as the Class B Condition is no longer satisfied and the condition that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 (the “Secondary Class B Condition”) is satisfied, VoteCo Professionals will have the right to designate a number of directors (rounded up to the nearest whole number) equal to one third of our board of directors. As a result, because the Limited Partners who manage VoteCo Professionals have a majority of the voting power in us through their control of VoteCo Professionals, and our Restated Certificate of Incorporation does not provide for cumulative voting, they will have the ability to elect all of the members of our board of directors and thereby to control our management and affairs, including determinations with respect to acquisitions, dispositions, borrowings, issuances of our Class A common stock or other securities, and the declaration and payment of dividends. The Limited Partners who manage VoteCo Professionals are able to determine the outcome of all matters requiring stockholder approval and are able to cause or prevent a change of control of us or a change in the composition of our board of directors and could preclude any unsolicited acquisition of us. The voting power of the Limited Partners who manage VoteCo Professionals could deprive our stockholders of an opportunity to receive a premium for their Class A common stock as part of a sale of us and might ultimately affect the market price of our Class A common stock. As a result of the control exercised by the Limited Partners who manage VoteCo Professionals over us, none of our agreements with them have been negotiated on “arm’s length” terms. We cannot assure you that we would not have received more favorable terms from an unaffiliated party.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Securities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performance does not meet market expectations, the price of our securities may decline.</w:t>
      </w: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If our performance does not meet market expectations, the price of our securities may decline.</w:t>
      </w:r>
    </w:p>
    <w:p>
      <w:pPr>
        <w:spacing w:after="0" w:line="210"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In addition, fluctuations in the price of our Class A common stock could contribute to the loss of all or part of your investment. The trading price of our 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900"/>
          </w:cols>
          <w:pgMar w:left="1180" w:top="1369" w:right="1160" w:bottom="169" w:gutter="0" w:footer="0" w:header="0"/>
          <w:type w:val="continuous"/>
        </w:sectPr>
      </w:pPr>
    </w:p>
    <w:bookmarkStart w:id="24" w:name="page25"/>
    <w:bookmarkEnd w:id="24"/>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Factors affecting the trading price of our Class A common stock may include: actual or anticipated fluctuations in our quarterly financial results or the quarterly financial results of companies perceived to be similar to us; changes in the market's expectations about our operating results; our operating results failing to meet market expectations in a particular period; changes in financial estimates and recommendations by securities analysts concerning us or the online automobile sales industry and market in general; operating and stock price performance of other companies that investors deem comparable to us; changes in laws and regulations affecting our business; commencement of, or involvement in, litigation involving us; changes in our capital structure, such as future issuances of securities or the incurrence of additional debt; the volume of shares of our Class A common stock available for public sale; any significant change in our board or management; sales of substantial amounts of Class A common stock by our directors, executive officers or significant stockholders or the perception that such sales could occur; and general economic and political conditions such as recessions, interest rates, fuel prices, international currency fluctuations, international hostilities and acts of war or terrorism.</w:t>
      </w:r>
    </w:p>
    <w:p>
      <w:pPr>
        <w:spacing w:after="0" w:line="191"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Broad market and industry factors may depress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75"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Our stockholders may be diluted by the future issuance of common stock, preferred stock or securities convertible or exchangeable into common or preferred stock, in connection with our incentive plans, acquisitions, capital raises or otherwise.</w:t>
      </w:r>
    </w:p>
    <w:p>
      <w:pPr>
        <w:spacing w:after="0" w:line="185"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As of December 31, 2025, we had 1,500,000,000 shares of Class A common stock authorized, of which 81,308,801 had been issued and 66,739,647 are outstanding. Our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spacing w:after="0" w:line="181" w:lineRule="exact"/>
        <w:rPr>
          <w:sz w:val="20"/>
          <w:szCs w:val="20"/>
          <w:color w:val="auto"/>
        </w:rPr>
      </w:pPr>
    </w:p>
    <w:p>
      <w:pPr>
        <w:jc w:val="both"/>
        <w:ind w:right="20" w:firstLine="360"/>
        <w:spacing w:after="0" w:line="213" w:lineRule="auto"/>
        <w:rPr>
          <w:sz w:val="20"/>
          <w:szCs w:val="20"/>
          <w:color w:val="auto"/>
        </w:rPr>
      </w:pPr>
      <w:r>
        <w:rPr>
          <w:rFonts w:ascii="Times New Roman" w:cs="Times New Roman" w:eastAsia="Times New Roman" w:hAnsi="Times New Roman"/>
          <w:sz w:val="20"/>
          <w:szCs w:val="20"/>
          <w:color w:val="auto"/>
        </w:rPr>
        <w:t>Subject to the exchange procedures and restrictions set forth in the PWP OpCo LPA, and any other procedures or restrictions imposed by us, holders of PWP OpCo Class A partnership units (other than Perella Weinberg Partners)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We have reserved approximately 22.1 million shares of Class A common stock for issuance from time to time in exchange for PWP OpCo Class A partnership units. We may in the future cause PWP OpCo to issue additional PWP OpCo Class A partnership units that would also be exchangeable for shares of Class A common stock. 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Perella Weinberg Partners' option) at a conversion rate of 1:1000 (or 0.001). We have reserved approximately 22,140 shares of Class A common stock for issuance from time to time in respect of conversion of shares of Class B common stock into Class A common stock.</w:t>
      </w:r>
    </w:p>
    <w:p>
      <w:pPr>
        <w:spacing w:after="0" w:line="183"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securities, or both. The amount of cash available per share including for payment of dividends in the future may also decrease.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securities and dilute their percentage ownership.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sales of our Class A common stock may reduce the market price of our Class A common stock.</w:t>
      </w:r>
    </w:p>
    <w:p>
      <w:pPr>
        <w:spacing w:after="0" w:line="219"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The registration and availability of a significant number of shares of Class A common stock for trading in the public market may increase the volatility in the price of our Class A common stock or put significant downward pressure on the price of our Class A common stock. In addition, we may use shares of our Class A common stock as consideration for future acquisitions, which could further dilute our stockholders.</w:t>
      </w:r>
    </w:p>
    <w:p>
      <w:pPr>
        <w:sectPr>
          <w:pgSz w:w="12240" w:h="15840" w:orient="portrait"/>
          <w:cols w:equalWidth="0" w:num="1">
            <w:col w:w="9900"/>
          </w:cols>
          <w:pgMar w:left="1180" w:top="1378" w:right="1160" w:bottom="169" w:gutter="0" w:footer="0" w:header="0"/>
        </w:sectPr>
      </w:pP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900"/>
          </w:cols>
          <w:pgMar w:left="1180" w:top="1378" w:right="1160" w:bottom="169"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auto"/>
        </w:rPr>
        <w:t>Risks Related to Being a Public Company</w:t>
      </w:r>
    </w:p>
    <w:p>
      <w:pPr>
        <w:spacing w:after="0" w:line="208"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maintain effective internal control over financial reporting, this could have a material adverse effect on our business.</w:t>
      </w:r>
    </w:p>
    <w:p>
      <w:pPr>
        <w:spacing w:after="0" w:line="178"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As a public company, we are required to maintain internal control over financial reporting and to report any material weaknesses in such internal controls. Section 404 of the Sarbanes-Oxley Act of 2002 (the “Sarbanes-Oxley Act”) requires our management report upon the effectiveness of our internal control over financial reporting, and our independent registered public accounting firm is required to attest to the effectiveness of our internal control over financial reporting. If</w:t>
      </w:r>
    </w:p>
    <w:p>
      <w:pPr>
        <w:spacing w:after="0" w:line="224" w:lineRule="auto"/>
        <w:rPr>
          <w:sz w:val="20"/>
          <w:szCs w:val="20"/>
          <w:color w:val="auto"/>
        </w:rPr>
      </w:pPr>
      <w:r>
        <w:rPr>
          <w:rFonts w:ascii="Times New Roman" w:cs="Times New Roman" w:eastAsia="Times New Roman" w:hAnsi="Times New Roman"/>
          <w:sz w:val="20"/>
          <w:szCs w:val="20"/>
          <w:color w:val="auto"/>
        </w:rPr>
        <w:t>we are not able to adequately comply with Section 404 of the Sarbanes-Oxley Act or if our management  or auditors are</w:t>
      </w:r>
    </w:p>
    <w:p>
      <w:pPr>
        <w:jc w:val="both"/>
        <w:ind w:right="20"/>
        <w:spacing w:after="0" w:line="222" w:lineRule="auto"/>
        <w:rPr>
          <w:sz w:val="20"/>
          <w:szCs w:val="20"/>
          <w:color w:val="auto"/>
        </w:rPr>
      </w:pPr>
      <w:r>
        <w:rPr>
          <w:rFonts w:ascii="Times New Roman" w:cs="Times New Roman" w:eastAsia="Times New Roman" w:hAnsi="Times New Roman"/>
          <w:sz w:val="20"/>
          <w:szCs w:val="20"/>
          <w:color w:val="auto"/>
        </w:rPr>
        <w:t>unable to conclude that our internal control over financial reporting is effective, we may become subject to adverse regulatory consequences and/or investors could lose confidence in the accuracy and completeness of our financial reports and that could lead to a decrease in the market price of our Class A common stock.</w:t>
      </w:r>
    </w:p>
    <w:p>
      <w:pPr>
        <w:spacing w:after="0" w:line="180"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Any failure to maintain effective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Class A common stock is listed, the SEC or other regulatory authorities. We may also be subject to litigation or other disputes which may include, among others, claims invoking the federal and state securities laws, contractual claims or other claims relating to our financial statements or any material weaknesses in our internal control over financial reporting. In either case, there could result a material adverse effect on our business.</w:t>
      </w:r>
    </w:p>
    <w:p>
      <w:pPr>
        <w:spacing w:after="0" w:line="18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We can give no assurance that material weaknesses or restatements of financial results will not arise in the future due to a failure to maintain adequate internal control over financial reporting or circumvention of these controls, or that any measures we take will be sufficient to remediate such material weaknesses. In addition, even if we are successful in maintaining our controls and procedures, in the future those controls and procedures may not be adequate to prevent or identify irregularities or errors or to facilitate the fair presentation of our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Governance and Governance Documents</w:t>
      </w:r>
    </w:p>
    <w:p>
      <w:pPr>
        <w:spacing w:after="0" w:line="20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spacing w:after="0" w:line="185"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VoteCo Professionals holds more than 50% of the voting power of our shares eligible to vote. As a result, we are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w:t>
      </w:r>
    </w:p>
    <w:p>
      <w:pPr>
        <w:spacing w:after="0" w:line="181"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We currently utilize these exemptions. As a result, we do not have a majority of independent directors on our board of directors and do not have a nominating and governance committee. Accordingly, although we may transition to a board with a majority of independent directors prior to the time we cease to be a “controlled company,” for such period of time you will not have the same protections afforded to stockholders of companies that are subject to all of 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pacing w:after="0" w:line="17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The classification of our board of directors may have anti-takeover effects, including discouraging, delaying or preventing our change of control.</w:t>
      </w:r>
    </w:p>
    <w:p>
      <w:pPr>
        <w:spacing w:after="0" w:line="178"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Our board of directors is currently divided into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 directors from changing a majority of the composition of our board of directors through a single proxy contest.</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900"/>
          </w:cols>
          <w:pgMar w:left="1180" w:top="1371" w:right="1160" w:bottom="169" w:gutter="0" w:footer="0" w:header="0"/>
          <w:type w:val="continuous"/>
        </w:sectPr>
      </w:pPr>
    </w:p>
    <w:bookmarkStart w:id="26" w:name="page27"/>
    <w:bookmarkEnd w:id="26"/>
    <w:p>
      <w:pPr>
        <w:jc w:val="both"/>
        <w:ind w:left="10" w:right="2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Delaware law, as well as the rules of FINRA, the FCA, the Alberta Commission, CIRO, ACPR and other U.S. or foreign governmental regulatory authorities or self-regulatory organizations, could delay or prevent a change in control, limit the price investors may be willing to pay in the future for our Class A common stock and could entrench management.</w:t>
      </w:r>
    </w:p>
    <w:p>
      <w:pPr>
        <w:spacing w:after="0" w:line="187" w:lineRule="exact"/>
        <w:rPr>
          <w:sz w:val="20"/>
          <w:szCs w:val="20"/>
          <w:color w:val="auto"/>
        </w:rPr>
      </w:pPr>
    </w:p>
    <w:p>
      <w:pPr>
        <w:jc w:val="both"/>
        <w:ind w:left="10" w:firstLine="360"/>
        <w:spacing w:after="0" w:line="214" w:lineRule="auto"/>
        <w:rPr>
          <w:sz w:val="20"/>
          <w:szCs w:val="20"/>
          <w:color w:val="auto"/>
        </w:rPr>
      </w:pPr>
      <w:r>
        <w:rPr>
          <w:rFonts w:ascii="Times New Roman" w:cs="Times New Roman" w:eastAsia="Times New Roman" w:hAnsi="Times New Roman"/>
          <w:sz w:val="20"/>
          <w:szCs w:val="20"/>
          <w:color w:val="auto"/>
        </w:rPr>
        <w:t>Our Restated Certificate of Incorporation and Amended and Restated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there will be no cumulative voting in the election of directors, and our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our stock price.</w:t>
      </w:r>
    </w:p>
    <w:p>
      <w:pPr>
        <w:spacing w:after="0" w:line="184" w:lineRule="exact"/>
        <w:rPr>
          <w:sz w:val="20"/>
          <w:szCs w:val="20"/>
          <w:color w:val="auto"/>
        </w:rPr>
      </w:pPr>
    </w:p>
    <w:p>
      <w:pPr>
        <w:jc w:val="both"/>
        <w:ind w:left="10" w:firstLine="360"/>
        <w:spacing w:after="0" w:line="224" w:lineRule="auto"/>
        <w:rPr>
          <w:sz w:val="20"/>
          <w:szCs w:val="20"/>
          <w:color w:val="auto"/>
        </w:rPr>
      </w:pPr>
      <w:r>
        <w:rPr>
          <w:rFonts w:ascii="Times New Roman" w:cs="Times New Roman" w:eastAsia="Times New Roman" w:hAnsi="Times New Roman"/>
          <w:sz w:val="20"/>
          <w:szCs w:val="20"/>
          <w:color w:val="auto"/>
        </w:rPr>
        <w:t>Further, our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 or controlling, directly or indirectly, twenty-five percent (25%) or more of a FINRA member firm's or its parent company's equity for the first time.</w:t>
      </w:r>
    </w:p>
    <w:p>
      <w:pPr>
        <w:spacing w:after="0" w:line="181" w:lineRule="exact"/>
        <w:rPr>
          <w:sz w:val="20"/>
          <w:szCs w:val="20"/>
          <w:color w:val="auto"/>
        </w:rPr>
      </w:pPr>
    </w:p>
    <w:p>
      <w:pPr>
        <w:jc w:val="both"/>
        <w:ind w:left="10" w:right="20" w:firstLine="360"/>
        <w:spacing w:after="0" w:line="224" w:lineRule="auto"/>
        <w:rPr>
          <w:sz w:val="20"/>
          <w:szCs w:val="20"/>
          <w:color w:val="auto"/>
        </w:rPr>
      </w:pPr>
      <w:r>
        <w:rPr>
          <w:rFonts w:ascii="Times New Roman" w:cs="Times New Roman" w:eastAsia="Times New Roman" w:hAnsi="Times New Roman"/>
          <w:sz w:val="20"/>
          <w:szCs w:val="20"/>
          <w:color w:val="auto"/>
        </w:rPr>
        <w:t>Similarly, our U.K. subsidiary, PWP U.K., is regulated by the FCA and is, therefore, an FCA authorized person, acquisitions of interests in which are subject to change in control rules. Prior FCA approval must be obtained for any transaction that would result in a single person or entity acquiring, directly or indirectly, 10% or more of PWP U.K.'s voting rights or share capital, including through ownership of the equity of any of its parent undertakings.</w:t>
      </w:r>
    </w:p>
    <w:p>
      <w:pPr>
        <w:spacing w:after="0" w:line="172" w:lineRule="exact"/>
        <w:rPr>
          <w:sz w:val="20"/>
          <w:szCs w:val="20"/>
          <w:color w:val="auto"/>
        </w:rPr>
      </w:pPr>
    </w:p>
    <w:p>
      <w:pPr>
        <w:jc w:val="both"/>
        <w:ind w:left="10" w:right="2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Our Restated Certificate of Incorporation provides that the Court of Chancery of the State of Delaware will be the sole and exclusive forum for certain stockholder limitation matters, subject to limited exceptions, which could discourage stockholder lawsuits or limit our stockholders' ability to bring a claim in any judicial forum that they find favorable for disputes against our directors, officers, other employees or stockholders.</w:t>
      </w:r>
    </w:p>
    <w:p>
      <w:pPr>
        <w:spacing w:after="0" w:line="187" w:lineRule="exact"/>
        <w:rPr>
          <w:sz w:val="20"/>
          <w:szCs w:val="20"/>
          <w:color w:val="auto"/>
        </w:rPr>
      </w:pPr>
    </w:p>
    <w:p>
      <w:pPr>
        <w:jc w:val="both"/>
        <w:ind w:left="10" w:right="20" w:firstLine="360"/>
        <w:spacing w:after="0" w:line="214" w:lineRule="auto"/>
        <w:rPr>
          <w:sz w:val="20"/>
          <w:szCs w:val="20"/>
          <w:color w:val="auto"/>
        </w:rPr>
      </w:pPr>
      <w:r>
        <w:rPr>
          <w:rFonts w:ascii="Times New Roman" w:cs="Times New Roman" w:eastAsia="Times New Roman" w:hAnsi="Times New Roman"/>
          <w:sz w:val="20"/>
          <w:szCs w:val="20"/>
          <w:color w:val="auto"/>
        </w:rPr>
        <w:t>Our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our behalf, (ii) any action asserting a claim of breach of a fiduciary duty owed by any of our directors, officers or other employees or to us or our stockholders,</w:t>
      </w:r>
    </w:p>
    <w:p>
      <w:pPr>
        <w:spacing w:after="0" w:line="2" w:lineRule="exact"/>
        <w:rPr>
          <w:sz w:val="20"/>
          <w:szCs w:val="20"/>
          <w:color w:val="auto"/>
        </w:rPr>
      </w:pPr>
    </w:p>
    <w:p>
      <w:pPr>
        <w:jc w:val="both"/>
        <w:ind w:left="10" w:hanging="10"/>
        <w:spacing w:after="0" w:line="210" w:lineRule="auto"/>
        <w:tabs>
          <w:tab w:leader="none" w:pos="37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our directors, officers or employees arising pursuant to any provision of the Delaware General Corporation Law or our charter or bylaws, or (iv) any action asserting a claim against us, our directors, officers or employees governed by the internal affairs doctrine, and, if brought outside of Delaware, the stockholder bringing the suit will be deemed to have consented to service of process on such stockholder's counsel, except (a)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federal securities laws, as to which the Court of Chancery and the federal district court for the District of Delaware shall have concurrent jurisdiction, and (b) in the event that the Court of Chancery of the State of Delaware lacks jurisdiction over any such action or proceeding, the sole and exclusive forum for such action or proceeding shall be another state or federal court located within the State of Delaware. Notwithstanding the foregoing, the choice of forum provisions do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 the forum provisions in our Restated Certificate of Incorporation. However, no such person or entity shall be deemed to have waived any right of action against us or our officers or directors pursuant to the federal securities laws. If any action the subject matter of which is within the scope of the choice of forum provision is filed in a court other than a court located within the State of Delaware (a “foreign action”) in the name of any stockholder, such stockholder shall be deemed to have consented to: (x) the personal jurisdiction of the state and federal courts located within the State of Delaware in connection with any action brought in any such court to enforce the choice of forum provision (an “enforcement action”), and (y) having service of process made upon such stockholder in any such enforcement action by service upon such stockholder's counsel in the foreign action as agent for such stockholder.</w:t>
      </w:r>
    </w:p>
    <w:p>
      <w:pPr>
        <w:sectPr>
          <w:pgSz w:w="12240" w:h="15840" w:orient="portrait"/>
          <w:cols w:equalWidth="0" w:num="1">
            <w:col w:w="9910"/>
          </w:cols>
          <w:pgMar w:left="117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910"/>
          </w:cols>
          <w:pgMar w:left="1170" w:top="1369" w:right="1160" w:bottom="169" w:gutter="0" w:footer="0" w:header="0"/>
          <w:type w:val="continuous"/>
        </w:sectPr>
      </w:pPr>
    </w:p>
    <w:bookmarkStart w:id="27" w:name="page28"/>
    <w:bookmarkEnd w:id="27"/>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17"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We strive to protect the reputation of our Company by establishing, protecting and defending our data and information systems in a number of ways through a combination of processes, tools, and awareness-building. We aim to adhere to the best practices outlined in the National Institute of Standards and Technology and International Organization for Standardization frameworks, and our policies and procedures in managing personally identifiable information are in compliance with General Data Protection Regulation requirements.</w:t>
      </w:r>
    </w:p>
    <w:p>
      <w:pPr>
        <w:spacing w:after="0" w:line="181" w:lineRule="exact"/>
        <w:rPr>
          <w:sz w:val="20"/>
          <w:szCs w:val="20"/>
          <w:color w:val="auto"/>
        </w:rPr>
      </w:pPr>
    </w:p>
    <w:p>
      <w:pPr>
        <w:jc w:val="both"/>
        <w:ind w:right="20" w:firstLine="360"/>
        <w:spacing w:after="0" w:line="213" w:lineRule="auto"/>
        <w:rPr>
          <w:sz w:val="20"/>
          <w:szCs w:val="20"/>
          <w:color w:val="auto"/>
        </w:rPr>
      </w:pPr>
      <w:r>
        <w:rPr>
          <w:rFonts w:ascii="Times New Roman" w:cs="Times New Roman" w:eastAsia="Times New Roman" w:hAnsi="Times New Roman"/>
          <w:sz w:val="20"/>
          <w:szCs w:val="20"/>
          <w:color w:val="auto"/>
        </w:rPr>
        <w:t>As part of our processes for assessing, identifying and managing material risks from cybersecurity threats, we maintain a process to enhance security and optimize our IT systems, and regularly conduct security assessments and testing of our systems to verify our systems’ integrity to protect them against being compromised from both internal and external sources. We regularly assess risks from cybersecurity threats, monitor our information systems for potential vulnerabilities and test those systems pursuant to our cybersecurity processes and practices. To protect our information systems from cybersecurity threats, we use various security tools that help us identify, escalate, investigate, resolve and recover from security incidents in a timely manner. These efforts include using monitoring tools and services to address the confidentiality, integrity, and availability of our assets and data. Regular internal and third-party reviews are performed on our processes and technologies to help validate the effectiveness of our privacy and data security controls. These safeguards include employing firewalls, intrusion prevention and detection systems, and access controls, which are regularly evaluated and improved based on vulnerability assessments, cybersecurity threat intelligence and incident response experience.</w:t>
      </w:r>
    </w:p>
    <w:p>
      <w:pPr>
        <w:spacing w:after="0" w:line="191"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We monitor industry best practices and developments in data privacy and security, including increased scrutiny of third-party service providers with access to sensitive data. We prioritize a robust due diligence program for key third-party service providers, utilizing a comprehensive due diligence questionnaire to evaluate potential risks before establishing formal partnerships. This in-depth approach applies to all vendors with access to our sensitive systems or data. Our assessments are customized based on each provider’s risk profile, with heightened scrutiny applied to new engagements and high-risk relationships. Existing vendors are subject to periodic reevaluations according to a predetermined schedule, with increased frequency for those deemed higher risk.</w:t>
      </w:r>
    </w:p>
    <w:p>
      <w:pPr>
        <w:spacing w:after="0" w:line="184"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Information technology risks and controls are regularly assessed as part of our overall self-assessment program, which includes working with a third party organization who regularly tests controls. Observations and outcomes from these self-assessments help drive our internal risk management decision making. Our management and compliance and information technology professionals, including our Chief Information Officer (“CIO”), are responsible for the maintenance and enforcement of our cybersecurity and information security policies and procedures. In addition members of the cybersecurity and information security teams maintain CISSP industry certifications. In addition, we have organizational charts in place to communicate key areas of authority, responsibility, and lines of reporting to personnel related to the design, implementation, operation, maintenance, and monitoring of our cybersecurity environment.</w:t>
      </w:r>
    </w:p>
    <w:p>
      <w:pPr>
        <w:spacing w:after="0" w:line="18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also have a security incident response plan, with defined roles and responsibilities that are intended to address notification obligations and incident response procedures in the event of a data security breach. We are dedicated to business continuity and resiliency and have strategies, policies, and procedures in place that are designed to protect employee, business, and client data in the event of an emergency or natural disaster.</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900"/>
          </w:cols>
          <w:pgMar w:left="1180" w:top="1378" w:right="1160" w:bottom="169" w:gutter="0" w:footer="0" w:header="0"/>
          <w:type w:val="continuous"/>
        </w:sectPr>
      </w:pPr>
    </w:p>
    <w:bookmarkStart w:id="28" w:name="page29"/>
    <w:bookmarkEnd w:id="28"/>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In addition to identifying information security risks, we have established robust controls to seek to reduce or mitigate such risks. Cybersecurity training for employees is conducted regularly and we maintain system logs of user activities, exceptions, and security events for a period consistent with industry best practices, unless otherwise required by law, regulation or contractual obligation. We employ rigorous measures to appropriately handle and protect sensitive and confidential data, particularly in light of increased use of remote access technology. We take precautionary measures to minimize, to the extent possible, the use of personally identifiable information and the electronic or courier-based transmission of sensitive and confidential data, relying instead on approved and secured digital data transfer services, which are designed to provide tightly controlled and selective access to such information. We have mechanisms in place to help ensure that our data is secured when at-rest or in-transit, and industry standard encryption is used to the maximum extent possible. We also take steps to help ensure our ability to restore data in the event of data failure, corruption, accidental deletion, or malicious tampering.</w:t>
      </w:r>
    </w:p>
    <w:p>
      <w:pPr>
        <w:spacing w:after="0" w:line="18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To date, cybersecurity threats, including as a result of any previous cybersecurity incidents, have not materially affected or are reasonably likely to affect us, including our business strategy, results of operations or financial condition. Refer to the risk factor captioned “</w:t>
      </w:r>
      <w:r>
        <w:rPr>
          <w:rFonts w:ascii="Times New Roman" w:cs="Times New Roman" w:eastAsia="Times New Roman" w:hAnsi="Times New Roman"/>
          <w:sz w:val="20"/>
          <w:szCs w:val="20"/>
          <w:b w:val="1"/>
          <w:bCs w:val="1"/>
          <w:i w:val="1"/>
          <w:iCs w:val="1"/>
          <w:color w:val="auto"/>
        </w:rPr>
        <w:t>Our business is subject to various cybersecurity and other operational risks</w:t>
      </w:r>
      <w:r>
        <w:rPr>
          <w:rFonts w:ascii="Times New Roman" w:cs="Times New Roman" w:eastAsia="Times New Roman" w:hAnsi="Times New Roman"/>
          <w:sz w:val="20"/>
          <w:szCs w:val="20"/>
          <w:color w:val="auto"/>
        </w:rPr>
        <w:t>” in Part I, Item 1A. “Risk Factors” for an additional description of cybersecurity risks and potential related impacts on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17"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Our audit committee of the board of directors is responsible for overseeing the guidelines and policies governing the process by which the Company assesses and manages our exposure to risk, including cybersecurity risk, as well as any major litigation, regulatory, financial and reputational risk exposures and the steps management has taken to monitor and control such exposures. This oversight is achieved through a combination of periodic management reports, focused briefings on emerging cyber threats and vulnerabilities, updates on implemented mitigation strategies and periodic reviews of incident response plans.</w:t>
      </w:r>
    </w:p>
    <w:p>
      <w:pPr>
        <w:spacing w:after="0" w:line="181"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We take a risk-based approach to cybersecurity and have implemented cybersecurity policies throughout our operations that are designed to address cybersecurity threats and incidents. Our dedicated Information Security Team is responsible for identifying, assessing, detecting, and responding to any threats and vulnerabilities. The team routinely collects and processes information from a variety of sources, including from media reporting, commercial threat intelligence providers (FSARC, FS-ISAC), the Federal Bureau of Investigation and other government and law enforcement agencies. The team provides global mitigation of known cybersecurity threats to help ensure that our data and systems are protected.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17"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Our principal executive offices are located in leased office space at 767 Fifth Avenue, New York, NY, 10153. We also lease office space for our offices in Calgary, Chicago, Denver, Greenwich, Houston, London, Los Angeles, Munich, Palm Beach, Paris and San Francisco. We do not own any real property. We consider these arrangements to be adequate for our present needs.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17"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at PWP to lift out the PWP Plaintiffs’ restructuring group to form a new competing firm that they were secretly forming in breach of their contractual and fiduciary duties to the PWP Plaintiffs. The complaint contains 14 causes of action, and seeks declaratory relief as well as damages resulting from the Individual Defendants’ contractual and fiduciary breaches and from Defendants’ unfair competition and tortious interference with the PWP Plaintiffs’ contracts and client relationships.</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900"/>
          </w:cols>
          <w:pgMar w:left="1180" w:top="1378" w:right="1160" w:bottom="169" w:gutter="0" w:footer="0" w:header="0"/>
          <w:type w:val="continuous"/>
        </w:sectPr>
      </w:pPr>
    </w:p>
    <w:bookmarkStart w:id="29" w:name="page30"/>
    <w:bookmarkEnd w:id="29"/>
    <w:p>
      <w:pPr>
        <w:jc w:val="both"/>
        <w:ind w:right="20" w:firstLine="360"/>
        <w:spacing w:after="0" w:line="213" w:lineRule="auto"/>
        <w:rPr>
          <w:sz w:val="20"/>
          <w:szCs w:val="20"/>
          <w:color w:val="auto"/>
        </w:rPr>
      </w:pPr>
      <w:r>
        <w:rPr>
          <w:rFonts w:ascii="Times New Roman" w:cs="Times New Roman" w:eastAsia="Times New Roman" w:hAnsi="Times New Roman"/>
          <w:sz w:val="20"/>
          <w:szCs w:val="20"/>
          <w:color w:val="auto"/>
        </w:rPr>
        <w:t>On November 9, 2015, the Defendants filed an Answer, Counterclaims, Cross-claims and a Third-Party Complaint, which contained 14 causes of action. On July 17, 2016, the Court issued a decision, dismissing half of the Defendants’ - claims with prejudice. On August 18, 2016, the Defendants filed an Amended Answer, Counterclaims, Cross-claims and Third-Party Complaint, with seven counterclaims and cross-claims to the New York Appellate Division, First Department (the “First Department”). On August 29, 2017, the First Department issued a decision denying the Defendants’ appeal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On April 24, 2018, the Defendants filed a Second Amended Answer, Counterclaims, Cross-claims and Third-Party Complaint, which contains eight counterclaims and cross-claims. Defendants are seeking declaratory relief and damages of no less than $60.0 million, as well as statutory interest. In addition, on January 19, 2022, Defendants filed a motion for leave to renew their New York Labor Law counterclaim that the Court dismissed in 2016. On June 30, 2023, the Court issued a decision denying Defendants’ motion for leave. On January 29, 2024, Defendants appealed to the First Department the June 30, 2023 decision denying their motion for leave. On April 16, 2024, the First Department denied Defendants’ appeal.</w:t>
      </w:r>
    </w:p>
    <w:p>
      <w:pPr>
        <w:spacing w:after="0" w:line="183"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After the completion of discovery, both the PWP Plaintiffs and the Defendants subsequently moved for summary judgment. On March 20, 2020 the parties completed briefing of their respective motions (the “Summary Judgment Decision”). The Court granted the PWP Plaintiffs motion with respect to the restrictive covenants in the PWP Plaintiffs’ agreements, finding that they are valid and enforceable, and otherwise denied the motion. The Court denied Defendants’ motion in its entirety. On July 25, 2023, Defendants appealed parts of the Summary Judgment Decision. On August 30, 2024, the First Department issued a decision granting in part and denying in part Defendants’ appeal. The First Department granted Defendants’ appeal only to the extent it found that the PWP Plaintiffs could not pursue a client solicitation claim against two specific clients. The First Department denied Defendants’ appeal to the extent it found that the PWP Plaintiffs’ restrictive covenants were reasonable and enforceable, and Defendants’ counterclaim for deferred compensation needed to be decided at trial.</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bench trial took place from January 24, 2025 through March 14, 2025. The court has yet to issue a decision.</w:t>
      </w:r>
    </w:p>
    <w:p>
      <w:pPr>
        <w:spacing w:after="0" w:line="210"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We believe that our 14 causes of action are meritorious. Further, we believe that we have meritorious defenses to Defendants’ remaining counterclaims and cross-claims and plan to vigorously contest them. Litigation, however, can be uncertain and there can be no assurance that any judgment for one or more of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8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For details on the current legal proceedings, refer to Note 17—Commitments and Contingencies in the notes to the consolidated financial statements included elsewhere in this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900"/>
          </w:cols>
          <w:pgMar w:left="1180" w:top="1378" w:right="1160" w:bottom="169"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Our Class A common stock is listed and traded on the Nasdaq Global Select Market under the stock symbol “PWP.” As of February 24, 2026, there were approximately 16 holders of record of our Class A common stock and one holder of record of our Class B common stock. This does not include the number of shareholders that hold shares in “street name” through banks or broker-dealers. Our Class B common stock is not listed or quoted on any exchange and is not transferable by the holders, subject to certain limited exceptions.</w:t>
      </w:r>
    </w:p>
    <w:p>
      <w:pPr>
        <w:spacing w:after="0" w:line="181"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We intend to pay dividends quarterly to our common stockholders. For the year ended December 31, 2025, cash dividends of $0.28 per outstanding share of Class A common stock were paid to our stockholders. The declaration of any future cash dividends and, if declared, the amount of any such dividends, will be subject to our financial condition, earnings, capital requirements, financial covenants, applicable law and other factors our board of directors deems relevant. Therefore, there can be no assurance as to what level of dividends, if any, will be paid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w:t>
      </w:r>
    </w:p>
    <w:p>
      <w:pPr>
        <w:spacing w:after="0" w:line="253" w:lineRule="exact"/>
        <w:rPr>
          <w:sz w:val="20"/>
          <w:szCs w:val="20"/>
          <w:color w:val="auto"/>
        </w:rPr>
      </w:pPr>
    </w:p>
    <w:p>
      <w:pPr>
        <w:jc w:val="both"/>
        <w:ind w:firstLine="36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as amended, or the Exchange Act except to the extent we specifically incorporate it by reference into such filing. Our stock price performance shown in the graph below is not indicative of future stock price performance.</w:t>
      </w:r>
    </w:p>
    <w:p>
      <w:pPr>
        <w:spacing w:after="0" w:line="181"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The stock performance graph below compares the performance of an investment in our Class A common stock, from June 25, 2021 through December 31, 2025, with that of the S&amp;P 500 Index and the S&amp;P Financials Index. The graph assumes $100 was invested at the close of business on June 25, 2021. It also assumes that dividends were reinvested on the date of payment without payment of any commissions. The performance shown in the graph represents past performance and should not be considered an 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6309360" cy="2833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extLst>
                    </a:blip>
                    <a:srcRect/>
                    <a:stretch>
                      <a:fillRect/>
                    </a:stretch>
                  </pic:blipFill>
                  <pic:spPr bwMode="auto">
                    <a:xfrm>
                      <a:off x="0" y="0"/>
                      <a:ext cx="6309360" cy="2833370"/>
                    </a:xfrm>
                    <a:prstGeom prst="rect">
                      <a:avLst/>
                    </a:prstGeom>
                    <a:noFill/>
                  </pic:spPr>
                </pic:pic>
              </a:graphicData>
            </a:graphic>
          </wp:anchor>
        </w:drawing>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900"/>
          </w:cols>
          <w:pgMar w:left="1180" w:top="1371" w:right="1160" w:bottom="169" w:gutter="0" w:footer="0" w:header="0"/>
          <w:type w:val="continuous"/>
        </w:sectPr>
      </w:pPr>
    </w:p>
    <w:bookmarkStart w:id="31" w:name="page32"/>
    <w:bookmarkEnd w:id="31"/>
    <w:p>
      <w:pPr>
        <w:ind w:left="10"/>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 and Use of Proceeds</w:t>
      </w:r>
    </w:p>
    <w:p>
      <w:pPr>
        <w:spacing w:after="0" w:line="217"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Repurchase of Equity Securities</w:t>
      </w:r>
    </w:p>
    <w:p>
      <w:pPr>
        <w:spacing w:after="0" w:line="217" w:lineRule="exact"/>
        <w:rPr>
          <w:sz w:val="20"/>
          <w:szCs w:val="20"/>
          <w:color w:val="auto"/>
        </w:rPr>
      </w:pPr>
    </w:p>
    <w:p>
      <w:pPr>
        <w:ind w:left="10" w:right="20" w:firstLine="360"/>
        <w:spacing w:after="0"/>
        <w:rPr>
          <w:sz w:val="20"/>
          <w:szCs w:val="20"/>
          <w:color w:val="auto"/>
        </w:rPr>
      </w:pPr>
      <w:r>
        <w:rPr>
          <w:rFonts w:ascii="Times New Roman" w:cs="Times New Roman" w:eastAsia="Times New Roman" w:hAnsi="Times New Roman"/>
          <w:sz w:val="20"/>
          <w:szCs w:val="20"/>
          <w:color w:val="auto"/>
        </w:rPr>
        <w:t>The following table summarizes our repurchases of equity securities during the three months ended December 31, 2025:</w:t>
      </w:r>
    </w:p>
    <w:p>
      <w:pPr>
        <w:spacing w:after="0" w:line="233"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3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Approximate Dollar</w:t>
            </w:r>
          </w:p>
        </w:tc>
        <w:tc>
          <w:tcPr>
            <w:tcW w:w="0" w:type="dxa"/>
            <w:vAlign w:val="bottom"/>
          </w:tcPr>
          <w:p>
            <w:pPr>
              <w:spacing w:after="0"/>
              <w:rPr>
                <w:sz w:val="1"/>
                <w:szCs w:val="1"/>
                <w:color w:val="auto"/>
              </w:rPr>
            </w:pPr>
          </w:p>
        </w:tc>
      </w:tr>
      <w:tr>
        <w:trPr>
          <w:trHeight w:val="224"/>
        </w:trPr>
        <w:tc>
          <w:tcPr>
            <w:tcW w:w="3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gridSpan w:val="2"/>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auto"/>
              </w:rPr>
              <w:t>Value of Shares yet</w:t>
            </w:r>
          </w:p>
        </w:tc>
        <w:tc>
          <w:tcPr>
            <w:tcW w:w="0" w:type="dxa"/>
            <w:vAlign w:val="bottom"/>
          </w:tcPr>
          <w:p>
            <w:pPr>
              <w:spacing w:after="0"/>
              <w:rPr>
                <w:sz w:val="1"/>
                <w:szCs w:val="1"/>
                <w:color w:val="auto"/>
              </w:rPr>
            </w:pPr>
          </w:p>
        </w:tc>
      </w:tr>
      <w:tr>
        <w:trPr>
          <w:trHeight w:val="224"/>
        </w:trPr>
        <w:tc>
          <w:tcPr>
            <w:tcW w:w="3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jc w:val="right"/>
              <w:ind w:right="140"/>
              <w:spacing w:after="0" w:line="224" w:lineRule="exact"/>
              <w:rPr>
                <w:sz w:val="20"/>
                <w:szCs w:val="20"/>
                <w:color w:val="auto"/>
              </w:rPr>
            </w:pPr>
            <w:r>
              <w:rPr>
                <w:rFonts w:ascii="Times New Roman" w:cs="Times New Roman" w:eastAsia="Times New Roman" w:hAnsi="Times New Roman"/>
                <w:sz w:val="20"/>
                <w:szCs w:val="20"/>
                <w:b w:val="1"/>
                <w:bCs w:val="1"/>
                <w:color w:val="auto"/>
              </w:rPr>
              <w:t>Total Number of</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center"/>
              <w:ind w:right="120"/>
              <w:spacing w:after="0" w:line="224" w:lineRule="exact"/>
              <w:rPr>
                <w:sz w:val="20"/>
                <w:szCs w:val="20"/>
                <w:color w:val="auto"/>
              </w:rPr>
            </w:pPr>
            <w:r>
              <w:rPr>
                <w:rFonts w:ascii="Times New Roman" w:cs="Times New Roman" w:eastAsia="Times New Roman" w:hAnsi="Times New Roman"/>
                <w:sz w:val="20"/>
                <w:szCs w:val="20"/>
                <w:b w:val="1"/>
                <w:bCs w:val="1"/>
                <w:color w:val="auto"/>
              </w:rPr>
              <w:t>to be Purchased</w:t>
            </w:r>
          </w:p>
        </w:tc>
        <w:tc>
          <w:tcPr>
            <w:tcW w:w="0" w:type="dxa"/>
            <w:vAlign w:val="bottom"/>
          </w:tcPr>
          <w:p>
            <w:pPr>
              <w:spacing w:after="0"/>
              <w:rPr>
                <w:sz w:val="1"/>
                <w:szCs w:val="1"/>
                <w:color w:val="auto"/>
              </w:rPr>
            </w:pPr>
          </w:p>
        </w:tc>
      </w:tr>
      <w:tr>
        <w:trPr>
          <w:trHeight w:val="52"/>
        </w:trPr>
        <w:tc>
          <w:tcPr>
            <w:tcW w:w="3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60" w:type="dxa"/>
            <w:vAlign w:val="bottom"/>
          </w:tcPr>
          <w:p>
            <w:pPr>
              <w:spacing w:after="0"/>
              <w:rPr>
                <w:sz w:val="4"/>
                <w:szCs w:val="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Shares Purchased as</w:t>
            </w:r>
          </w:p>
        </w:tc>
        <w:tc>
          <w:tcPr>
            <w:tcW w:w="60" w:type="dxa"/>
            <w:vAlign w:val="bottom"/>
          </w:tcPr>
          <w:p>
            <w:pPr>
              <w:spacing w:after="0"/>
              <w:rPr>
                <w:sz w:val="4"/>
                <w:szCs w:val="4"/>
                <w:color w:val="auto"/>
              </w:rPr>
            </w:pPr>
          </w:p>
        </w:tc>
        <w:tc>
          <w:tcPr>
            <w:tcW w:w="1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Under the Publicly</w:t>
            </w:r>
          </w:p>
        </w:tc>
        <w:tc>
          <w:tcPr>
            <w:tcW w:w="0" w:type="dxa"/>
            <w:vAlign w:val="bottom"/>
          </w:tcPr>
          <w:p>
            <w:pPr>
              <w:spacing w:after="0"/>
              <w:rPr>
                <w:sz w:val="1"/>
                <w:szCs w:val="1"/>
                <w:color w:val="auto"/>
              </w:rPr>
            </w:pPr>
          </w:p>
        </w:tc>
      </w:tr>
      <w:tr>
        <w:trPr>
          <w:trHeight w:val="200"/>
        </w:trPr>
        <w:tc>
          <w:tcPr>
            <w:tcW w:w="3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Number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60" w:type="dxa"/>
            <w:vAlign w:val="bottom"/>
          </w:tcPr>
          <w:p>
            <w:pPr>
              <w:spacing w:after="0"/>
              <w:rPr>
                <w:sz w:val="17"/>
                <w:szCs w:val="17"/>
                <w:color w:val="auto"/>
              </w:rPr>
            </w:pPr>
          </w:p>
        </w:tc>
        <w:tc>
          <w:tcPr>
            <w:tcW w:w="12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17"/>
                <w:szCs w:val="17"/>
                <w:color w:val="auto"/>
              </w:rPr>
            </w:pPr>
          </w:p>
        </w:tc>
        <w:tc>
          <w:tcPr>
            <w:tcW w:w="1160" w:type="dxa"/>
            <w:vAlign w:val="bottom"/>
            <w:gridSpan w:val="2"/>
          </w:tcPr>
          <w:p>
            <w:pPr>
              <w:ind w:left="140"/>
              <w:spacing w:after="0" w:line="200" w:lineRule="exact"/>
              <w:rPr>
                <w:sz w:val="20"/>
                <w:szCs w:val="20"/>
                <w:color w:val="auto"/>
              </w:rPr>
            </w:pPr>
            <w:r>
              <w:rPr>
                <w:rFonts w:ascii="Times New Roman" w:cs="Times New Roman" w:eastAsia="Times New Roman" w:hAnsi="Times New Roman"/>
                <w:sz w:val="20"/>
                <w:szCs w:val="20"/>
                <w:b w:val="1"/>
                <w:bCs w:val="1"/>
                <w:color w:val="auto"/>
              </w:rPr>
              <w:t>Price Paid</w:t>
            </w:r>
          </w:p>
        </w:tc>
        <w:tc>
          <w:tcPr>
            <w:tcW w:w="60" w:type="dxa"/>
            <w:vAlign w:val="bottom"/>
          </w:tcPr>
          <w:p>
            <w:pPr>
              <w:spacing w:after="0"/>
              <w:rPr>
                <w:sz w:val="17"/>
                <w:szCs w:val="17"/>
                <w:color w:val="auto"/>
              </w:rPr>
            </w:pPr>
          </w:p>
        </w:tc>
        <w:tc>
          <w:tcPr>
            <w:tcW w:w="1900" w:type="dxa"/>
            <w:vAlign w:val="bottom"/>
          </w:tcPr>
          <w:p>
            <w:pPr>
              <w:jc w:val="right"/>
              <w:ind w:right="180"/>
              <w:spacing w:after="0" w:line="200" w:lineRule="exact"/>
              <w:rPr>
                <w:sz w:val="20"/>
                <w:szCs w:val="20"/>
                <w:color w:val="auto"/>
              </w:rPr>
            </w:pPr>
            <w:r>
              <w:rPr>
                <w:rFonts w:ascii="Times New Roman" w:cs="Times New Roman" w:eastAsia="Times New Roman" w:hAnsi="Times New Roman"/>
                <w:sz w:val="20"/>
                <w:szCs w:val="20"/>
                <w:b w:val="1"/>
                <w:bCs w:val="1"/>
                <w:color w:val="auto"/>
              </w:rPr>
              <w:t>Part of Publicly</w:t>
            </w:r>
          </w:p>
        </w:tc>
        <w:tc>
          <w:tcPr>
            <w:tcW w:w="60" w:type="dxa"/>
            <w:vAlign w:val="bottom"/>
          </w:tcPr>
          <w:p>
            <w:pPr>
              <w:spacing w:after="0"/>
              <w:rPr>
                <w:sz w:val="17"/>
                <w:szCs w:val="17"/>
                <w:color w:val="auto"/>
              </w:rPr>
            </w:pPr>
          </w:p>
        </w:tc>
        <w:tc>
          <w:tcPr>
            <w:tcW w:w="19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Announced Plans or</w:t>
            </w:r>
          </w:p>
        </w:tc>
        <w:tc>
          <w:tcPr>
            <w:tcW w:w="0" w:type="dxa"/>
            <w:vAlign w:val="bottom"/>
          </w:tcPr>
          <w:p>
            <w:pPr>
              <w:spacing w:after="0"/>
              <w:rPr>
                <w:sz w:val="1"/>
                <w:szCs w:val="1"/>
                <w:color w:val="auto"/>
              </w:rPr>
            </w:pPr>
          </w:p>
        </w:tc>
      </w:tr>
      <w:tr>
        <w:trPr>
          <w:trHeight w:val="266"/>
        </w:trPr>
        <w:tc>
          <w:tcPr>
            <w:tcW w:w="332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Repurchased</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per Unit</w:t>
            </w:r>
          </w:p>
        </w:tc>
        <w:tc>
          <w:tcPr>
            <w:tcW w:w="60" w:type="dxa"/>
            <w:vAlign w:val="bottom"/>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Announced Program</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center"/>
              <w:ind w:right="100"/>
              <w:spacing w:after="0" w:line="266" w:lineRule="exact"/>
              <w:rPr>
                <w:sz w:val="20"/>
                <w:szCs w:val="20"/>
                <w:color w:val="auto"/>
              </w:rPr>
            </w:pPr>
            <w:r>
              <w:rPr>
                <w:rFonts w:ascii="Times New Roman" w:cs="Times New Roman" w:eastAsia="Times New Roman" w:hAnsi="Times New Roman"/>
                <w:sz w:val="20"/>
                <w:szCs w:val="20"/>
                <w:b w:val="1"/>
                <w:bCs w:val="1"/>
                <w:color w:val="auto"/>
                <w:w w:val="95"/>
              </w:rPr>
              <w:t>Programs</w:t>
            </w:r>
            <w:r>
              <w:rPr>
                <w:rFonts w:ascii="Times New Roman" w:cs="Times New Roman" w:eastAsia="Times New Roman" w:hAnsi="Times New Roman"/>
                <w:sz w:val="26"/>
                <w:szCs w:val="26"/>
                <w:b w:val="1"/>
                <w:bCs w:val="1"/>
                <w:color w:val="auto"/>
                <w:w w:val="95"/>
                <w:vertAlign w:val="superscript"/>
              </w:rPr>
              <w:t>(1)</w:t>
            </w:r>
          </w:p>
        </w:tc>
        <w:tc>
          <w:tcPr>
            <w:tcW w:w="0" w:type="dxa"/>
            <w:vAlign w:val="bottom"/>
          </w:tcPr>
          <w:p>
            <w:pPr>
              <w:spacing w:after="0"/>
              <w:rPr>
                <w:sz w:val="1"/>
                <w:szCs w:val="1"/>
                <w:color w:val="auto"/>
              </w:rPr>
            </w:pPr>
          </w:p>
        </w:tc>
      </w:tr>
      <w:tr>
        <w:trPr>
          <w:trHeight w:val="259"/>
        </w:trPr>
        <w:tc>
          <w:tcPr>
            <w:tcW w:w="3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October 1, 2025 - October 31, 2025</w:t>
            </w:r>
          </w:p>
        </w:tc>
        <w:tc>
          <w:tcPr>
            <w:tcW w:w="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60,167,441</w:t>
            </w:r>
          </w:p>
        </w:tc>
        <w:tc>
          <w:tcPr>
            <w:tcW w:w="0" w:type="dxa"/>
            <w:vAlign w:val="bottom"/>
          </w:tcPr>
          <w:p>
            <w:pPr>
              <w:spacing w:after="0"/>
              <w:rPr>
                <w:sz w:val="1"/>
                <w:szCs w:val="1"/>
                <w:color w:val="auto"/>
              </w:rPr>
            </w:pPr>
          </w:p>
        </w:tc>
      </w:tr>
      <w:tr>
        <w:trPr>
          <w:trHeight w:val="205"/>
        </w:trPr>
        <w:tc>
          <w:tcPr>
            <w:tcW w:w="332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November 1, 2025 - November 30,</w:t>
            </w:r>
          </w:p>
        </w:tc>
        <w:tc>
          <w:tcPr>
            <w:tcW w:w="6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60,167,441</w:t>
            </w:r>
          </w:p>
        </w:tc>
        <w:tc>
          <w:tcPr>
            <w:tcW w:w="0" w:type="dxa"/>
            <w:vAlign w:val="bottom"/>
          </w:tcPr>
          <w:p>
            <w:pPr>
              <w:spacing w:after="0"/>
              <w:rPr>
                <w:sz w:val="1"/>
                <w:szCs w:val="1"/>
                <w:color w:val="auto"/>
              </w:rPr>
            </w:pPr>
          </w:p>
        </w:tc>
      </w:tr>
      <w:tr>
        <w:trPr>
          <w:trHeight w:val="260"/>
        </w:trPr>
        <w:tc>
          <w:tcPr>
            <w:tcW w:w="3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6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9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1, 2025 - December 31, 2025</w:t>
            </w:r>
          </w:p>
        </w:tc>
        <w:tc>
          <w:tcPr>
            <w:tcW w:w="6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60,167,441</w:t>
            </w:r>
          </w:p>
        </w:tc>
        <w:tc>
          <w:tcPr>
            <w:tcW w:w="0" w:type="dxa"/>
            <w:vAlign w:val="bottom"/>
          </w:tcPr>
          <w:p>
            <w:pPr>
              <w:spacing w:after="0"/>
              <w:rPr>
                <w:sz w:val="1"/>
                <w:szCs w:val="1"/>
                <w:color w:val="auto"/>
              </w:rPr>
            </w:pPr>
          </w:p>
        </w:tc>
      </w:tr>
      <w:tr>
        <w:trPr>
          <w:trHeight w:val="248"/>
        </w:trPr>
        <w:tc>
          <w:tcPr>
            <w:tcW w:w="3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6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-869315</wp:posOffset>
            </wp:positionV>
            <wp:extent cx="6254750" cy="889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extLst>
                    </a:blip>
                    <a:srcRect/>
                    <a:stretch>
                      <a:fillRect/>
                    </a:stretch>
                  </pic:blipFill>
                  <pic:spPr bwMode="auto">
                    <a:xfrm>
                      <a:off x="0" y="0"/>
                      <a:ext cx="6254750" cy="8890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jc w:val="both"/>
        <w:ind w:left="370" w:hanging="370"/>
        <w:spacing w:after="0" w:line="252" w:lineRule="auto"/>
        <w:tabs>
          <w:tab w:leader="none" w:pos="37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16, 2022, the Company’s Board of Directors initially approved a stock repurchase program and the authorized amounts under such program was increased on February 8, 2023 such that the Company is authorized to repurchase up to $200.0 million of the Company’s Class A common stock with no requirement to purchase any minimum number of shares. Shares may be repurchased under the repurchase program through open market purchases, privately negotiated transactions, block trades, accelerated or other structured share repurchase programs, or other means. The manner, timing, pricing and amount of any transactions will be subject to the Company’s discretion and may be based upon market conditions and alternative opportunities that the Company may have for the use or investment of its capital. The repurchase program may be modified, suspended or discontinued at any time.</w:t>
      </w:r>
    </w:p>
    <w:p>
      <w:pPr>
        <w:spacing w:after="0" w:line="1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9910"/>
          </w:cols>
          <w:pgMar w:left="117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910"/>
          </w:cols>
          <w:pgMar w:left="1170" w:top="1371" w:right="1160" w:bottom="169"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13" w:lineRule="exact"/>
        <w:rPr>
          <w:sz w:val="20"/>
          <w:szCs w:val="20"/>
          <w:color w:val="auto"/>
        </w:rPr>
      </w:pPr>
    </w:p>
    <w:p>
      <w:pPr>
        <w:jc w:val="both"/>
        <w:ind w:right="20" w:firstLine="36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The following discussion and analysis of our financial condition and results of operations should be read in conjunction with our Consolidated Financial Statements and related notes included elsewhere in this Annual Report on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Overview</w:t>
      </w:r>
    </w:p>
    <w:p>
      <w:pPr>
        <w:spacing w:after="0" w:line="217"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are a leading global independent advisory firm that provides strategic and financial advice to clients across some of the most active industry sectors and 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For further information regarding our business, refer to “Part I. Item 1. Business” and “Part I. Item 1A. Risk Factors” of this filing.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Environment</w:t>
      </w: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Economic and global financial market conditions impact our financial performance.</w:t>
      </w:r>
    </w:p>
    <w:p>
      <w:pPr>
        <w:spacing w:after="0" w:line="210"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Our core advisory services benefit from macroeconomic changes that impact our client base and lead them to consider business combinations, acquisitions and divestitures, capital raises, restructurings, and liquidity solutions. We continue to invest in our platform to achieve scale, accelerate growth, and deliver value.</w:t>
      </w:r>
    </w:p>
    <w:p>
      <w:pPr>
        <w:spacing w:after="0" w:line="178" w:lineRule="exact"/>
        <w:rPr>
          <w:sz w:val="20"/>
          <w:szCs w:val="20"/>
          <w:color w:val="auto"/>
        </w:rPr>
      </w:pPr>
    </w:p>
    <w:p>
      <w:pPr>
        <w:jc w:val="both"/>
        <w:ind w:right="20" w:firstLine="360"/>
        <w:spacing w:after="0" w:line="244" w:lineRule="auto"/>
        <w:rPr>
          <w:sz w:val="20"/>
          <w:szCs w:val="20"/>
          <w:color w:val="auto"/>
        </w:rPr>
      </w:pPr>
      <w:r>
        <w:rPr>
          <w:rFonts w:ascii="Times New Roman" w:cs="Times New Roman" w:eastAsia="Times New Roman" w:hAnsi="Times New Roman"/>
          <w:sz w:val="20"/>
          <w:szCs w:val="20"/>
          <w:color w:val="auto"/>
        </w:rPr>
        <w:t>See “</w:t>
      </w:r>
      <w:r>
        <w:rPr>
          <w:rFonts w:ascii="Times New Roman" w:cs="Times New Roman" w:eastAsia="Times New Roman" w:hAnsi="Times New Roman"/>
          <w:sz w:val="20"/>
          <w:szCs w:val="20"/>
          <w:b w:val="1"/>
          <w:bCs w:val="1"/>
          <w:i w:val="1"/>
          <w:iCs w:val="1"/>
          <w:color w:val="auto"/>
        </w:rPr>
        <w:t>Part I — Item 1A. Risk Factors</w:t>
      </w:r>
      <w:r>
        <w:rPr>
          <w:rFonts w:ascii="Times New Roman" w:cs="Times New Roman" w:eastAsia="Times New Roman" w:hAnsi="Times New Roman"/>
          <w:sz w:val="20"/>
          <w:szCs w:val="20"/>
          <w:color w:val="auto"/>
        </w:rPr>
        <w:t>” included elsewhere in this Form 10-K for a discussion of some of the factors that can affect our performance.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Financial Measures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19"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We operate in a highly competitive environment, and each revenue-generating engagement is separately solicited and negotiated. Our fee-paying client engagements are not predictable, and we may experience fluctuations in revenues from quarter to quarter. To develop new business, we maintain an active business dialogue with existing and potential clients, and we expect to add new clients each year through expanding our relationships, hiring senior advisory professionals, and receiving introductions from our relationship network. However, we also lose clients each year due to various factors, such as sales or mergers, changes in clients’ senior management, and competition from other financial services firms.</w:t>
      </w:r>
    </w:p>
    <w:p>
      <w:pPr>
        <w:spacing w:after="0" w:line="181"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Our revenue recognition is often tied to the completion of a transaction, which can be delayed or terminated due to various reasons, including failure to obtain regulatory or board approval, failure to secure financing, or adverse market conditions. Larger transactions may take longer to close, adding unpredictability to the timing of revenues. Despite our efforts, we may receive lower advisory fees or no fee at all if a transaction is not completed. Other barriers to the completion of restructuring transactions include a lack of anticipated bidders, failure to obtain court approval, or a failure to reach an agreement with creditors. In such cases, our advisory fees may be limited to monthly retainer fees plus the reimbursement of expenses.</w:t>
      </w:r>
    </w:p>
    <w:p>
      <w:pPr>
        <w:spacing w:after="0" w:line="184"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We do not present our revenue by the type of advice we provide because of the complexity of the transactions on which we may earn revenue and our holistic approach to client service. For instance, a traditional M&amp;A engagement may require additional advisory services, such as capital markets or capital solutions advice or a private capital raise, which may call for cross-functional expertise from our professionals. We focus on dedicating the necessary resources and expertise to each engagement, regardless of product lines, to achieve the desired outcome for our clients. Consequently, disaggregation of revenues by type of advisory service offered would not provide a meaningful or reliable basis for presentation.</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900"/>
          </w:cols>
          <w:pgMar w:left="1180" w:top="1371" w:right="1160" w:bottom="169"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19"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Our operating expenses are classified as (i) total compensation and benefits expenses, including equity-based compensation, and (ii) non-compensation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 Expenses</w:t>
      </w:r>
    </w:p>
    <w:p>
      <w:pPr>
        <w:spacing w:after="0" w:line="21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Our compensation and benefits expenses consist of salaries, bonuses (discretionary awards and guaranteed amounts), severance, payroll and related taxes, benefits, and the amortization of equity-based compensation awards that are subject to a service-based vesting condition, and in some cases, a market-based performance vesting condition. These expenses also include signing bonuses and compensation paid pursuant to guarantees for new hires.</w:t>
      </w:r>
    </w:p>
    <w:p>
      <w:pPr>
        <w:spacing w:after="0" w:line="181"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Compensation is determined by management based on revenues earned, headcount, labor market conditions, and anticipated compensation requirements for our employees. Such factors can fluctuate, including headcount and revenues earned, and as a result, our compensation expenses may fluctuate materially in any particular period.</w:t>
      </w:r>
    </w:p>
    <w:p>
      <w:pPr>
        <w:spacing w:after="0" w:line="182"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At the time of the Merger, the Company entered into vesting acceleration agreements with certain holders of Professional Partners Awards to accelerate vesting for all Professional Partners Awards during the second quarter of 2024 (the “Vesting Acceleration”). Prior to the Merger, the amortization expense for the Professional Partners Awards was allocated fully to non-controlling interests. As a result of the Merger, these awards were considered granted by PWP OpCo and PWP OpCo as a whole bore the cost of the cash settlement feature of the awards, which was added in conjunction with the Merger. As a result, subsequent to the Merger, the Company allocated the costs associated with these awards between Perella Weinberg Partners and non-controlling interests in proportion to their ownership interests, which is consistent with the allocation of the other profit and loss activity of PWP OpCo.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Non-Compensation Expenses</w:t>
      </w:r>
    </w:p>
    <w:p>
      <w:pPr>
        <w:spacing w:after="0" w:line="21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Our non-compensation expenses include the costs of professional fees, technology and infrastructure, rent and occupancy, travel and related expenses, depreciation and amortization and general, administrative and other expenses. Our non-compensation expenses also include certain expenses reimbursed by our clients. Overall, our non-compensation expenses are subject to variability due to multiple factors, including headcount, business needs, and inflation.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Non-Operating Income (Expenses)</w:t>
      </w:r>
    </w:p>
    <w:p>
      <w:pPr>
        <w:spacing w:after="0" w:line="219"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Non-operating income (expenses) includes the impact of income and expense items that we consider to be non-operational in nature, which typically includes interest income and expense and other non-operating gains (losses), including the impact of foreign exchange rate fluctuations.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Interests</w:t>
      </w:r>
    </w:p>
    <w:p>
      <w:pPr>
        <w:spacing w:after="0" w:line="219"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Non-controlling interests represent the ownership interests in PWP OpCo held by holders other than Perella Weinberg Partners, which are current and former working partners. Profits and losses of PWP OpCo are allocated to the non-controlling interests in proportion to their ownership interest regardless of their basis, with an exception for certain equity-based compensation expense which was fully allocated to non-controlling interests prior to the Merger.</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900"/>
          </w:cols>
          <w:pgMar w:left="1180" w:top="1369" w:right="1160" w:bottom="169"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17"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The following is a discussion of our results of operations for the years ended December 31, 2025 and 2024. For a discussion of the year ended December 31, 2024 versus 2023, refer to Item 7, “Management’s Discussion and Analysis of Financial Condition and Results of Operations – Results of Operations” in our Form 10-K for the year ended December 31, 2024.</w:t>
      </w: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265"/>
        </w:trPr>
        <w:tc>
          <w:tcPr>
            <w:tcW w:w="33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58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(Dollars in thousands)</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 vs. 2024</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 vs. 2023</w:t>
            </w: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Revenues </w:t>
            </w:r>
            <w:r>
              <w:rPr>
                <w:rFonts w:ascii="Times New Roman" w:cs="Times New Roman" w:eastAsia="Times New Roman" w:hAnsi="Times New Roman"/>
                <w:sz w:val="20"/>
                <w:szCs w:val="20"/>
                <w:color w:val="B4B4B4"/>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750,903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878,039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648,652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35 %</w:t>
            </w:r>
          </w:p>
        </w:tc>
        <w:tc>
          <w:tcPr>
            <w:tcW w:w="0" w:type="dxa"/>
            <w:vAlign w:val="bottom"/>
          </w:tcPr>
          <w:p>
            <w:pPr>
              <w:spacing w:after="0"/>
              <w:rPr>
                <w:sz w:val="1"/>
                <w:szCs w:val="1"/>
                <w:color w:val="auto"/>
              </w:rPr>
            </w:pPr>
          </w:p>
        </w:tc>
      </w:tr>
      <w:tr>
        <w:trPr>
          <w:trHeight w:val="285"/>
        </w:trPr>
        <w:tc>
          <w:tcPr>
            <w:tcW w:w="3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Compensation and benefits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425,594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525,941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426,572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23 %</w:t>
            </w:r>
          </w:p>
        </w:tc>
        <w:tc>
          <w:tcPr>
            <w:tcW w:w="0" w:type="dxa"/>
            <w:vAlign w:val="bottom"/>
          </w:tcPr>
          <w:p>
            <w:pPr>
              <w:spacing w:after="0"/>
              <w:rPr>
                <w:sz w:val="1"/>
                <w:szCs w:val="1"/>
                <w:color w:val="auto"/>
              </w:rPr>
            </w:pPr>
          </w:p>
        </w:tc>
      </w:tr>
      <w:tr>
        <w:trPr>
          <w:trHeight w:val="286"/>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Equity-based compensation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109,759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258,296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182,375</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42 %</w:t>
            </w:r>
          </w:p>
        </w:tc>
        <w:tc>
          <w:tcPr>
            <w:tcW w:w="0" w:type="dxa"/>
            <w:vAlign w:val="bottom"/>
          </w:tcPr>
          <w:p>
            <w:pPr>
              <w:spacing w:after="0"/>
              <w:rPr>
                <w:sz w:val="1"/>
                <w:szCs w:val="1"/>
                <w:color w:val="auto"/>
              </w:rPr>
            </w:pPr>
          </w:p>
        </w:tc>
      </w:tr>
      <w:tr>
        <w:trPr>
          <w:trHeight w:val="264"/>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compensation and benefits</w:t>
            </w:r>
            <w:r>
              <w:rPr>
                <w:rFonts w:ascii="Times New Roman" w:cs="Times New Roman" w:eastAsia="Times New Roman" w:hAnsi="Times New Roman"/>
                <w:sz w:val="20"/>
                <w:szCs w:val="20"/>
                <w:color w:val="B4B4B4"/>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535,353</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784,237</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608,947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29 %</w:t>
            </w:r>
          </w:p>
        </w:tc>
        <w:tc>
          <w:tcPr>
            <w:tcW w:w="0" w:type="dxa"/>
            <w:vAlign w:val="bottom"/>
          </w:tcPr>
          <w:p>
            <w:pPr>
              <w:spacing w:after="0"/>
              <w:rPr>
                <w:sz w:val="1"/>
                <w:szCs w:val="1"/>
                <w:color w:val="auto"/>
              </w:rPr>
            </w:pPr>
          </w:p>
        </w:tc>
      </w:tr>
      <w:tr>
        <w:trPr>
          <w:trHeight w:val="286"/>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Non-compensation expenses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167,540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172,334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154,805</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0" w:type="dxa"/>
            <w:vAlign w:val="bottom"/>
          </w:tcPr>
          <w:p>
            <w:pPr>
              <w:spacing w:after="0"/>
              <w:rPr>
                <w:sz w:val="1"/>
                <w:szCs w:val="1"/>
                <w:color w:val="auto"/>
              </w:rPr>
            </w:pPr>
          </w:p>
        </w:tc>
      </w:tr>
      <w:tr>
        <w:trPr>
          <w:trHeight w:val="26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Total operating expenses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702,893</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956,571</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763,752</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0" w:type="dxa"/>
            <w:vAlign w:val="bottom"/>
          </w:tcPr>
          <w:p>
            <w:pPr>
              <w:spacing w:after="0"/>
              <w:rPr>
                <w:sz w:val="1"/>
                <w:szCs w:val="1"/>
                <w:color w:val="auto"/>
              </w:rPr>
            </w:pPr>
          </w:p>
        </w:tc>
      </w:tr>
      <w:tr>
        <w:trPr>
          <w:trHeight w:val="26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99"/>
              </w:rPr>
              <w:t xml:space="preserve">Operating income (loss) </w:t>
            </w:r>
            <w:r>
              <w:rPr>
                <w:rFonts w:ascii="Times New Roman" w:cs="Times New Roman" w:eastAsia="Times New Roman" w:hAnsi="Times New Roman"/>
                <w:sz w:val="20"/>
                <w:szCs w:val="20"/>
                <w:color w:val="B4B4B4"/>
                <w:w w:val="99"/>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48,010</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(78,532)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(115,100)</w:t>
            </w:r>
          </w:p>
        </w:tc>
        <w:tc>
          <w:tcPr>
            <w:tcW w:w="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32 %</w:t>
            </w:r>
          </w:p>
        </w:tc>
        <w:tc>
          <w:tcPr>
            <w:tcW w:w="0" w:type="dxa"/>
            <w:vAlign w:val="bottom"/>
          </w:tcPr>
          <w:p>
            <w:pPr>
              <w:spacing w:after="0"/>
              <w:rPr>
                <w:sz w:val="1"/>
                <w:szCs w:val="1"/>
                <w:color w:val="auto"/>
              </w:rPr>
            </w:pPr>
          </w:p>
        </w:tc>
      </w:tr>
      <w:tr>
        <w:trPr>
          <w:trHeight w:val="285"/>
        </w:trPr>
        <w:tc>
          <w:tcPr>
            <w:tcW w:w="3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Non-operating income (expenses)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Related party income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8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Other income (expense)</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10,277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1,348</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662 %</w:t>
            </w:r>
          </w:p>
        </w:tc>
        <w:tc>
          <w:tcPr>
            <w:tcW w:w="0" w:type="dxa"/>
            <w:vAlign w:val="bottom"/>
          </w:tcPr>
          <w:p>
            <w:pPr>
              <w:spacing w:after="0"/>
              <w:rPr>
                <w:sz w:val="1"/>
                <w:szCs w:val="1"/>
                <w:color w:val="auto"/>
              </w:rPr>
            </w:pPr>
          </w:p>
        </w:tc>
      </w:tr>
      <w:tr>
        <w:trPr>
          <w:trHeight w:val="185"/>
        </w:trPr>
        <w:tc>
          <w:tcPr>
            <w:tcW w:w="3360" w:type="dxa"/>
            <w:vAlign w:val="bottom"/>
          </w:tcPr>
          <w:p>
            <w:pPr>
              <w:jc w:val="right"/>
              <w:ind w:right="740"/>
              <w:spacing w:after="0" w:line="184" w:lineRule="exact"/>
              <w:rPr>
                <w:sz w:val="20"/>
                <w:szCs w:val="20"/>
                <w:color w:val="auto"/>
              </w:rPr>
            </w:pPr>
            <w:r>
              <w:rPr>
                <w:rFonts w:ascii="Times New Roman" w:cs="Times New Roman" w:eastAsia="Times New Roman" w:hAnsi="Times New Roman"/>
                <w:sz w:val="20"/>
                <w:szCs w:val="20"/>
                <w:color w:val="auto"/>
              </w:rPr>
              <w:t>Total non-operating income</w:t>
            </w: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3,505</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10,277</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2,280</w:t>
            </w:r>
          </w:p>
        </w:tc>
        <w:tc>
          <w:tcPr>
            <w:tcW w:w="60" w:type="dxa"/>
            <w:vAlign w:val="bottom"/>
            <w:vMerge w:val="restart"/>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60" w:type="dxa"/>
            <w:vAlign w:val="bottom"/>
            <w:vMerge w:val="restart"/>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351 %</w:t>
            </w:r>
          </w:p>
        </w:tc>
        <w:tc>
          <w:tcPr>
            <w:tcW w:w="0" w:type="dxa"/>
            <w:vAlign w:val="bottom"/>
          </w:tcPr>
          <w:p>
            <w:pPr>
              <w:spacing w:after="0"/>
              <w:rPr>
                <w:sz w:val="1"/>
                <w:szCs w:val="1"/>
                <w:color w:val="auto"/>
              </w:rPr>
            </w:pPr>
          </w:p>
        </w:tc>
      </w:tr>
      <w:tr>
        <w:trPr>
          <w:trHeight w:val="260"/>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(expenses)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xml:space="preserve">Income (loss) before income taxes </w:t>
            </w:r>
            <w:r>
              <w:rPr>
                <w:rFonts w:ascii="Times New Roman" w:cs="Times New Roman" w:eastAsia="Times New Roman" w:hAnsi="Times New Roman"/>
                <w:sz w:val="20"/>
                <w:szCs w:val="20"/>
                <w:color w:val="B4B4B4"/>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51,515</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(68,255)</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(112,820)</w:t>
            </w:r>
          </w:p>
        </w:tc>
        <w:tc>
          <w:tcPr>
            <w:tcW w:w="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8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tax expense (benefit)</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3,512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21,089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(980)</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6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98"/>
              </w:rPr>
              <w:t xml:space="preserve">Net income (loss) </w:t>
            </w:r>
            <w:r>
              <w:rPr>
                <w:rFonts w:ascii="Times New Roman" w:cs="Times New Roman" w:eastAsia="Times New Roman" w:hAnsi="Times New Roman"/>
                <w:sz w:val="20"/>
                <w:szCs w:val="20"/>
                <w:color w:val="B4B4B4"/>
                <w:w w:val="98"/>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48,003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(89,344)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(111,840)</w:t>
            </w:r>
          </w:p>
        </w:tc>
        <w:tc>
          <w:tcPr>
            <w:tcW w:w="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20 %</w:t>
            </w:r>
          </w:p>
        </w:tc>
        <w:tc>
          <w:tcPr>
            <w:tcW w:w="0" w:type="dxa"/>
            <w:vAlign w:val="bottom"/>
          </w:tcPr>
          <w:p>
            <w:pPr>
              <w:spacing w:after="0"/>
              <w:rPr>
                <w:sz w:val="1"/>
                <w:szCs w:val="1"/>
                <w:color w:val="auto"/>
              </w:rPr>
            </w:pPr>
          </w:p>
        </w:tc>
      </w:tr>
      <w:tr>
        <w:trPr>
          <w:trHeight w:val="205"/>
        </w:trPr>
        <w:tc>
          <w:tcPr>
            <w:tcW w:w="336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Less: Net income (loss) attributable to</w:t>
            </w: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12,526</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(24,616)</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(94,617)</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6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74 %</w:t>
            </w:r>
          </w:p>
        </w:tc>
        <w:tc>
          <w:tcPr>
            <w:tcW w:w="0" w:type="dxa"/>
            <w:vAlign w:val="bottom"/>
          </w:tcPr>
          <w:p>
            <w:pPr>
              <w:spacing w:after="0"/>
              <w:rPr>
                <w:sz w:val="1"/>
                <w:szCs w:val="1"/>
                <w:color w:val="auto"/>
              </w:rPr>
            </w:pPr>
          </w:p>
        </w:tc>
      </w:tr>
      <w:tr>
        <w:trPr>
          <w:trHeight w:val="260"/>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non-controlling interests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line="184" w:lineRule="exact"/>
              <w:rPr>
                <w:sz w:val="20"/>
                <w:szCs w:val="20"/>
                <w:color w:val="auto"/>
              </w:rPr>
            </w:pPr>
            <w:r>
              <w:rPr>
                <w:rFonts w:ascii="Times New Roman" w:cs="Times New Roman" w:eastAsia="Times New Roman" w:hAnsi="Times New Roman"/>
                <w:sz w:val="20"/>
                <w:szCs w:val="20"/>
                <w:b w:val="1"/>
                <w:bCs w:val="1"/>
                <w:color w:val="auto"/>
              </w:rPr>
              <w:t>Net income (loss) attributable to</w:t>
            </w:r>
          </w:p>
        </w:tc>
        <w:tc>
          <w:tcPr>
            <w:tcW w:w="2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35,477</w:t>
            </w: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(64,728)</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(17,223)</w:t>
            </w:r>
          </w:p>
        </w:tc>
        <w:tc>
          <w:tcPr>
            <w:tcW w:w="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0" w:type="dxa"/>
            <w:vAlign w:val="bottom"/>
          </w:tcPr>
          <w:p>
            <w:pPr>
              <w:spacing w:after="0"/>
              <w:rPr>
                <w:sz w:val="1"/>
                <w:szCs w:val="1"/>
                <w:color w:val="auto"/>
              </w:rPr>
            </w:pPr>
          </w:p>
        </w:tc>
      </w:tr>
      <w:tr>
        <w:trPr>
          <w:trHeight w:val="243"/>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xml:space="preserve">Perella Weinberg Partners </w:t>
            </w:r>
            <w:r>
              <w:rPr>
                <w:rFonts w:ascii="Times New Roman" w:cs="Times New Roman" w:eastAsia="Times New Roman" w:hAnsi="Times New Roman"/>
                <w:sz w:val="20"/>
                <w:szCs w:val="20"/>
                <w:b w:val="1"/>
                <w:bCs w:val="1"/>
                <w:color w:val="B4B4B4"/>
              </w:rPr>
              <w:t>...............</w:t>
            </w:r>
          </w:p>
        </w:tc>
        <w:tc>
          <w:tcPr>
            <w:tcW w:w="2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-3631565</wp:posOffset>
            </wp:positionV>
            <wp:extent cx="6315075" cy="3806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extLst>
                    </a:blip>
                    <a:srcRect/>
                    <a:stretch>
                      <a:fillRect/>
                    </a:stretch>
                  </pic:blipFill>
                  <pic:spPr bwMode="auto">
                    <a:xfrm>
                      <a:off x="0" y="0"/>
                      <a:ext cx="6315075" cy="380682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20"/>
          <w:szCs w:val="20"/>
          <w:color w:val="auto"/>
        </w:rPr>
        <w:t>NM = Not meaningful</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900"/>
          </w:cols>
          <w:pgMar w:left="1180" w:top="1371" w:right="1160" w:bottom="169"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provides revenue statistics for the years ended December 31, 2025, 2024, and 2023:</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336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86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65"/>
        </w:trPr>
        <w:tc>
          <w:tcPr>
            <w:tcW w:w="3360" w:type="dxa"/>
            <w:vAlign w:val="bottom"/>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3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3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 vs. 2024</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 vs. 2023</w:t>
            </w:r>
          </w:p>
        </w:tc>
      </w:tr>
      <w:tr>
        <w:trPr>
          <w:trHeight w:val="262"/>
        </w:trPr>
        <w:tc>
          <w:tcPr>
            <w:tcW w:w="4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Total advisory clients </w:t>
            </w:r>
            <w:r>
              <w:rPr>
                <w:rFonts w:ascii="Times New Roman" w:cs="Times New Roman" w:eastAsia="Times New Roman" w:hAnsi="Times New Roman"/>
                <w:sz w:val="20"/>
                <w:szCs w:val="20"/>
                <w:color w:val="B4B4B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187</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65"/>
        </w:trPr>
        <w:tc>
          <w:tcPr>
            <w:tcW w:w="4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clients with fees greater than or</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60"/>
        </w:trPr>
        <w:tc>
          <w:tcPr>
            <w:tcW w:w="4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equal to $1.0 million </w:t>
            </w:r>
            <w:r>
              <w:rPr>
                <w:rFonts w:ascii="Times New Roman" w:cs="Times New Roman" w:eastAsia="Times New Roman" w:hAnsi="Times New Roman"/>
                <w:sz w:val="20"/>
                <w:szCs w:val="20"/>
                <w:color w:val="B4B4B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136</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-518160</wp:posOffset>
            </wp:positionV>
            <wp:extent cx="6292850" cy="539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extLst>
                    </a:blip>
                    <a:srcRect/>
                    <a:stretch>
                      <a:fillRect/>
                    </a:stretch>
                  </pic:blipFill>
                  <pic:spPr bwMode="auto">
                    <a:xfrm>
                      <a:off x="0" y="0"/>
                      <a:ext cx="6292850" cy="539750"/>
                    </a:xfrm>
                    <a:prstGeom prst="rect">
                      <a:avLst/>
                    </a:prstGeom>
                    <a:noFill/>
                  </pic:spPr>
                </pic:pic>
              </a:graphicData>
            </a:graphic>
          </wp:anchor>
        </w:drawing>
      </w:r>
    </w:p>
    <w:p>
      <w:pPr>
        <w:spacing w:after="0" w:line="27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Revenues were $750.9 million for the year ended December 31, 2025 as compared with $878.0 million for the year ended December 31, 2024, representing a decrease of 14%. The decrease was primarily driven by decreased mergers and acquisition revenue, reflecting fewer and smaller transactions compared to prior year, partially offset by higher financing and capital solutions activity.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 Expenses</w:t>
      </w:r>
    </w:p>
    <w:p>
      <w:pPr>
        <w:spacing w:after="0" w:line="219" w:lineRule="exact"/>
        <w:rPr>
          <w:sz w:val="20"/>
          <w:szCs w:val="20"/>
          <w:color w:val="auto"/>
        </w:rPr>
      </w:pPr>
    </w:p>
    <w:p>
      <w:pPr>
        <w:jc w:val="both"/>
        <w:ind w:right="20" w:firstLine="360"/>
        <w:spacing w:after="0" w:line="232" w:lineRule="auto"/>
        <w:rPr>
          <w:sz w:val="20"/>
          <w:szCs w:val="20"/>
          <w:color w:val="auto"/>
        </w:rPr>
      </w:pPr>
      <w:r>
        <w:rPr>
          <w:rFonts w:ascii="Times New Roman" w:cs="Times New Roman" w:eastAsia="Times New Roman" w:hAnsi="Times New Roman"/>
          <w:sz w:val="19"/>
          <w:szCs w:val="19"/>
          <w:color w:val="auto"/>
        </w:rPr>
        <w:t>For the year ended December 31, 2025, total compensation and benefits expenses were $535.4 million, a decrease of 32% compared with $784.2 million for the year ended December 31, 2024. The decrease in total compensation and benefits expenses was primarily driven by the Vesting Acceleration that occurred in the prior year period, which resulted in $144.2 million of equity-based compensation expense that did not recur in the current year. The decrease was also the result of a lower bonus accrual in the current year period due to a lower revenue base, despite a higher compensation margin.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Non-Compensation Expenses</w:t>
      </w:r>
    </w:p>
    <w:p>
      <w:pPr>
        <w:spacing w:after="0" w:line="219"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For the year ended December 31, 2025, total non-compensation expenses were $167.5 million, a decrease of 3% compared with $172.3 million for the year ended December 31, 2024. The decrease in non-compensation expenses was largely driven by lower general, administrative and other expenses and lower professional fees, partially offset by higher travel and technology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Non-Operating Income (Expenses)</w:t>
      </w:r>
    </w:p>
    <w:p>
      <w:pPr>
        <w:spacing w:after="0" w:line="219"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For the year ended December 31, 2025, non-operating income was $3.5 million compared with non-operating income of $10.3 million for the year ended December 31, 2024. The decrease in non-operating income was primarily driven by lower interest income due to lower interest rates and smaller interest-bearing cash balances, as well as a net loss from foreign exchange rate fluctuations in the current period compared to a net gain in the prior year. For both periods, foreign exchange rate fluctuations largely related to U.S. dollar-denominated cash and intercompany balances held by our foreign subsidiaries, including the settlement of such balances.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 (Benefit)</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Company’s income tax expense and effective tax rate were $3.5 million and 6.8%, respectively, for the year ended December 31, 2025 compared to income tax expense and an effective tax rate of $21.1 million and (30.9)%, respectively, for the year ended December 31, 2024. The change in the effective tax rate was primarily due to the relative size of our permanent differences in relation to the pre-tax income (loss) in the respective periods, the Vesting Acceleration, and higher tax benefits recognized in the current year associated with the appreciation in our share price upon vesting of RSUs above the original grant price during the year ended December 31, 2025.</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900"/>
          </w:cols>
          <w:pgMar w:left="1180" w:top="1369" w:right="1160" w:bottom="169"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19"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We regularly monitor our liquidity position, including cash and cash equivalents, working capital assets and liabilities, commitments and other liquidity requirements. Our primary sources of liquidity are generally our cash and cash equivalent balances, investments in short-term marketable debt securities, the net cash generated from operations, and the available borrowing capacity under our Revolving Credit Facility. Our primary cash needs are typically for working capital, operating expenses (including cash compensation for our employees), repurchasing shares of the Company’s Class A common stock, withholding tax payments for vested incentive compensation awards, including restricted stock units and performance stock units (the “PWP Incentive Plan Awards”), cash-settled exchanges of PWP OpCo Units, income taxes, dividends and distributions, capital expenditures, making payments pursuant to the tax receivable agreement, commitments, and strategic investments. We generally pay a significant portion of our annual cash incentive compensation during the first quarter of each calendar year with respect to the prior year’s results. Therefore, levels of cash and cash equivalents and/or investments in short-term marketable debt securities generally decline during the first quarter and build over the remainder of the year.</w:t>
      </w:r>
    </w:p>
    <w:p>
      <w:pPr>
        <w:spacing w:after="0" w:line="191"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Our current assets are typically composed of cash and cash equivalents, investments in short-term marketable debt securities, receivables related to fees earned from providing advisory services, certain prepaid expenses and certain amounts due from related parties. Our current liabilities are primarily composed of accrued employee compensation, accounts payable and other accrued expenses. Cash and cash equivalents include cash held at banks, including interest-bearing money market accounts, and any short-term highly liquid investments that have original maturities of three months or less from the date of purchase. We had cash balances of $255.9 million and $331.6 million as of December 31, 2025 and 2024, respectively. As of December 31, 2024, we held investments in U.S. Treasury securities, $20.2 million of which was presented within Cash and cash equivalents and $75.8 million of which was classified as Investments in short-term marketable debt securities within the consolidated financial statements. As of December 31, 2025, we held no cash equivalents and no investments in U.S. Treasury securities.</w:t>
      </w:r>
    </w:p>
    <w:p>
      <w:pPr>
        <w:spacing w:after="0" w:line="189"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Our liquidity is highly dependent upon cash receipts from clients, which generally require the successful completion of transactions. Accounts receivable typically have net terms of 30 days. Accounts receivable, net of allowance for credit losses, were $62.7 million and $73.3 million as of December 31, 2025 and 2024, respectively.</w:t>
      </w:r>
    </w:p>
    <w:p>
      <w:pPr>
        <w:spacing w:after="0" w:line="182" w:lineRule="exact"/>
        <w:rPr>
          <w:sz w:val="20"/>
          <w:szCs w:val="20"/>
          <w:color w:val="auto"/>
        </w:rPr>
      </w:pPr>
    </w:p>
    <w:p>
      <w:pPr>
        <w:jc w:val="both"/>
        <w:ind w:right="20" w:firstLine="360"/>
        <w:spacing w:after="0" w:line="232" w:lineRule="auto"/>
        <w:rPr>
          <w:sz w:val="20"/>
          <w:szCs w:val="20"/>
          <w:color w:val="auto"/>
        </w:rPr>
      </w:pPr>
      <w:r>
        <w:rPr>
          <w:rFonts w:ascii="Times New Roman" w:cs="Times New Roman" w:eastAsia="Times New Roman" w:hAnsi="Times New Roman"/>
          <w:sz w:val="19"/>
          <w:szCs w:val="19"/>
          <w:color w:val="auto"/>
        </w:rPr>
        <w:t>We have a Revolving Credit Facility with Cadence Bank with an available line of credit of $50.0 million. Additionally, up to $20.0 million of incremental revolving commitments above the $50.0 million commitment amount may be incurred under the Credit Agreement. As of December 31, 2025 and 2024, we had no outstanding balance related to the Revolving Credit Facility and no incremental revolving commitments were incurred. For further information on the Revolving Credit Facility, refer to Note 10—Debt in the notes to consolidated financial statements included elsewhere in this Form 10-K.</w:t>
      </w:r>
    </w:p>
    <w:p>
      <w:pPr>
        <w:spacing w:after="0" w:line="184"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On October 1, 2025, we acquired Devon Park Advisors, LLC, for a purchase price of $49.2 million, which included cash consideration of $23.0 million.</w:t>
      </w:r>
    </w:p>
    <w:p>
      <w:pPr>
        <w:spacing w:after="0" w:line="180"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During the year ended December 31, 2025, we made $78.1 million of withholding tax payments for vested PWP Incentive Plan Awards and elected to settle exchanges of certain PWP OpCo Units and corresponding shares of Class B common stock for $28.3 million in cash. We also repurchased 1,829,337 shares at an average price per share of $18.40 pursuant to our share repurchase program.</w:t>
      </w:r>
    </w:p>
    <w:p>
      <w:pPr>
        <w:spacing w:after="0" w:line="18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Based on current market conditions, we believe that our cash on hand,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900"/>
          </w:cols>
          <w:pgMar w:left="1180" w:top="1371" w:right="1160" w:bottom="169"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summary of our operating, investing and financing cash flows is as follows:</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(Dollars in thousands)</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Provided By (Used In)</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Net income (loss)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48,003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(89,344)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(111,840)</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Non-cash charges and other operating activity adjustments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147,365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224,073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213,224</w:t>
            </w:r>
          </w:p>
        </w:tc>
        <w:tc>
          <w:tcPr>
            <w:tcW w:w="0" w:type="dxa"/>
            <w:vAlign w:val="bottom"/>
          </w:tcPr>
          <w:p>
            <w:pPr>
              <w:spacing w:after="0"/>
              <w:rPr>
                <w:sz w:val="1"/>
                <w:szCs w:val="1"/>
                <w:color w:val="auto"/>
              </w:rPr>
            </w:pPr>
          </w:p>
        </w:tc>
      </w:tr>
      <w:tr>
        <w:trPr>
          <w:trHeight w:val="286"/>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operating activities </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(160,579)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88,630</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44,499</w:t>
            </w:r>
          </w:p>
        </w:tc>
        <w:tc>
          <w:tcPr>
            <w:tcW w:w="0" w:type="dxa"/>
            <w:vAlign w:val="bottom"/>
          </w:tcPr>
          <w:p>
            <w:pPr>
              <w:spacing w:after="0"/>
              <w:rPr>
                <w:sz w:val="1"/>
                <w:szCs w:val="1"/>
                <w:color w:val="auto"/>
              </w:rPr>
            </w:pPr>
          </w:p>
        </w:tc>
      </w:tr>
      <w:tr>
        <w:trPr>
          <w:trHeight w:val="264"/>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operating activities </w:t>
            </w:r>
            <w:r>
              <w:rPr>
                <w:rFonts w:ascii="Times New Roman" w:cs="Times New Roman" w:eastAsia="Times New Roman" w:hAnsi="Times New Roman"/>
                <w:sz w:val="20"/>
                <w:szCs w:val="20"/>
                <w:color w:val="B4B4B4"/>
                <w:w w:val="99"/>
              </w:rPr>
              <w:t>....................................................................</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34,789</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223,359</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145,883</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xml:space="preserve">Investing Activities </w:t>
            </w:r>
            <w:r>
              <w:rPr>
                <w:rFonts w:ascii="Times New Roman" w:cs="Times New Roman" w:eastAsia="Times New Roman" w:hAnsi="Times New Roman"/>
                <w:sz w:val="20"/>
                <w:szCs w:val="20"/>
                <w:color w:val="B4B4B4"/>
                <w:w w:val="99"/>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51,740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(5,818)</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xml:space="preserve">Financing Activities </w:t>
            </w:r>
            <w:r>
              <w:rPr>
                <w:rFonts w:ascii="Times New Roman" w:cs="Times New Roman" w:eastAsia="Times New Roman" w:hAnsi="Times New Roman"/>
                <w:sz w:val="20"/>
                <w:szCs w:val="20"/>
                <w:color w:val="B4B4B4"/>
                <w:w w:val="99"/>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(168,566)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(137,252)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(67,018)</w:t>
            </w:r>
          </w:p>
        </w:tc>
        <w:tc>
          <w:tcPr>
            <w:tcW w:w="0" w:type="dxa"/>
            <w:vAlign w:val="bottom"/>
          </w:tcPr>
          <w:p>
            <w:pPr>
              <w:spacing w:after="0"/>
              <w:rPr>
                <w:sz w:val="1"/>
                <w:szCs w:val="1"/>
                <w:color w:val="auto"/>
              </w:rPr>
            </w:pPr>
          </w:p>
        </w:tc>
      </w:tr>
      <w:tr>
        <w:trPr>
          <w:trHeight w:val="205"/>
        </w:trPr>
        <w:tc>
          <w:tcPr>
            <w:tcW w:w="548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Effect of exchange rate changes on cash, cash equivalents and</w:t>
            </w:r>
          </w:p>
        </w:tc>
        <w:tc>
          <w:tcPr>
            <w:tcW w:w="3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6,316</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(3,340)</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2,889</w:t>
            </w:r>
          </w:p>
        </w:tc>
        <w:tc>
          <w:tcPr>
            <w:tcW w:w="0" w:type="dxa"/>
            <w:vAlign w:val="bottom"/>
          </w:tcPr>
          <w:p>
            <w:pPr>
              <w:spacing w:after="0"/>
              <w:rPr>
                <w:sz w:val="1"/>
                <w:szCs w:val="1"/>
                <w:color w:val="auto"/>
              </w:rPr>
            </w:pPr>
          </w:p>
        </w:tc>
      </w:tr>
      <w:tr>
        <w:trPr>
          <w:trHeight w:val="261"/>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restricted cash</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Net increase (decrease) in cash, cash equivalents and restricted cash</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(75,721)</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82,669</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75,936</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Cash, cash equivalents and restricted cash, beginning of period</w:t>
            </w:r>
            <w:r>
              <w:rPr>
                <w:rFonts w:ascii="Times New Roman" w:cs="Times New Roman" w:eastAsia="Times New Roman" w:hAnsi="Times New Roman"/>
                <w:sz w:val="20"/>
                <w:szCs w:val="20"/>
                <w:color w:val="B4B4B4"/>
                <w:w w:val="99"/>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332,771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250,102</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174,166</w:t>
            </w:r>
          </w:p>
        </w:tc>
        <w:tc>
          <w:tcPr>
            <w:tcW w:w="0" w:type="dxa"/>
            <w:vAlign w:val="bottom"/>
          </w:tcPr>
          <w:p>
            <w:pPr>
              <w:spacing w:after="0"/>
              <w:rPr>
                <w:sz w:val="1"/>
                <w:szCs w:val="1"/>
                <w:color w:val="auto"/>
              </w:rPr>
            </w:pPr>
          </w:p>
        </w:tc>
      </w:tr>
      <w:tr>
        <w:trPr>
          <w:trHeight w:val="248"/>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Cash, cash equivalents and restricted cash, end of period </w:t>
            </w:r>
            <w:r>
              <w:rPr>
                <w:rFonts w:ascii="Times New Roman" w:cs="Times New Roman" w:eastAsia="Times New Roman" w:hAnsi="Times New Roman"/>
                <w:sz w:val="20"/>
                <w:szCs w:val="20"/>
                <w:color w:val="B4B4B4"/>
                <w:w w:val="99"/>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257,050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332,771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250,102</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-2498090</wp:posOffset>
            </wp:positionV>
            <wp:extent cx="6286500" cy="2517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extLst>
                    </a:blip>
                    <a:srcRect/>
                    <a:stretch>
                      <a:fillRect/>
                    </a:stretch>
                  </pic:blipFill>
                  <pic:spPr bwMode="auto">
                    <a:xfrm>
                      <a:off x="0" y="0"/>
                      <a:ext cx="6286500" cy="251777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2025</w:t>
      </w:r>
    </w:p>
    <w:p>
      <w:pPr>
        <w:spacing w:after="0" w:line="214"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Operating activities resulted in a net cash inflow of $34.8 million primarily attributable to cash collections from clients, net of cash operating expense outflows, including bonuses paid during the first quarter of 2025 with respect to prior year compensation expense.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Investing activities resulted in a net cash inflow of $51.7 million attributable to the maturation of investments in U.S.</w:t>
      </w:r>
    </w:p>
    <w:p>
      <w:pPr>
        <w:spacing w:after="0"/>
        <w:rPr>
          <w:sz w:val="20"/>
          <w:szCs w:val="20"/>
          <w:color w:val="auto"/>
        </w:rPr>
      </w:pPr>
      <w:r>
        <w:rPr>
          <w:rFonts w:ascii="Times New Roman" w:cs="Times New Roman" w:eastAsia="Times New Roman" w:hAnsi="Times New Roman"/>
          <w:sz w:val="20"/>
          <w:szCs w:val="20"/>
          <w:color w:val="auto"/>
        </w:rPr>
        <w:t>Treasury securities, which was partially offset by the cash paid to acquire Devon Park Advisors, LLC.</w:t>
      </w:r>
    </w:p>
    <w:p>
      <w:pPr>
        <w:spacing w:after="0" w:line="188"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Financing activities resulted in a net cash outflow of $168.6 million primarily due to withholding tax payments for vested PWP Incentive Plan Awards, the cash settlement of exchanges of PWP OpCo Units, share repurchases, and dividend payments.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2024</w:t>
      </w:r>
    </w:p>
    <w:p>
      <w:pPr>
        <w:spacing w:after="0" w:line="214"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Operating activities resulted in a net cash inflow of $223.4 million primarily attributable to cash collected from clients, net of cash operating expense outflows, including the settlement of liability-classified Professional Partners Awards during the second quarter and bonuses paid during the first quarter of 2024 with respect to prior year compensation expense.</w:t>
      </w:r>
    </w:p>
    <w:p>
      <w:pPr>
        <w:spacing w:after="0" w:line="182"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Investing activities resulted in a net cash outflow of $0.1 million attributable to the purchase of investments in U.S. Treasury securities, which was almost fully offset by the purchase of additional investments and capital expenditures related to office space renovations.</w:t>
      </w:r>
    </w:p>
    <w:p>
      <w:pPr>
        <w:spacing w:after="0" w:line="182"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Financing activities resulted in a net cash outflow of $137.3 million primarily due to withholding tax payments for vested PWP Incentive Plan Awards and equity-classified Professional Partners Awards, the cash settlement of exchanges of PWP OpCo Units, share repurchases, dividend payments, and distributions to partners, all of which was partially offset by the issuance of 5,750,000 shares of Class A common stock for net proceeds of $66.0 million.</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For a discussion of the year ended December 31, 2023, refer to Item 7, “Management’s Discussion and Analysis of Financial Condition and Results of Operations – Cash Flows” in our Form 10-K for the year ended December 31,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Program</w:t>
      </w:r>
    </w:p>
    <w:p>
      <w:pPr>
        <w:spacing w:after="0" w:line="219"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Our board of directors approved a stock repurchase program under which we are authorized to repurchase up to $200.0 million of our Class A common stock with no requirement to purchase any minimum number of shares. As of December 31, 2025, $60.2 million remains of the $200.0 million authorized for share repurchases.</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900"/>
          </w:cols>
          <w:pgMar w:left="1180" w:top="1369" w:right="1160" w:bottom="169"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 Rights</w:t>
      </w:r>
    </w:p>
    <w:p>
      <w:pPr>
        <w:spacing w:after="0" w:line="21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In accordance with the limited partnership agreement of PWP OpCo, holders of PWP OpCo Units (other than the Company) may exchange these units for (i) shares of Class A common stock on a one-for-one basis or (ii) cash from an offering of shares of Class A common stock and (iii) subsequent to the Merger, cash from any other source. Whether future exchanges are settled in cash or shares of Class A common stock is at our discretion and will depend on our liquidity and capital resources, market conditions, the timing and concentration of exchange elections and other factors. See Note 11— Stockholders’ Equity and Redeemable Non-Controlling Interests in the notes to consolidated financial statements included elsewhere in the Form 10-K for further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Capital</w:t>
      </w:r>
    </w:p>
    <w:p>
      <w:pPr>
        <w:spacing w:after="0" w:line="219"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7—Regulatory Requirements in the notes to consolidated financial statements included elsewhere in this Form 10-K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19"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As of December 31, 2025, we had an amount due of $93.5 million pursuant to the tax receivable agreement, which represents management’s best estimate of the amounts currently expected to be owed in connection with the tax receivable agreement for the Business Combination and subsequent exchanges made to date. See Note 16—Related Party Transactions in the notes to consolidated financial statements included elsewhere in this Form 10-K for further information as well as the expected timing of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19"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We have various non-cancelable operating leases for our office space and certain equipment. As of December 31, 2025, we had $186.1 million of operating lease liabilities. See Note 5—Leases in the notes to consolidated financial statements included elsewhere in this Form 10-K for further information as well as the expected timing of payments.</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900"/>
          </w:cols>
          <w:pgMar w:left="1180" w:top="1369" w:right="1160" w:bottom="169"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Market Risk and Credit Risk</w:t>
      </w:r>
    </w:p>
    <w:p>
      <w:pPr>
        <w:spacing w:after="0" w:line="217"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Our business is not capital-intensive and we do not invest in derivative instruments. We are not subject to significant market risk (including interest rate risk and commodity price risk) or significant credit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Cash and Cash Equivalents</w:t>
      </w:r>
    </w:p>
    <w:p>
      <w:pPr>
        <w:spacing w:after="0" w:line="219"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account balances exceed U.S. Federal Deposit Insurance Corporation (FDIC) coverage limits or the coverage limits of the relevant foreign deposit insurance system, as applicable. We believe our cash and cash equivalents are not subject to any material interest rate risk, equity price risk, credit risk or other market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Risk</w:t>
      </w:r>
    </w:p>
    <w:p>
      <w:pPr>
        <w:spacing w:after="0" w:line="219"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us. We maintain an allowance for credit losses that, in our opinion, provides for an adequate reserve to cover current expected credit losses. Refer to Note 2—Summary of Significant Accounting Policies in the notes to consolidated financial statements included elsewhere in this Form 10-K for further information.</w:t>
      </w:r>
    </w:p>
    <w:p>
      <w:pPr>
        <w:spacing w:after="0" w:line="18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When we invest our excess cash, we manage our credit risk exposure by holding investments primarily with investment grade credit quality. This amount is typically presented in Cash and cash equivalents and/or in Investments in short-term marketable debt securities on the Consolidated Statements of Financial Condition. The Company held no such investments as of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 Rate Risk</w:t>
      </w:r>
    </w:p>
    <w:p>
      <w:pPr>
        <w:spacing w:after="0" w:line="219"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We are exposed to exchange rate risk as a result of having foreign subsidiaries with non-U.S. dollar functional currencies as well as from entering into transactions and holding monetary assets and liabilities that are not denominated in the functional currency of our operating subsidiaries. Specifically, the reported amounts in our consolidated financial statements may be affected by movements in the rate of exchange between the pound sterling, euro, and Canadian dollar and our reporting currency, the U.S. dollar. For the years ended December 31, 2025 and 2024, the net impact of non-functional currency-related transaction gains and losses recorded in Other income (expense) on our Consolidated Statements of Operations was a $2.3 million loss and a $1.3 million gain, respectively, primarily related to U.S. dollar-denominated cash and intercompany receivables held by our foreign subsidiaries as the strength of the U.S. dollar fluctuated. For the years ended December 31, 2025 and 2024, the net impact from the fluctuation of foreign currencies recorded in Foreign currency translation gain (loss) on our Consolidated Statements of Comprehensive Income (Loss) was a $5.3 million gain and a $2.5 million loss, respectively. We have not entered into any transactions to hedge our exposure to these foreign currency fluctuations using derivative instruments or other methods but may do so if we deem appropriate in the future. As of December 31, 2025, we held cash balances of $86.9 million in non-U.S. dollar currencies, composed of pound sterling, euros, and Canadian dollars.</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900"/>
          </w:cols>
          <w:pgMar w:left="1180" w:top="1371" w:right="1160" w:bottom="169"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17"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The preparation of our consolidated financial statements and related disclosures in conformity with U.S. GAAP requires management to make estimates and assumptions that affect the reported amounts of assets, liabilities, revenues, expenses, and the disclosure of contingent assets and liabilities. The following are our critical accounting estimates and judgments used in the preparation of our consolidated financial statements. We believe that these critical accounting estimates represent those that are most important to the presentation of our financial condition and results of operations and require management's most difficult, subjective and complex judgment. Due to their subjectivity, actual results could differ from those estimates. Estimates and the assumptions underlying these estimates are reviewed periodically, and the effects of revisions are reflected in the period in which they are determined to be necessary.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19"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The services provided under contracts with clients include transaction-related advisory services, fairness opinion services, research, and underwriting services. The fee structures for the Company’s transaction-related advisory services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 the determination of which may require significant judgment, especially when assessed near the end of a reporting period, and/or involve material amounts. Due to this constraint, a significant portion of revenue recognized for advisory services in any given period often relates to services performed in prior periods.</w:t>
      </w:r>
    </w:p>
    <w:p>
      <w:pPr>
        <w:spacing w:after="0" w:line="184"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The Company records deferred revenue when it receives fees from clients that have not yet been earned or when the Company has an unconditional right to consideration before all performance obligations are complete (e.g., when announcement fees are received but additional services are expected to be provided between transaction announcement and transaction close). In these cases, the deferred amount is often based on an estimate of the services remaining to be completed, if any. The determination of when and to what extent to subsequently recognize deferred variable fees may require significant judgment, particularly when milestones are met near the end of a reporting period and in cases where additional services are expected to be provided subsequent to the achievement of the milestone.</w:t>
      </w:r>
    </w:p>
    <w:p>
      <w:pPr>
        <w:spacing w:after="0" w:line="184"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Certain fixed fees specified in the Company’s contracts, which may include upfront fees and retainers, are recognized on a systematic basis over the estimated period in which the related services are performed. Estimating contract terms may require significant judgment and often change over the course of an engagement.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9" w:lineRule="exact"/>
        <w:rPr>
          <w:sz w:val="20"/>
          <w:szCs w:val="20"/>
          <w:color w:val="auto"/>
        </w:rPr>
      </w:pPr>
    </w:p>
    <w:p>
      <w:pPr>
        <w:jc w:val="both"/>
        <w:ind w:right="20" w:firstLine="360"/>
        <w:spacing w:after="0" w:line="215" w:lineRule="auto"/>
        <w:rPr>
          <w:sz w:val="20"/>
          <w:szCs w:val="20"/>
          <w:color w:val="auto"/>
        </w:rPr>
      </w:pPr>
      <w:r>
        <w:rPr>
          <w:rFonts w:ascii="Times New Roman" w:cs="Times New Roman" w:eastAsia="Times New Roman" w:hAnsi="Times New Roman"/>
          <w:sz w:val="20"/>
          <w:szCs w:val="20"/>
          <w:color w:val="auto"/>
        </w:rPr>
        <w:t>We regularly assess the likelihood that we will be able to recover our deferred tax assets. We believe that we will ultimately recover the deferred tax assets recorded on our Consolidated Statements of Financial Condition. However, should there be a change in the likelihood of our ability to recover our deferred tax assets, our tax provision would increase with the recording of a valuation allowance in the period in which we determined that the recovery is not likely. In evaluating our ability to recover our deferred tax assets in the jurisdiction from which they arise, we consider all available positive and negative evidence, including projected future taxable income. In projecting future taxable income, we begin with historical results and incorporate certain assumptions, including revenue growth and operating margin. The assumptions about future taxable income require the use of significant judgment and are consistent with the plans and estimates we are using to manage the underlying business.</w:t>
      </w:r>
    </w:p>
    <w:p>
      <w:pPr>
        <w:spacing w:after="0" w:line="186"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calculation of our tax liabilities involves dealing with uncertainties in the application of complex tax laws and regulations. We record unrecognized tax benefits based on whether it is more-likely-than-not that uncertain tax positions will be sustained on the basis of the technical merits of the position. If it is determined an uncertain tax position is more-likely-than-not to be sustained, we recognize the largest amount of tax benefit that is more than 50% likely to be realized upon ultimate settlement with the related tax authority. It is inherently difficult and subjective to estimate such amounts, as we must determine the probability of various possible outcomes.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Refer to Note 9—Income Taxes in the notes to the consolidated financial statements.</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900"/>
          </w:cols>
          <w:pgMar w:left="1180" w:top="1371" w:right="1160" w:bottom="169"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i w:val="1"/>
          <w:iCs w:val="1"/>
          <w:color w:val="auto"/>
        </w:rPr>
        <w:t>Equity Compensation</w:t>
      </w:r>
    </w:p>
    <w:p>
      <w:pPr>
        <w:spacing w:after="0" w:line="21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A portion of the PWP Incentive Plan Awards granted to certain employees vest upon the occurrence of both service and market conditions being achieved. Compensation expense is recognized for these equity-based awards over the requisite vesting period in an amount equal to the fair value of the awards at the grant date, provided the requisite service period is completed, irrespective of whether the market condition is satisfied. The effect of the market condition is reflected in the grant date fair value of the award. The Company utilized a Monte-Carlo simulation valuation model to determine the grant date fair value which required significant judgment for various inputs including the risk-free interest rate, dividend yield and the volatility factor.</w:t>
      </w:r>
    </w:p>
    <w:p>
      <w:pPr>
        <w:spacing w:after="0" w:line="184" w:lineRule="exact"/>
        <w:rPr>
          <w:sz w:val="20"/>
          <w:szCs w:val="20"/>
          <w:color w:val="auto"/>
        </w:rPr>
      </w:pPr>
    </w:p>
    <w:p>
      <w:pPr>
        <w:ind w:right="1500" w:firstLine="360"/>
        <w:spacing w:after="0" w:line="459" w:lineRule="auto"/>
        <w:rPr>
          <w:sz w:val="20"/>
          <w:szCs w:val="20"/>
          <w:color w:val="auto"/>
        </w:rPr>
      </w:pPr>
      <w:r>
        <w:rPr>
          <w:rFonts w:ascii="Times New Roman" w:cs="Times New Roman" w:eastAsia="Times New Roman" w:hAnsi="Times New Roman"/>
          <w:sz w:val="20"/>
          <w:szCs w:val="20"/>
          <w:color w:val="auto"/>
        </w:rPr>
        <w:t xml:space="preserve">Refer to Note 12—Equity-Based Compensation in the notes to the consolidated financial statements. </w:t>
      </w:r>
      <w:r>
        <w:rPr>
          <w:rFonts w:ascii="Times New Roman" w:cs="Times New Roman" w:eastAsia="Times New Roman" w:hAnsi="Times New Roman"/>
          <w:sz w:val="20"/>
          <w:szCs w:val="20"/>
          <w:b w:val="1"/>
          <w:bCs w:val="1"/>
          <w:i w:val="1"/>
          <w:iCs w:val="1"/>
          <w:color w:val="auto"/>
        </w:rPr>
        <w:t>Business Combination</w:t>
      </w: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Accounting for a business combination requires management to make certain estimates and assumptions, especially with regard to the valuation of intangibles assets and contingent consideration. The amounts and useful lives assigned to acquisition-related intangible assets impact the amount and timing of future amortization expense. Contingent consideration arrangements are revalued to fair value each reporting period with changes in fair value recognized in earnings.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Refer to Note 3—Business Combination in the 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53" w:lineRule="exact"/>
        <w:rPr>
          <w:sz w:val="20"/>
          <w:szCs w:val="20"/>
          <w:color w:val="auto"/>
        </w:rPr>
      </w:pPr>
    </w:p>
    <w:p>
      <w:pPr>
        <w:jc w:val="both"/>
        <w:ind w:right="20" w:firstLine="360"/>
        <w:spacing w:after="0" w:line="244" w:lineRule="auto"/>
        <w:rPr>
          <w:sz w:val="20"/>
          <w:szCs w:val="20"/>
          <w:color w:val="auto"/>
        </w:rPr>
      </w:pPr>
      <w:r>
        <w:rPr>
          <w:rFonts w:ascii="Times New Roman" w:cs="Times New Roman" w:eastAsia="Times New Roman" w:hAnsi="Times New Roman"/>
          <w:sz w:val="20"/>
          <w:szCs w:val="20"/>
          <w:color w:val="auto"/>
        </w:rPr>
        <w:t>Quantitative and qualitative disclosures about market risk are set forth above in “</w:t>
      </w:r>
      <w:r>
        <w:rPr>
          <w:rFonts w:ascii="Times New Roman" w:cs="Times New Roman" w:eastAsia="Times New Roman" w:hAnsi="Times New Roman"/>
          <w:sz w:val="20"/>
          <w:szCs w:val="20"/>
          <w:b w:val="1"/>
          <w:bCs w:val="1"/>
          <w:i w:val="1"/>
          <w:iCs w:val="1"/>
          <w:color w:val="auto"/>
        </w:rPr>
        <w:t>Item 7—Management’s Discussion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and Analysis of Financial Condition and Results of Operations—Market Risk and Credit Risk.</w:t>
      </w:r>
      <w:r>
        <w:rPr>
          <w:rFonts w:ascii="Times New Roman" w:cs="Times New Roman" w:eastAsia="Times New Roman" w:hAnsi="Times New Roman"/>
          <w:sz w:val="20"/>
          <w:szCs w:val="20"/>
          <w:color w:val="auto"/>
        </w:rPr>
        <w:t>”</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900"/>
          </w:cols>
          <w:pgMar w:left="1180" w:top="1369" w:right="1160" w:bottom="169"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3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u w:val="single" w:color="auto"/>
          <w:color w:val="3051F2"/>
        </w:rPr>
        <w:t>Report of Independent Registered Public Accounting Firm (PCAOB ID: 42)</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u w:val="single" w:color="auto"/>
          <w:color w:val="3051F2"/>
        </w:rPr>
        <w:t>Consolidated Statements of Financial Condition as of December 31, 2025 and 2024</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u w:val="single" w:color="auto"/>
          <w:color w:val="3051F2"/>
        </w:rPr>
        <w:t>Consolidated Statements of Operations for the Years Ended December 31, 2025, 2024, and 2023</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3051F2"/>
        </w:rPr>
        <w:t>Consolidated Statements of Comprehensive Income (Loss) for the Years Ended December 31, 2025, 2024, and</w:t>
      </w:r>
    </w:p>
    <w:p>
      <w:pPr>
        <w:ind w:left="40"/>
        <w:spacing w:after="0"/>
        <w:rPr>
          <w:sz w:val="20"/>
          <w:szCs w:val="20"/>
          <w:color w:val="auto"/>
        </w:rPr>
      </w:pPr>
      <w:r>
        <w:rPr>
          <w:rFonts w:ascii="Times New Roman" w:cs="Times New Roman" w:eastAsia="Times New Roman" w:hAnsi="Times New Roman"/>
          <w:sz w:val="19"/>
          <w:szCs w:val="19"/>
          <w:u w:val="single" w:color="auto"/>
          <w:color w:val="3051F2"/>
        </w:rPr>
        <w:t>2023</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3051F2"/>
        </w:rPr>
        <w:t>Consolidated Statements of Changes in Equity and Redeemable Non-Controlling Interests for the Years Ended</w:t>
      </w:r>
    </w:p>
    <w:p>
      <w:pPr>
        <w:ind w:left="40"/>
        <w:spacing w:after="0"/>
        <w:rPr>
          <w:sz w:val="20"/>
          <w:szCs w:val="20"/>
          <w:color w:val="auto"/>
        </w:rPr>
      </w:pPr>
      <w:r>
        <w:rPr>
          <w:rFonts w:ascii="Times New Roman" w:cs="Times New Roman" w:eastAsia="Times New Roman" w:hAnsi="Times New Roman"/>
          <w:sz w:val="19"/>
          <w:szCs w:val="19"/>
          <w:u w:val="single" w:color="auto"/>
          <w:color w:val="3051F2"/>
        </w:rPr>
        <w:t>December 31, 2025, 2024, and 2023</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u w:val="single" w:color="auto"/>
          <w:color w:val="3051F2"/>
        </w:rPr>
        <w:t>Consolidated Statements of Cash Flows for the Years Ended December 31, 2025, 2024, and 2023</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u w:val="single" w:color="auto"/>
          <w:color w:val="3051F2"/>
        </w:rPr>
        <w:t>Notes to Consolidated Financial Statements</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42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44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45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46</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47</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50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52</w:t>
      </w:r>
    </w:p>
    <w:p>
      <w:pPr>
        <w:spacing w:after="0" w:line="200" w:lineRule="exact"/>
        <w:rPr>
          <w:sz w:val="20"/>
          <w:szCs w:val="20"/>
          <w:color w:val="auto"/>
        </w:rPr>
      </w:pPr>
    </w:p>
    <w:p>
      <w:pPr>
        <w:sectPr>
          <w:pgSz w:w="12240" w:h="15840" w:orient="portrait"/>
          <w:cols w:equalWidth="0" w:num="2">
            <w:col w:w="9240" w:space="400"/>
            <w:col w:w="200"/>
          </w:cols>
          <w:pgMar w:left="1180" w:top="1371" w:right="122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840"/>
          </w:cols>
          <w:pgMar w:left="1180" w:top="1371" w:right="1220" w:bottom="169" w:gutter="0" w:footer="0" w:header="0"/>
          <w:type w:val="continuous"/>
        </w:sectPr>
      </w:pPr>
    </w:p>
    <w:bookmarkStart w:id="43" w:name="page44"/>
    <w:bookmarkEnd w:id="43"/>
    <w:p>
      <w:pPr>
        <w:ind w:right="2460" w:firstLine="2447"/>
        <w:spacing w:after="0" w:line="461"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Shareholders and the Board of Directors of Perella Weinberg Partners </w:t>
      </w:r>
      <w:r>
        <w:rPr>
          <w:rFonts w:ascii="Times New Roman" w:cs="Times New Roman" w:eastAsia="Times New Roman" w:hAnsi="Times New Roman"/>
          <w:sz w:val="20"/>
          <w:szCs w:val="20"/>
          <w:b w:val="1"/>
          <w:bCs w:val="1"/>
          <w:color w:val="auto"/>
        </w:rPr>
        <w:t>Opinion on the Financial Statements</w:t>
      </w:r>
    </w:p>
    <w:p>
      <w:pPr>
        <w:spacing w:after="0" w:line="2"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20"/>
          <w:szCs w:val="20"/>
          <w:color w:val="auto"/>
        </w:rPr>
        <w:t>We have audited the accompanying consolidated statements of financial condition of Perella Weinberg Partners (the “Company”) as of December 31, 2025 and 2024, the related consolidated statements of operations, comprehensive income (loss), changes in equity and redeemable non-controlling interests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84"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27, 2026, expressed an unqualified opinion thereon.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17"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17"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900"/>
          </w:cols>
          <w:pgMar w:left="1180" w:top="1371" w:right="1160" w:bottom="169" w:gutter="0" w:footer="0" w:header="0"/>
          <w:type w:val="continuous"/>
        </w:sectPr>
      </w:pPr>
    </w:p>
    <w:bookmarkStart w:id="44" w:name="page45"/>
    <w:bookmarkEnd w:id="44"/>
    <w:p>
      <w:pPr>
        <w:ind w:left="2240"/>
        <w:spacing w:after="0"/>
        <w:rPr>
          <w:sz w:val="20"/>
          <w:szCs w:val="20"/>
          <w:color w:val="auto"/>
        </w:rPr>
      </w:pPr>
      <w:r>
        <w:rPr>
          <w:rFonts w:ascii="Times New Roman" w:cs="Times New Roman" w:eastAsia="Times New Roman" w:hAnsi="Times New Roman"/>
          <w:sz w:val="20"/>
          <w:szCs w:val="20"/>
          <w:b w:val="1"/>
          <w:bCs w:val="1"/>
          <w:color w:val="auto"/>
        </w:rPr>
        <w:t>Transaction-related Advisory Service Revenue</w:t>
      </w:r>
    </w:p>
    <w:p>
      <w:pPr>
        <w:spacing w:after="0" w:line="58" w:lineRule="exact"/>
        <w:rPr>
          <w:sz w:val="20"/>
          <w:szCs w:val="20"/>
          <w:color w:val="auto"/>
        </w:rPr>
      </w:pPr>
    </w:p>
    <w:p>
      <w:pPr>
        <w:jc w:val="both"/>
        <w:ind w:left="2240" w:right="360" w:hanging="2234"/>
        <w:spacing w:after="0" w:line="236" w:lineRule="auto"/>
        <w:tabs>
          <w:tab w:leader="none" w:pos="2220" w:val="left"/>
        </w:tabs>
        <w:rPr>
          <w:sz w:val="20"/>
          <w:szCs w:val="20"/>
          <w:color w:val="auto"/>
        </w:rPr>
      </w:pPr>
      <w:r>
        <w:rPr>
          <w:rFonts w:ascii="Times New Roman" w:cs="Times New Roman" w:eastAsia="Times New Roman" w:hAnsi="Times New Roman"/>
          <w:sz w:val="20"/>
          <w:szCs w:val="20"/>
          <w:b w:val="1"/>
          <w:bCs w:val="1"/>
          <w:i w:val="1"/>
          <w:iCs w:val="1"/>
          <w:color w:val="auto"/>
        </w:rPr>
        <w:t>Description of the Matter</w:t>
      </w:r>
      <w:r>
        <w:rPr>
          <w:sz w:val="20"/>
          <w:szCs w:val="20"/>
          <w:color w:val="auto"/>
        </w:rPr>
        <w:tab/>
      </w:r>
      <w:r>
        <w:rPr>
          <w:rFonts w:ascii="Times New Roman" w:cs="Times New Roman" w:eastAsia="Times New Roman" w:hAnsi="Times New Roman"/>
          <w:sz w:val="20"/>
          <w:szCs w:val="20"/>
          <w:color w:val="auto"/>
        </w:rPr>
        <w:t>For the year ended December 31, 2025, the Company’s revenues totaled $750.9 million, a portion of which resulted from transaction-related advisory services. As explained in Note 2 to the consolidated financial statements, the Company provides transaction-related advisory services to its clients to assist with corporate finance activities that include, but are not limited to, mergers and acquisitions, reorganizations, tender offers, leveraged buyouts, and the pricing of securities to be issued. The Company recognizes revenue from transaction-related advisory services when or as its performance obligations are fulfilled. The recognition of transaction-related advisory services is often constrained until substantially all services have been provided, specified conditions have been met and/or certain milestones have been achieved, and it is probable that a significant revenue reversal will not occur in a future period. The determination of when and to what extent to recognize transaction-related advisory service revenues may require judgment, particularly when milestones are met near the end of a reporting period and in cases where additional services are expected to be provided subsequent to the achievement of the milestone.</w:t>
      </w:r>
    </w:p>
    <w:p>
      <w:pPr>
        <w:spacing w:after="0" w:line="196" w:lineRule="exact"/>
        <w:rPr>
          <w:sz w:val="20"/>
          <w:szCs w:val="20"/>
          <w:color w:val="auto"/>
        </w:rPr>
      </w:pPr>
    </w:p>
    <w:p>
      <w:pPr>
        <w:jc w:val="both"/>
        <w:ind w:left="2240" w:right="360"/>
        <w:spacing w:after="0" w:line="241" w:lineRule="auto"/>
        <w:rPr>
          <w:sz w:val="20"/>
          <w:szCs w:val="20"/>
          <w:color w:val="auto"/>
        </w:rPr>
      </w:pPr>
      <w:r>
        <w:rPr>
          <w:rFonts w:ascii="Times New Roman" w:cs="Times New Roman" w:eastAsia="Times New Roman" w:hAnsi="Times New Roman"/>
          <w:sz w:val="20"/>
          <w:szCs w:val="20"/>
          <w:color w:val="auto"/>
        </w:rPr>
        <w:t>Auditing transaction-related advisory services revenue involved significant effort and was especially challenging due to the judgment involved to assess whether (1) all services have been provided, specified conditions have been met and/or certain milestones have been achieved and (2) it is probable a significant revenue reversal will not occur in a future period.</w:t>
      </w:r>
    </w:p>
    <w:p>
      <w:pPr>
        <w:spacing w:after="0" w:line="13"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20"/>
          <w:szCs w:val="20"/>
          <w:b w:val="1"/>
          <w:bCs w:val="1"/>
          <w:i w:val="1"/>
          <w:iCs w:val="1"/>
          <w:color w:val="auto"/>
        </w:rPr>
        <w:t>How We Addressed the</w:t>
      </w:r>
      <w:r>
        <w:rPr>
          <w:sz w:val="20"/>
          <w:szCs w:val="20"/>
          <w:color w:val="auto"/>
        </w:rPr>
        <w:tab/>
      </w:r>
      <w:r>
        <w:rPr>
          <w:rFonts w:ascii="Times New Roman" w:cs="Times New Roman" w:eastAsia="Times New Roman" w:hAnsi="Times New Roman"/>
          <w:sz w:val="20"/>
          <w:szCs w:val="20"/>
          <w:color w:val="auto"/>
        </w:rPr>
        <w:t>We  obtained  an  understanding,  evaluated  the  design  and  tested  the  operating</w:t>
      </w:r>
    </w:p>
    <w:p>
      <w:pPr>
        <w:spacing w:after="0" w:line="20" w:lineRule="exact"/>
        <w:rPr>
          <w:sz w:val="20"/>
          <w:szCs w:val="20"/>
          <w:color w:val="auto"/>
        </w:rPr>
      </w:pPr>
    </w:p>
    <w:p>
      <w:pPr>
        <w:jc w:val="both"/>
        <w:ind w:left="2240" w:right="360" w:hanging="2234"/>
        <w:spacing w:after="0" w:line="237" w:lineRule="auto"/>
        <w:tabs>
          <w:tab w:leader="none" w:pos="2220" w:val="left"/>
        </w:tabs>
        <w:rPr>
          <w:sz w:val="20"/>
          <w:szCs w:val="20"/>
          <w:color w:val="auto"/>
        </w:rPr>
      </w:pPr>
      <w:r>
        <w:rPr>
          <w:rFonts w:ascii="Times New Roman" w:cs="Times New Roman" w:eastAsia="Times New Roman" w:hAnsi="Times New Roman"/>
          <w:sz w:val="20"/>
          <w:szCs w:val="20"/>
          <w:b w:val="1"/>
          <w:bCs w:val="1"/>
          <w:i w:val="1"/>
          <w:iCs w:val="1"/>
          <w:color w:val="auto"/>
        </w:rPr>
        <w:t>Matter in Our Audit</w:t>
      </w:r>
      <w:r>
        <w:rPr>
          <w:sz w:val="20"/>
          <w:szCs w:val="20"/>
          <w:color w:val="auto"/>
        </w:rPr>
        <w:tab/>
      </w:r>
      <w:r>
        <w:rPr>
          <w:rFonts w:ascii="Times New Roman" w:cs="Times New Roman" w:eastAsia="Times New Roman" w:hAnsi="Times New Roman"/>
          <w:sz w:val="20"/>
          <w:szCs w:val="20"/>
          <w:color w:val="auto"/>
        </w:rPr>
        <w:t>effectiveness of the Company's controls over transaction-related advisory services revenue. This included, among others, testing management’s controls over the assessment of the fulfillment of its performance obligations and the evaluation of the revenue constraint for transactions that closed subsequent to the reporting period.</w:t>
      </w:r>
    </w:p>
    <w:p>
      <w:pPr>
        <w:spacing w:after="0" w:line="190" w:lineRule="exact"/>
        <w:rPr>
          <w:sz w:val="20"/>
          <w:szCs w:val="20"/>
          <w:color w:val="auto"/>
        </w:rPr>
      </w:pPr>
    </w:p>
    <w:p>
      <w:pPr>
        <w:jc w:val="both"/>
        <w:ind w:left="2240" w:right="360"/>
        <w:spacing w:after="0" w:line="237" w:lineRule="auto"/>
        <w:rPr>
          <w:sz w:val="20"/>
          <w:szCs w:val="20"/>
          <w:color w:val="auto"/>
        </w:rPr>
      </w:pPr>
      <w:r>
        <w:rPr>
          <w:rFonts w:ascii="Times New Roman" w:cs="Times New Roman" w:eastAsia="Times New Roman" w:hAnsi="Times New Roman"/>
          <w:sz w:val="20"/>
          <w:szCs w:val="20"/>
          <w:color w:val="auto"/>
        </w:rPr>
        <w:t>To test the Company’s transaction-related advisory service revenue, our procedures included, among others, testing a sample of revenue transactions, including transactions occurring near the end of the reporting period to evaluate management’s assessment that it had met the conditions for revenue recognition. We made inquiries of management relating to their assessment of the satisfaction of performance obligations pursuant to the terms of the engagement letter and the probability of a significant revenue reversal in the future. We obtained and read the engagement letters and identified the services to be provided and the compensation to be received. We inspected relevant documentation such as transaction close documents, press releases, court approvals, executed agreements and correspondence between third parties and the Company.</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2007.</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2026</w:t>
      </w:r>
    </w:p>
    <w:p>
      <w:pPr>
        <w:sectPr>
          <w:pgSz w:w="12240" w:h="15840" w:orient="portrait"/>
          <w:cols w:equalWidth="0" w:num="1">
            <w:col w:w="9580"/>
          </w:cols>
          <w:pgMar w:left="1220" w:top="1423" w:right="144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580"/>
          </w:cols>
          <w:pgMar w:left="1220" w:top="1423" w:right="1440" w:bottom="169" w:gutter="0" w:footer="0" w:header="0"/>
          <w:type w:val="continuous"/>
        </w:sectPr>
      </w:pPr>
    </w:p>
    <w:bookmarkStart w:id="45" w:name="page46"/>
    <w:bookmarkEnd w:id="45"/>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Financial Condition</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9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52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78"/>
        </w:trPr>
        <w:tc>
          <w:tcPr>
            <w:tcW w:w="6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79"/>
        </w:trPr>
        <w:tc>
          <w:tcPr>
            <w:tcW w:w="6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Cash and cash equivalents </w:t>
            </w:r>
            <w:r>
              <w:rPr>
                <w:rFonts w:ascii="Times New Roman" w:cs="Times New Roman" w:eastAsia="Times New Roman" w:hAnsi="Times New Roman"/>
                <w:sz w:val="20"/>
                <w:szCs w:val="20"/>
                <w:color w:val="B4B4B4"/>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255,906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331,558</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Restricted cash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1,213</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Investments in short-term marketable debt securities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75,830</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Accounts receivable, net of allowance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62,689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73,293</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Due from related parties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Fixed assets, net of accumulated depreciation and amortization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77,206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84,886</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Intangible assets, net of accumulated amortization</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12,523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12,612</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Goodwill</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72,691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34,383</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Prepaid expenses and other assets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46,776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29,224</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Right-of-use lease assets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138,495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139,637</w:t>
            </w:r>
          </w:p>
        </w:tc>
        <w:tc>
          <w:tcPr>
            <w:tcW w:w="0" w:type="dxa"/>
            <w:vAlign w:val="bottom"/>
          </w:tcPr>
          <w:p>
            <w:pPr>
              <w:spacing w:after="0"/>
              <w:rPr>
                <w:sz w:val="1"/>
                <w:szCs w:val="1"/>
                <w:color w:val="auto"/>
              </w:rPr>
            </w:pPr>
          </w:p>
        </w:tc>
      </w:tr>
      <w:tr>
        <w:trPr>
          <w:trHeight w:val="303"/>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Deferred tax asset, net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129,581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92,969</w:t>
            </w:r>
          </w:p>
        </w:tc>
        <w:tc>
          <w:tcPr>
            <w:tcW w:w="0" w:type="dxa"/>
            <w:vAlign w:val="bottom"/>
          </w:tcPr>
          <w:p>
            <w:pPr>
              <w:spacing w:after="0"/>
              <w:rPr>
                <w:sz w:val="1"/>
                <w:szCs w:val="1"/>
                <w:color w:val="auto"/>
              </w:rPr>
            </w:pPr>
          </w:p>
        </w:tc>
      </w:tr>
      <w:tr>
        <w:trPr>
          <w:trHeight w:val="26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assets</w:t>
            </w:r>
            <w:r>
              <w:rPr>
                <w:rFonts w:ascii="Times New Roman" w:cs="Times New Roman" w:eastAsia="Times New Roman" w:hAnsi="Times New Roman"/>
                <w:sz w:val="20"/>
                <w:szCs w:val="20"/>
                <w:color w:val="B4B4B4"/>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797,637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876,751</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Redeemable Non-Controlling Interests, and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96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compensation and benefits</w:t>
            </w:r>
            <w:r>
              <w:rPr>
                <w:rFonts w:ascii="Times New Roman" w:cs="Times New Roman" w:eastAsia="Times New Roman" w:hAnsi="Times New Roman"/>
                <w:sz w:val="20"/>
                <w:szCs w:val="20"/>
                <w:color w:val="B4B4B4"/>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210,268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325,225</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Accounts payable, accrued expenses and other liabilities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47,102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68,919</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Lease liabilities</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186,066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187,349</w:t>
            </w:r>
          </w:p>
        </w:tc>
        <w:tc>
          <w:tcPr>
            <w:tcW w:w="0" w:type="dxa"/>
            <w:vAlign w:val="bottom"/>
          </w:tcPr>
          <w:p>
            <w:pPr>
              <w:spacing w:after="0"/>
              <w:rPr>
                <w:sz w:val="1"/>
                <w:szCs w:val="1"/>
                <w:color w:val="auto"/>
              </w:rPr>
            </w:pPr>
          </w:p>
        </w:tc>
      </w:tr>
      <w:tr>
        <w:trPr>
          <w:trHeight w:val="303"/>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Amount due pursuant to tax receivable agreement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93,461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65,493</w:t>
            </w:r>
          </w:p>
        </w:tc>
        <w:tc>
          <w:tcPr>
            <w:tcW w:w="0" w:type="dxa"/>
            <w:vAlign w:val="bottom"/>
          </w:tcPr>
          <w:p>
            <w:pPr>
              <w:spacing w:after="0"/>
              <w:rPr>
                <w:sz w:val="1"/>
                <w:szCs w:val="1"/>
                <w:color w:val="auto"/>
              </w:rPr>
            </w:pPr>
          </w:p>
        </w:tc>
      </w:tr>
      <w:tr>
        <w:trPr>
          <w:trHeight w:val="278"/>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liabilities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536,897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646,986</w:t>
            </w:r>
          </w:p>
        </w:tc>
        <w:tc>
          <w:tcPr>
            <w:tcW w:w="0" w:type="dxa"/>
            <w:vAlign w:val="bottom"/>
          </w:tcPr>
          <w:p>
            <w:pPr>
              <w:spacing w:after="0"/>
              <w:rPr>
                <w:sz w:val="1"/>
                <w:szCs w:val="1"/>
                <w:color w:val="auto"/>
              </w:rPr>
            </w:pPr>
          </w:p>
        </w:tc>
      </w:tr>
      <w:tr>
        <w:trPr>
          <w:trHeight w:val="279"/>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(Note 17)</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Redeemable non-controlling interests (22,139,506 units at redemption value of</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$17.53 per unit as of December 31, 2025; 27,460,600 units at redemption value of</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$23.71 per unit as of December 31, 2024) </w:t>
            </w:r>
            <w:r>
              <w:rPr>
                <w:rFonts w:ascii="Times New Roman" w:cs="Times New Roman" w:eastAsia="Times New Roman" w:hAnsi="Times New Roman"/>
                <w:sz w:val="20"/>
                <w:szCs w:val="20"/>
                <w:color w:val="B4B4B4"/>
                <w:w w:val="99"/>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388,099</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651,140</w:t>
            </w:r>
          </w:p>
        </w:tc>
        <w:tc>
          <w:tcPr>
            <w:tcW w:w="0" w:type="dxa"/>
            <w:vAlign w:val="bottom"/>
          </w:tcPr>
          <w:p>
            <w:pPr>
              <w:spacing w:after="0"/>
              <w:rPr>
                <w:sz w:val="1"/>
                <w:szCs w:val="1"/>
                <w:color w:val="auto"/>
              </w:rPr>
            </w:pPr>
          </w:p>
        </w:tc>
      </w:tr>
      <w:tr>
        <w:trPr>
          <w:trHeight w:val="285"/>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Equity</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Class A common stock, par value $0.0001 per share (1,500,000,000 shares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authorized, 81,308,801 issued and 66,739,647 outstanding at December 31, 2025;</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1,500,000,000 shares authorized, 72,544,696 issued and 59,181,721 outstanding at</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December 31, 2024)</w:t>
            </w:r>
            <w:r>
              <w:rPr>
                <w:rFonts w:ascii="Times New Roman" w:cs="Times New Roman" w:eastAsia="Times New Roman" w:hAnsi="Times New Roman"/>
                <w:sz w:val="20"/>
                <w:szCs w:val="20"/>
                <w:color w:val="B4B4B4"/>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75"/>
        </w:trPr>
        <w:tc>
          <w:tcPr>
            <w:tcW w:w="6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Class B common stock, par value $0.0001 per share (600,000,000 shares authorized,</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22,139,506 issued and outstanding at December 31, 2025; 600,000,000 shares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authorized, 27,460,600 issued and outstanding at December 31, 2024) </w:t>
            </w:r>
            <w:r>
              <w:rPr>
                <w:rFonts w:ascii="Times New Roman" w:cs="Times New Roman" w:eastAsia="Times New Roman" w:hAnsi="Times New Roman"/>
                <w:sz w:val="20"/>
                <w:szCs w:val="20"/>
                <w:color w:val="B4B4B4"/>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65"/>
        </w:trPr>
        <w:tc>
          <w:tcPr>
            <w:tcW w:w="6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Preferred stock, par value $0.0001 per share (100,000,000 shares authorized, no</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shares issued and outstanding at December 31, 2025 and December 31, 2024) </w:t>
            </w:r>
            <w:r>
              <w:rPr>
                <w:rFonts w:ascii="Times New Roman" w:cs="Times New Roman" w:eastAsia="Times New Roman" w:hAnsi="Times New Roman"/>
                <w:sz w:val="20"/>
                <w:szCs w:val="20"/>
                <w:color w:val="B4B4B4"/>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Additional paid-in-capital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144,197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Retained earnings (accumulated deficit)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(130,596)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(303,708)</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Accumulated other comprehensive income (loss)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(6,193)</w:t>
            </w:r>
          </w:p>
        </w:tc>
        <w:tc>
          <w:tcPr>
            <w:tcW w:w="0" w:type="dxa"/>
            <w:vAlign w:val="bottom"/>
          </w:tcPr>
          <w:p>
            <w:pPr>
              <w:spacing w:after="0"/>
              <w:rPr>
                <w:sz w:val="1"/>
                <w:szCs w:val="1"/>
                <w:color w:val="auto"/>
              </w:rPr>
            </w:pPr>
          </w:p>
        </w:tc>
      </w:tr>
      <w:tr>
        <w:trPr>
          <w:trHeight w:val="265"/>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Treasury stock, at cost (14,569,154 and 13,362,975 shares of Class A common stock</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at December 31, 2025 and December 31, 2024, respectively)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(138,449)</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(111,484)</w:t>
            </w:r>
          </w:p>
        </w:tc>
        <w:tc>
          <w:tcPr>
            <w:tcW w:w="0" w:type="dxa"/>
            <w:vAlign w:val="bottom"/>
          </w:tcPr>
          <w:p>
            <w:pPr>
              <w:spacing w:after="0"/>
              <w:rPr>
                <w:sz w:val="1"/>
                <w:szCs w:val="1"/>
                <w:color w:val="auto"/>
              </w:rPr>
            </w:pPr>
          </w:p>
        </w:tc>
      </w:tr>
      <w:tr>
        <w:trPr>
          <w:trHeight w:val="28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equity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(127,359)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(421,375)</w:t>
            </w:r>
          </w:p>
        </w:tc>
        <w:tc>
          <w:tcPr>
            <w:tcW w:w="0" w:type="dxa"/>
            <w:vAlign w:val="bottom"/>
          </w:tcPr>
          <w:p>
            <w:pPr>
              <w:spacing w:after="0"/>
              <w:rPr>
                <w:sz w:val="1"/>
                <w:szCs w:val="1"/>
                <w:color w:val="auto"/>
              </w:rPr>
            </w:pPr>
          </w:p>
        </w:tc>
      </w:tr>
      <w:tr>
        <w:trPr>
          <w:trHeight w:val="26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liabilities, redeemable non-controlling interests, and equity </w:t>
            </w:r>
            <w:r>
              <w:rPr>
                <w:rFonts w:ascii="Times New Roman" w:cs="Times New Roman" w:eastAsia="Times New Roman" w:hAnsi="Times New Roman"/>
                <w:sz w:val="20"/>
                <w:szCs w:val="20"/>
                <w:color w:val="B4B4B4"/>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797,637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876,751</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-7136765</wp:posOffset>
            </wp:positionV>
            <wp:extent cx="6296025" cy="7156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extLst>
                    </a:blip>
                    <a:srcRect/>
                    <a:stretch>
                      <a:fillRect/>
                    </a:stretch>
                  </pic:blipFill>
                  <pic:spPr bwMode="auto">
                    <a:xfrm>
                      <a:off x="0" y="0"/>
                      <a:ext cx="6296025" cy="7156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800"/>
          </w:cols>
          <w:pgMar w:left="1240" w:top="201" w:right="1200" w:bottom="0" w:gutter="0" w:footer="0" w:header="0"/>
        </w:sectPr>
      </w:pPr>
    </w:p>
    <w:p>
      <w:pPr>
        <w:spacing w:after="0" w:line="2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800"/>
          </w:cols>
          <w:pgMar w:left="1240" w:top="201" w:right="1200" w:bottom="0" w:gutter="0" w:footer="0" w:header="0"/>
          <w:type w:val="continuous"/>
        </w:sectPr>
      </w:pPr>
    </w:p>
    <w:bookmarkStart w:id="46" w:name="page47"/>
    <w:bookmarkEnd w:id="46"/>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08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4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Revenues </w:t>
            </w:r>
            <w:r>
              <w:rPr>
                <w:rFonts w:ascii="Times New Roman" w:cs="Times New Roman" w:eastAsia="Times New Roman" w:hAnsi="Times New Roman"/>
                <w:sz w:val="20"/>
                <w:szCs w:val="20"/>
                <w:color w:val="B4B4B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750,903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878,039</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648,652</w:t>
            </w:r>
          </w:p>
        </w:tc>
        <w:tc>
          <w:tcPr>
            <w:tcW w:w="0" w:type="dxa"/>
            <w:vAlign w:val="bottom"/>
          </w:tcPr>
          <w:p>
            <w:pPr>
              <w:spacing w:after="0"/>
              <w:rPr>
                <w:sz w:val="1"/>
                <w:szCs w:val="1"/>
                <w:color w:val="auto"/>
              </w:rPr>
            </w:pP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Compensation and benefits </w:t>
            </w:r>
            <w:r>
              <w:rPr>
                <w:rFonts w:ascii="Times New Roman" w:cs="Times New Roman" w:eastAsia="Times New Roman" w:hAnsi="Times New Roman"/>
                <w:sz w:val="20"/>
                <w:szCs w:val="20"/>
                <w:color w:val="B4B4B4"/>
              </w:rPr>
              <w:t>..............................................................</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425,594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525,941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426,572</w:t>
            </w:r>
          </w:p>
        </w:tc>
        <w:tc>
          <w:tcPr>
            <w:tcW w:w="0" w:type="dxa"/>
            <w:vAlign w:val="bottom"/>
          </w:tcPr>
          <w:p>
            <w:pPr>
              <w:spacing w:after="0"/>
              <w:rPr>
                <w:sz w:val="1"/>
                <w:szCs w:val="1"/>
                <w:color w:val="auto"/>
              </w:rPr>
            </w:pPr>
          </w:p>
        </w:tc>
      </w:tr>
      <w:tr>
        <w:trPr>
          <w:trHeight w:val="286"/>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Equity-based compensation </w:t>
            </w:r>
            <w:r>
              <w:rPr>
                <w:rFonts w:ascii="Times New Roman" w:cs="Times New Roman" w:eastAsia="Times New Roman" w:hAnsi="Times New Roman"/>
                <w:sz w:val="20"/>
                <w:szCs w:val="20"/>
                <w:color w:val="B4B4B4"/>
              </w:rPr>
              <w:t>.............................................................</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109,759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258,296</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182,375</w:t>
            </w:r>
          </w:p>
        </w:tc>
        <w:tc>
          <w:tcPr>
            <w:tcW w:w="0" w:type="dxa"/>
            <w:vAlign w:val="bottom"/>
          </w:tcPr>
          <w:p>
            <w:pPr>
              <w:spacing w:after="0"/>
              <w:rPr>
                <w:sz w:val="1"/>
                <w:szCs w:val="1"/>
                <w:color w:val="auto"/>
              </w:rPr>
            </w:pPr>
          </w:p>
        </w:tc>
      </w:tr>
      <w:tr>
        <w:trPr>
          <w:trHeight w:val="264"/>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compensation and benefits </w:t>
            </w:r>
            <w:r>
              <w:rPr>
                <w:rFonts w:ascii="Times New Roman" w:cs="Times New Roman" w:eastAsia="Times New Roman" w:hAnsi="Times New Roman"/>
                <w:sz w:val="20"/>
                <w:szCs w:val="20"/>
                <w:color w:val="B4B4B4"/>
              </w:rPr>
              <w:t>...................................................</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535,353</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784,237</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608,947</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Professional fees</w:t>
            </w:r>
            <w:r>
              <w:rPr>
                <w:rFonts w:ascii="Times New Roman" w:cs="Times New Roman" w:eastAsia="Times New Roman" w:hAnsi="Times New Roman"/>
                <w:sz w:val="20"/>
                <w:szCs w:val="20"/>
                <w:color w:val="B4B4B4"/>
              </w:rPr>
              <w:t>...............................................................................</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43,456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49,262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39,640</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Technology and infrastructure </w:t>
            </w:r>
            <w:r>
              <w:rPr>
                <w:rFonts w:ascii="Times New Roman" w:cs="Times New Roman" w:eastAsia="Times New Roman" w:hAnsi="Times New Roman"/>
                <w:sz w:val="20"/>
                <w:szCs w:val="20"/>
                <w:color w:val="B4B4B4"/>
              </w:rPr>
              <w:t>.........................................................</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38,004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35,721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34,462</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Rent and occupancy </w:t>
            </w:r>
            <w:r>
              <w:rPr>
                <w:rFonts w:ascii="Times New Roman" w:cs="Times New Roman" w:eastAsia="Times New Roman" w:hAnsi="Times New Roman"/>
                <w:sz w:val="20"/>
                <w:szCs w:val="20"/>
                <w:color w:val="B4B4B4"/>
              </w:rPr>
              <w:t>.........................................................................</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24,533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24,325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26,891</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Travel and related expenses </w:t>
            </w:r>
            <w:r>
              <w:rPr>
                <w:rFonts w:ascii="Times New Roman" w:cs="Times New Roman" w:eastAsia="Times New Roman" w:hAnsi="Times New Roman"/>
                <w:sz w:val="20"/>
                <w:szCs w:val="20"/>
                <w:color w:val="B4B4B4"/>
              </w:rPr>
              <w:t>.............................................................</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22,719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19,823</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19,030</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General, administrative and other expenses </w:t>
            </w:r>
            <w:r>
              <w:rPr>
                <w:rFonts w:ascii="Times New Roman" w:cs="Times New Roman" w:eastAsia="Times New Roman" w:hAnsi="Times New Roman"/>
                <w:sz w:val="20"/>
                <w:szCs w:val="20"/>
                <w:color w:val="B4B4B4"/>
              </w:rPr>
              <w:t>.....................................</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17,996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22,824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20,103</w:t>
            </w:r>
          </w:p>
        </w:tc>
        <w:tc>
          <w:tcPr>
            <w:tcW w:w="0" w:type="dxa"/>
            <w:vAlign w:val="bottom"/>
          </w:tcPr>
          <w:p>
            <w:pPr>
              <w:spacing w:after="0"/>
              <w:rPr>
                <w:sz w:val="1"/>
                <w:szCs w:val="1"/>
                <w:color w:val="auto"/>
              </w:rPr>
            </w:pPr>
          </w:p>
        </w:tc>
      </w:tr>
      <w:tr>
        <w:trPr>
          <w:trHeight w:val="286"/>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Depreciation and amortization </w:t>
            </w:r>
            <w:r>
              <w:rPr>
                <w:rFonts w:ascii="Times New Roman" w:cs="Times New Roman" w:eastAsia="Times New Roman" w:hAnsi="Times New Roman"/>
                <w:sz w:val="20"/>
                <w:szCs w:val="20"/>
                <w:color w:val="B4B4B4"/>
              </w:rPr>
              <w:t>.........................................................</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20,832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20,379</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14,679</w:t>
            </w:r>
          </w:p>
        </w:tc>
        <w:tc>
          <w:tcPr>
            <w:tcW w:w="0" w:type="dxa"/>
            <w:vAlign w:val="bottom"/>
          </w:tcPr>
          <w:p>
            <w:pPr>
              <w:spacing w:after="0"/>
              <w:rPr>
                <w:sz w:val="1"/>
                <w:szCs w:val="1"/>
                <w:color w:val="auto"/>
              </w:rPr>
            </w:pPr>
          </w:p>
        </w:tc>
      </w:tr>
      <w:tr>
        <w:trPr>
          <w:trHeight w:val="26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expenses </w:t>
            </w:r>
            <w:r>
              <w:rPr>
                <w:rFonts w:ascii="Times New Roman" w:cs="Times New Roman" w:eastAsia="Times New Roman" w:hAnsi="Times New Roman"/>
                <w:sz w:val="20"/>
                <w:szCs w:val="20"/>
                <w:color w:val="B4B4B4"/>
              </w:rPr>
              <w:t>...............................................................................</w:t>
            </w: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702,893</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956,571</w:t>
            </w:r>
          </w:p>
        </w:tc>
        <w:tc>
          <w:tcPr>
            <w:tcW w:w="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763,752</w:t>
            </w:r>
          </w:p>
        </w:tc>
        <w:tc>
          <w:tcPr>
            <w:tcW w:w="0" w:type="dxa"/>
            <w:vAlign w:val="bottom"/>
          </w:tcPr>
          <w:p>
            <w:pPr>
              <w:spacing w:after="0"/>
              <w:rPr>
                <w:sz w:val="1"/>
                <w:szCs w:val="1"/>
                <w:color w:val="auto"/>
              </w:rPr>
            </w:pPr>
          </w:p>
        </w:tc>
      </w:tr>
      <w:tr>
        <w:trPr>
          <w:trHeight w:val="26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Operating income (loss) </w:t>
            </w:r>
            <w:r>
              <w:rPr>
                <w:rFonts w:ascii="Times New Roman" w:cs="Times New Roman" w:eastAsia="Times New Roman" w:hAnsi="Times New Roman"/>
                <w:sz w:val="20"/>
                <w:szCs w:val="20"/>
                <w:color w:val="B4B4B4"/>
              </w:rPr>
              <w:t>..................................................................</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48,010</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(78,532)</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(115,100)</w:t>
            </w:r>
          </w:p>
        </w:tc>
        <w:tc>
          <w:tcPr>
            <w:tcW w:w="0" w:type="dxa"/>
            <w:vAlign w:val="bottom"/>
          </w:tcPr>
          <w:p>
            <w:pPr>
              <w:spacing w:after="0"/>
              <w:rPr>
                <w:sz w:val="1"/>
                <w:szCs w:val="1"/>
                <w:color w:val="auto"/>
              </w:rPr>
            </w:pP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Non-operating income (expenses)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Related party income</w:t>
            </w:r>
            <w:r>
              <w:rPr>
                <w:rFonts w:ascii="Times New Roman" w:cs="Times New Roman" w:eastAsia="Times New Roman" w:hAnsi="Times New Roman"/>
                <w:sz w:val="20"/>
                <w:szCs w:val="20"/>
                <w:color w:val="B4B4B4"/>
              </w:rPr>
              <w:t>........................................................................</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w:t>
            </w:r>
          </w:p>
        </w:tc>
        <w:tc>
          <w:tcPr>
            <w:tcW w:w="0" w:type="dxa"/>
            <w:vAlign w:val="bottom"/>
          </w:tcPr>
          <w:p>
            <w:pPr>
              <w:spacing w:after="0"/>
              <w:rPr>
                <w:sz w:val="1"/>
                <w:szCs w:val="1"/>
                <w:color w:val="auto"/>
              </w:rPr>
            </w:pPr>
          </w:p>
        </w:tc>
      </w:tr>
      <w:tr>
        <w:trPr>
          <w:trHeight w:val="288"/>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income (expense) </w:t>
            </w:r>
            <w:r>
              <w:rPr>
                <w:rFonts w:ascii="Times New Roman" w:cs="Times New Roman" w:eastAsia="Times New Roman" w:hAnsi="Times New Roman"/>
                <w:sz w:val="20"/>
                <w:szCs w:val="20"/>
                <w:color w:val="B4B4B4"/>
              </w:rPr>
              <w:t>...................................................................</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10,277</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1,348</w:t>
            </w:r>
          </w:p>
        </w:tc>
        <w:tc>
          <w:tcPr>
            <w:tcW w:w="0" w:type="dxa"/>
            <w:vAlign w:val="bottom"/>
          </w:tcPr>
          <w:p>
            <w:pPr>
              <w:spacing w:after="0"/>
              <w:rPr>
                <w:sz w:val="1"/>
                <w:szCs w:val="1"/>
                <w:color w:val="auto"/>
              </w:rPr>
            </w:pPr>
          </w:p>
        </w:tc>
      </w:tr>
      <w:tr>
        <w:trPr>
          <w:trHeight w:val="263"/>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non-operating income (expenses) </w:t>
            </w:r>
            <w:r>
              <w:rPr>
                <w:rFonts w:ascii="Times New Roman" w:cs="Times New Roman" w:eastAsia="Times New Roman" w:hAnsi="Times New Roman"/>
                <w:sz w:val="20"/>
                <w:szCs w:val="20"/>
                <w:color w:val="B4B4B4"/>
              </w:rPr>
              <w:t>........................................</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10,277</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2,280</w:t>
            </w:r>
          </w:p>
        </w:tc>
        <w:tc>
          <w:tcPr>
            <w:tcW w:w="0" w:type="dxa"/>
            <w:vAlign w:val="bottom"/>
          </w:tcPr>
          <w:p>
            <w:pPr>
              <w:spacing w:after="0"/>
              <w:rPr>
                <w:sz w:val="1"/>
                <w:szCs w:val="1"/>
                <w:color w:val="auto"/>
              </w:rPr>
            </w:pPr>
          </w:p>
        </w:tc>
      </w:tr>
      <w:tr>
        <w:trPr>
          <w:trHeight w:val="26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xml:space="preserve">Income (loss) before income taxes </w:t>
            </w:r>
            <w:r>
              <w:rPr>
                <w:rFonts w:ascii="Times New Roman" w:cs="Times New Roman" w:eastAsia="Times New Roman" w:hAnsi="Times New Roman"/>
                <w:sz w:val="20"/>
                <w:szCs w:val="20"/>
                <w:color w:val="B4B4B4"/>
                <w:w w:val="99"/>
              </w:rPr>
              <w:t>..................................................</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51,515</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(68,255)</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(112,820)</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Income tax expense (benefit) </w:t>
            </w:r>
            <w:r>
              <w:rPr>
                <w:rFonts w:ascii="Times New Roman" w:cs="Times New Roman" w:eastAsia="Times New Roman" w:hAnsi="Times New Roman"/>
                <w:sz w:val="20"/>
                <w:szCs w:val="20"/>
                <w:color w:val="B4B4B4"/>
              </w:rPr>
              <w:t>...........................................................</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3,512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21,089</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(980)</w:t>
            </w:r>
          </w:p>
        </w:tc>
        <w:tc>
          <w:tcPr>
            <w:tcW w:w="0" w:type="dxa"/>
            <w:vAlign w:val="bottom"/>
          </w:tcPr>
          <w:p>
            <w:pPr>
              <w:spacing w:after="0"/>
              <w:rPr>
                <w:sz w:val="1"/>
                <w:szCs w:val="1"/>
                <w:color w:val="auto"/>
              </w:rPr>
            </w:pPr>
          </w:p>
        </w:tc>
      </w:tr>
      <w:tr>
        <w:trPr>
          <w:trHeight w:val="26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xml:space="preserve">Net income (loss) </w:t>
            </w:r>
            <w:r>
              <w:rPr>
                <w:rFonts w:ascii="Times New Roman" w:cs="Times New Roman" w:eastAsia="Times New Roman" w:hAnsi="Times New Roman"/>
                <w:sz w:val="20"/>
                <w:szCs w:val="20"/>
                <w:color w:val="B4B4B4"/>
                <w:w w:val="99"/>
              </w:rPr>
              <w:t>..............................................................................</w:t>
            </w: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48,003</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(89,344)</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(111,840)</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Less: Net income (loss) attributable to non-controlling interests </w:t>
            </w:r>
            <w:r>
              <w:rPr>
                <w:rFonts w:ascii="Times New Roman" w:cs="Times New Roman" w:eastAsia="Times New Roman" w:hAnsi="Times New Roman"/>
                <w:sz w:val="20"/>
                <w:szCs w:val="20"/>
                <w:color w:val="B4B4B4"/>
                <w:w w:val="98"/>
              </w:rPr>
              <w:t>.......</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12,526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(24,616)</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(94,617)</w:t>
            </w:r>
          </w:p>
        </w:tc>
        <w:tc>
          <w:tcPr>
            <w:tcW w:w="0" w:type="dxa"/>
            <w:vAlign w:val="bottom"/>
          </w:tcPr>
          <w:p>
            <w:pPr>
              <w:spacing w:after="0"/>
              <w:rPr>
                <w:sz w:val="1"/>
                <w:szCs w:val="1"/>
                <w:color w:val="auto"/>
              </w:rPr>
            </w:pPr>
          </w:p>
        </w:tc>
      </w:tr>
      <w:tr>
        <w:trPr>
          <w:trHeight w:val="248"/>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Net income (loss) attributable to Perella Weinberg Partners</w:t>
            </w:r>
            <w:r>
              <w:rPr>
                <w:rFonts w:ascii="Times New Roman" w:cs="Times New Roman" w:eastAsia="Times New Roman" w:hAnsi="Times New Roman"/>
                <w:sz w:val="20"/>
                <w:szCs w:val="20"/>
                <w:b w:val="1"/>
                <w:bCs w:val="1"/>
                <w:color w:val="B4B4B4"/>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35,477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(64,728)</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(17,223)</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line="202" w:lineRule="exact"/>
              <w:rPr>
                <w:sz w:val="20"/>
                <w:szCs w:val="20"/>
                <w:color w:val="auto"/>
              </w:rPr>
            </w:pPr>
            <w:r>
              <w:rPr>
                <w:rFonts w:ascii="Times New Roman" w:cs="Times New Roman" w:eastAsia="Times New Roman" w:hAnsi="Times New Roman"/>
                <w:sz w:val="20"/>
                <w:szCs w:val="20"/>
                <w:b w:val="1"/>
                <w:bCs w:val="1"/>
                <w:color w:val="auto"/>
              </w:rPr>
              <w:t>Net income (loss) per share attributable to Class A common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shareholders</w:t>
            </w: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Basic </w:t>
            </w:r>
            <w:r>
              <w:rPr>
                <w:rFonts w:ascii="Times New Roman" w:cs="Times New Roman" w:eastAsia="Times New Roman" w:hAnsi="Times New Roman"/>
                <w:sz w:val="20"/>
                <w:szCs w:val="20"/>
                <w:color w:val="B4B4B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(0.40)</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Diluted </w:t>
            </w:r>
            <w:r>
              <w:rPr>
                <w:rFonts w:ascii="Times New Roman" w:cs="Times New Roman" w:eastAsia="Times New Roman" w:hAnsi="Times New Roman"/>
                <w:sz w:val="20"/>
                <w:szCs w:val="20"/>
                <w:color w:val="B4B4B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Weighted-average shares of Class A common stock outstanding</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Basic </w:t>
            </w:r>
            <w:r>
              <w:rPr>
                <w:rFonts w:ascii="Times New Roman" w:cs="Times New Roman" w:eastAsia="Times New Roman" w:hAnsi="Times New Roman"/>
                <w:sz w:val="20"/>
                <w:szCs w:val="20"/>
                <w:color w:val="B4B4B4"/>
              </w:rPr>
              <w:t>.................................................................................................</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64,208,733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53,187,995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43,273,939</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Diluted </w:t>
            </w:r>
            <w:r>
              <w:rPr>
                <w:rFonts w:ascii="Times New Roman" w:cs="Times New Roman" w:eastAsia="Times New Roman" w:hAnsi="Times New Roman"/>
                <w:sz w:val="20"/>
                <w:szCs w:val="20"/>
                <w:color w:val="B4B4B4"/>
              </w:rPr>
              <w:t>..............................................................................................</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100,848,937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53,187,995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86,779,052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-5185410</wp:posOffset>
            </wp:positionV>
            <wp:extent cx="6286500" cy="5207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extLst>
                    </a:blip>
                    <a:srcRect/>
                    <a:stretch>
                      <a:fillRect/>
                    </a:stretch>
                  </pic:blipFill>
                  <pic:spPr bwMode="auto">
                    <a:xfrm>
                      <a:off x="0" y="0"/>
                      <a:ext cx="6286500" cy="520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780"/>
          </w:cols>
          <w:pgMar w:left="1260" w:top="201" w:right="1200" w:bottom="169" w:gutter="0" w:footer="0" w:header="0"/>
        </w:sectPr>
      </w:pP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780"/>
          </w:cols>
          <w:pgMar w:left="1260" w:top="201" w:right="1200" w:bottom="169"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Net income (loss) </w:t>
            </w:r>
            <w:r>
              <w:rPr>
                <w:rFonts w:ascii="Times New Roman" w:cs="Times New Roman" w:eastAsia="Times New Roman" w:hAnsi="Times New Roman"/>
                <w:sz w:val="20"/>
                <w:szCs w:val="20"/>
                <w:b w:val="1"/>
                <w:bCs w:val="1"/>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48,003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(89,344)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(111,840)</w:t>
            </w:r>
          </w:p>
        </w:tc>
        <w:tc>
          <w:tcPr>
            <w:tcW w:w="0" w:type="dxa"/>
            <w:vAlign w:val="bottom"/>
          </w:tcPr>
          <w:p>
            <w:pPr>
              <w:spacing w:after="0"/>
              <w:rPr>
                <w:sz w:val="1"/>
                <w:szCs w:val="1"/>
                <w:color w:val="auto"/>
              </w:rPr>
            </w:pPr>
          </w:p>
        </w:tc>
      </w:tr>
      <w:tr>
        <w:trPr>
          <w:trHeight w:val="286"/>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Foreign currency translation gain (loss), net of tax </w:t>
            </w:r>
            <w:r>
              <w:rPr>
                <w:rFonts w:ascii="Times New Roman" w:cs="Times New Roman" w:eastAsia="Times New Roman" w:hAnsi="Times New Roman"/>
                <w:sz w:val="20"/>
                <w:szCs w:val="20"/>
                <w:color w:val="B4B4B4"/>
                <w:w w:val="99"/>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5,290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4,131</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Comprehensive income (loss) </w:t>
            </w:r>
            <w:r>
              <w:rPr>
                <w:rFonts w:ascii="Times New Roman" w:cs="Times New Roman" w:eastAsia="Times New Roman" w:hAnsi="Times New Roman"/>
                <w:sz w:val="20"/>
                <w:szCs w:val="20"/>
                <w:b w:val="1"/>
                <w:bCs w:val="1"/>
                <w:color w:val="B4B4B4"/>
              </w:rPr>
              <w:t>.........................................................</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53,293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(91,878)</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(107,709)</w:t>
            </w:r>
          </w:p>
        </w:tc>
        <w:tc>
          <w:tcPr>
            <w:tcW w:w="0" w:type="dxa"/>
            <w:vAlign w:val="bottom"/>
          </w:tcPr>
          <w:p>
            <w:pPr>
              <w:spacing w:after="0"/>
              <w:rPr>
                <w:sz w:val="1"/>
                <w:szCs w:val="1"/>
                <w:color w:val="auto"/>
              </w:rPr>
            </w:pPr>
          </w:p>
        </w:tc>
      </w:tr>
      <w:tr>
        <w:trPr>
          <w:trHeight w:val="205"/>
        </w:trPr>
        <w:tc>
          <w:tcPr>
            <w:tcW w:w="548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Less: Comprehensive income (loss) attributable to non-controlling</w:t>
            </w:r>
          </w:p>
        </w:tc>
        <w:tc>
          <w:tcPr>
            <w:tcW w:w="3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14,144</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(25,437)</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(92,544)</w:t>
            </w:r>
          </w:p>
        </w:tc>
        <w:tc>
          <w:tcPr>
            <w:tcW w:w="0" w:type="dxa"/>
            <w:vAlign w:val="bottom"/>
          </w:tcPr>
          <w:p>
            <w:pPr>
              <w:spacing w:after="0"/>
              <w:rPr>
                <w:sz w:val="1"/>
                <w:szCs w:val="1"/>
                <w:color w:val="auto"/>
              </w:rPr>
            </w:pPr>
          </w:p>
        </w:tc>
      </w:tr>
      <w:tr>
        <w:trPr>
          <w:trHeight w:val="261"/>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interests </w:t>
            </w:r>
            <w:r>
              <w:rPr>
                <w:rFonts w:ascii="Times New Roman" w:cs="Times New Roman" w:eastAsia="Times New Roman" w:hAnsi="Times New Roman"/>
                <w:sz w:val="20"/>
                <w:szCs w:val="20"/>
                <w:color w:val="B4B4B4"/>
                <w:w w:val="99"/>
              </w:rPr>
              <w:t>...............................................................................................</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line="184" w:lineRule="exact"/>
              <w:rPr>
                <w:sz w:val="20"/>
                <w:szCs w:val="20"/>
                <w:color w:val="auto"/>
              </w:rPr>
            </w:pPr>
            <w:r>
              <w:rPr>
                <w:rFonts w:ascii="Times New Roman" w:cs="Times New Roman" w:eastAsia="Times New Roman" w:hAnsi="Times New Roman"/>
                <w:sz w:val="20"/>
                <w:szCs w:val="20"/>
                <w:b w:val="1"/>
                <w:bCs w:val="1"/>
                <w:color w:val="auto"/>
              </w:rPr>
              <w:t>Comprehensive income (loss) attributable to Perella Weinberg</w:t>
            </w:r>
          </w:p>
        </w:tc>
        <w:tc>
          <w:tcPr>
            <w:tcW w:w="3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39,149</w:t>
            </w: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(66,441)</w:t>
            </w:r>
          </w:p>
        </w:tc>
        <w:tc>
          <w:tcPr>
            <w:tcW w:w="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(15,165)</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Partners </w:t>
            </w:r>
            <w:r>
              <w:rPr>
                <w:rFonts w:ascii="Times New Roman" w:cs="Times New Roman" w:eastAsia="Times New Roman" w:hAnsi="Times New Roman"/>
                <w:sz w:val="20"/>
                <w:szCs w:val="20"/>
                <w:b w:val="1"/>
                <w:bCs w:val="1"/>
                <w:color w:val="B4B4B4"/>
              </w:rPr>
              <w:t>............................................................................................</w:t>
            </w:r>
          </w:p>
        </w:tc>
        <w:tc>
          <w:tcPr>
            <w:tcW w:w="3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480" w:type="dxa"/>
            <w:vAlign w:val="bottom"/>
            <w:gridSpan w:val="2"/>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-1164590</wp:posOffset>
            </wp:positionV>
            <wp:extent cx="6286500" cy="1184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extLst>
                    </a:blip>
                    <a:srcRect/>
                    <a:stretch>
                      <a:fillRect/>
                    </a:stretch>
                  </pic:blipFill>
                  <pic:spPr bwMode="auto">
                    <a:xfrm>
                      <a:off x="0" y="0"/>
                      <a:ext cx="6286500" cy="1184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800"/>
          </w:cols>
          <w:pgMar w:left="1220" w:top="201" w:right="1220" w:bottom="169"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800"/>
          </w:cols>
          <w:pgMar w:left="1220" w:top="201" w:right="1220" w:bottom="169" w:gutter="0" w:footer="0" w:header="0"/>
          <w:type w:val="continuous"/>
        </w:sectPr>
      </w:pPr>
    </w:p>
    <w:bookmarkStart w:id="48" w:name="page49"/>
    <w:bookmarkEnd w:id="48"/>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Equity and Redeemable Non-Controlling Interests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9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96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6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Earnings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Non-</w:t>
            </w: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Common</w:t>
            </w: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Common</w:t>
            </w: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Common</w:t>
            </w:r>
          </w:p>
        </w:tc>
        <w:tc>
          <w:tcPr>
            <w:tcW w:w="60" w:type="dxa"/>
            <w:vAlign w:val="bottom"/>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Common</w:t>
            </w: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20"/>
              <w:spacing w:after="0" w:line="160"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3"/>
                <w:szCs w:val="13"/>
                <w:color w:val="auto"/>
              </w:rPr>
            </w:pPr>
          </w:p>
        </w:tc>
        <w:tc>
          <w:tcPr>
            <w:tcW w:w="10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60" w:type="dxa"/>
            <w:vAlign w:val="bottom"/>
          </w:tcPr>
          <w:p>
            <w:pPr>
              <w:spacing w:after="0"/>
              <w:rPr>
                <w:sz w:val="13"/>
                <w:szCs w:val="13"/>
                <w:color w:val="auto"/>
              </w:rPr>
            </w:pPr>
          </w:p>
        </w:tc>
        <w:tc>
          <w:tcPr>
            <w:tcW w:w="120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60" w:type="dxa"/>
            <w:vAlign w:val="bottom"/>
          </w:tcPr>
          <w:p>
            <w:pPr>
              <w:spacing w:after="0"/>
              <w:rPr>
                <w:sz w:val="13"/>
                <w:szCs w:val="13"/>
                <w:color w:val="auto"/>
              </w:rPr>
            </w:pPr>
          </w:p>
        </w:tc>
        <w:tc>
          <w:tcPr>
            <w:tcW w:w="9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Controlling</w:t>
            </w:r>
          </w:p>
        </w:tc>
        <w:tc>
          <w:tcPr>
            <w:tcW w:w="0" w:type="dxa"/>
            <w:vAlign w:val="bottom"/>
          </w:tcPr>
          <w:p>
            <w:pPr>
              <w:spacing w:after="0"/>
              <w:rPr>
                <w:sz w:val="1"/>
                <w:szCs w:val="1"/>
                <w:color w:val="auto"/>
              </w:rPr>
            </w:pPr>
          </w:p>
        </w:tc>
      </w:tr>
      <w:tr>
        <w:trPr>
          <w:trHeight w:val="212"/>
        </w:trPr>
        <w:tc>
          <w:tcPr>
            <w:tcW w:w="29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60" w:type="dxa"/>
            <w:vAlign w:val="bottom"/>
          </w:tcPr>
          <w:p>
            <w:pPr>
              <w:spacing w:after="0"/>
              <w:rPr>
                <w:sz w:val="18"/>
                <w:szCs w:val="18"/>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Interests</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at December 31, 2022 </w:t>
            </w:r>
            <w:r>
              <w:rPr>
                <w:rFonts w:ascii="Times New Roman" w:cs="Times New Roman" w:eastAsia="Times New Roman" w:hAnsi="Times New Roman"/>
                <w:sz w:val="16"/>
                <w:szCs w:val="16"/>
                <w:b w:val="1"/>
                <w:bCs w:val="1"/>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52,237,247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44,563,877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(10,492,286)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242,129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(6,538)</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122,678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Net income (loss) </w:t>
            </w:r>
            <w:r>
              <w:rPr>
                <w:rFonts w:ascii="Times New Roman" w:cs="Times New Roman" w:eastAsia="Times New Roman" w:hAnsi="Times New Roman"/>
                <w:sz w:val="16"/>
                <w:szCs w:val="16"/>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(94,616)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Equity-based awards </w:t>
            </w:r>
            <w:r>
              <w:rPr>
                <w:rFonts w:ascii="Times New Roman" w:cs="Times New Roman" w:eastAsia="Times New Roman" w:hAnsi="Times New Roman"/>
                <w:sz w:val="16"/>
                <w:szCs w:val="16"/>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106,248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78,216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184,464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Distributions to partners </w:t>
            </w:r>
            <w:r>
              <w:rPr>
                <w:rFonts w:ascii="Times New Roman" w:cs="Times New Roman" w:eastAsia="Times New Roman" w:hAnsi="Times New Roman"/>
                <w:sz w:val="16"/>
                <w:szCs w:val="16"/>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A common stock for</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vested PWP Incentive Plan Awards </w:t>
            </w:r>
            <w:r>
              <w:rPr>
                <w:rFonts w:ascii="Times New Roman" w:cs="Times New Roman" w:eastAsia="Times New Roman" w:hAnsi="Times New Roman"/>
                <w:sz w:val="16"/>
                <w:szCs w:val="16"/>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2,146,320</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150,745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 payments on vested PWP</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Incentive Plan Awards </w:t>
            </w:r>
            <w:r>
              <w:rPr>
                <w:rFonts w:ascii="Times New Roman" w:cs="Times New Roman" w:eastAsia="Times New Roman" w:hAnsi="Times New Roman"/>
                <w:sz w:val="16"/>
                <w:szCs w:val="16"/>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($0.28 per share of Class</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A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Foreign currency translation gain (loss) </w:t>
            </w:r>
            <w:r>
              <w:rPr>
                <w:rFonts w:ascii="Times New Roman" w:cs="Times New Roman" w:eastAsia="Times New Roman" w:hAnsi="Times New Roman"/>
                <w:sz w:val="16"/>
                <w:szCs w:val="16"/>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6"/>
                <w:szCs w:val="16"/>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Exchange of PWP OpCo Units and</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corresponding Class B common stock for</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 (Note 11—</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 and Redeemable Non-</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Controlling Interests)</w:t>
            </w:r>
            <w:r>
              <w:rPr>
                <w:rFonts w:ascii="Times New Roman" w:cs="Times New Roman" w:eastAsia="Times New Roman" w:hAnsi="Times New Roman"/>
                <w:sz w:val="16"/>
                <w:szCs w:val="16"/>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2,977,506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(2,974,538)</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Treasury stock purchases </w:t>
            </w:r>
            <w:r>
              <w:rPr>
                <w:rFonts w:ascii="Times New Roman" w:cs="Times New Roman" w:eastAsia="Times New Roman" w:hAnsi="Times New Roman"/>
                <w:sz w:val="16"/>
                <w:szCs w:val="16"/>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(2,376,683)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Change in ownership interests</w:t>
            </w:r>
            <w:r>
              <w:rPr>
                <w:rFonts w:ascii="Times New Roman" w:cs="Times New Roman" w:eastAsia="Times New Roman" w:hAnsi="Times New Roman"/>
                <w:sz w:val="16"/>
                <w:szCs w:val="16"/>
                <w:color w:val="B4B4B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(20,668)</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20,668</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at December 31, 2023 </w:t>
            </w:r>
            <w:r>
              <w:rPr>
                <w:rFonts w:ascii="Times New Roman" w:cs="Times New Roman" w:eastAsia="Times New Roman" w:hAnsi="Times New Roman"/>
                <w:sz w:val="16"/>
                <w:szCs w:val="16"/>
                <w:b w:val="1"/>
                <w:bCs w:val="1"/>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57,361,073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41,589,339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(12,718,224)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(100,747)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115,590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(64,728)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(98,884)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9,540</w:t>
            </w: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Effect of the Merger and related transactions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(6,149,211)</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(109,737)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(109,674)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97,496</w:t>
            </w: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liability-classified equity-</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based awards </w:t>
            </w:r>
            <w:r>
              <w:rPr>
                <w:rFonts w:ascii="Times New Roman" w:cs="Times New Roman" w:eastAsia="Times New Roman" w:hAnsi="Times New Roman"/>
                <w:sz w:val="16"/>
                <w:szCs w:val="16"/>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6,704</w:t>
            </w: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Equity-based awards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115,558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60,794</w:t>
            </w: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partners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(19,638)</w:t>
            </w: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A common stock for</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vested PWP Incentive Plan Awards </w:t>
            </w:r>
            <w:r>
              <w:rPr>
                <w:rFonts w:ascii="Times New Roman" w:cs="Times New Roman" w:eastAsia="Times New Roman" w:hAnsi="Times New Roman"/>
                <w:sz w:val="16"/>
                <w:szCs w:val="16"/>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4,654,302</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355,249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 payments on vested PWP</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Incentive Plan Awards and equity-classified</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ACUs </w:t>
            </w:r>
            <w:r>
              <w:rPr>
                <w:rFonts w:ascii="Times New Roman" w:cs="Times New Roman" w:eastAsia="Times New Roman" w:hAnsi="Times New Roman"/>
                <w:sz w:val="16"/>
                <w:szCs w:val="16"/>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(12,534)</w:t>
            </w: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($0.28 per share of Class</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A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gain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64"/>
        </w:trPr>
        <w:tc>
          <w:tcPr>
            <w:tcW w:w="2960" w:type="dxa"/>
            <w:vAlign w:val="bottom"/>
          </w:tcPr>
          <w:p>
            <w:pPr>
              <w:spacing w:after="0"/>
              <w:rPr>
                <w:sz w:val="22"/>
                <w:szCs w:val="22"/>
                <w:color w:val="auto"/>
              </w:rPr>
            </w:pPr>
          </w:p>
        </w:tc>
        <w:tc>
          <w:tcPr>
            <w:tcW w:w="7880" w:type="dxa"/>
            <w:vAlign w:val="bottom"/>
            <w:gridSpan w:val="23"/>
          </w:tcPr>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w w:val="97"/>
              </w:rPr>
              <w:t>The accompanying notes are an integral part of these consolidated financial statements.</w:t>
            </w: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-5282565</wp:posOffset>
            </wp:positionV>
            <wp:extent cx="9359900" cy="5168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extLst>
                    </a:blip>
                    <a:srcRect/>
                    <a:stretch>
                      <a:fillRect/>
                    </a:stretch>
                  </pic:blipFill>
                  <pic:spPr bwMode="auto">
                    <a:xfrm>
                      <a:off x="0" y="0"/>
                      <a:ext cx="9359900" cy="5168900"/>
                    </a:xfrm>
                    <a:prstGeom prst="rect">
                      <a:avLst/>
                    </a:prstGeom>
                    <a:noFill/>
                  </pic:spPr>
                </pic:pic>
              </a:graphicData>
            </a:graphic>
          </wp:anchor>
        </w:drawing>
      </w:r>
    </w:p>
    <w:p>
      <w:pPr>
        <w:sectPr>
          <w:pgSz w:w="15840" w:h="12240" w:orient="landscape"/>
          <w:cols w:equalWidth="0" w:num="1">
            <w:col w:w="14660"/>
          </w:cols>
          <w:pgMar w:left="620" w:top="201" w:right="560" w:bottom="169" w:gutter="0" w:footer="0" w:header="0"/>
        </w:sectPr>
      </w:pPr>
    </w:p>
    <w:p>
      <w:pPr>
        <w:spacing w:after="0" w:line="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47</w:t>
      </w:r>
    </w:p>
    <w:p>
      <w:pPr>
        <w:sectPr>
          <w:pgSz w:w="15840" w:h="12240" w:orient="landscape"/>
          <w:cols w:equalWidth="0" w:num="1">
            <w:col w:w="14660"/>
          </w:cols>
          <w:pgMar w:left="620" w:top="201" w:right="560" w:bottom="169" w:gutter="0" w:footer="0" w:header="0"/>
          <w:type w:val="continuous"/>
        </w:sectPr>
      </w:pPr>
    </w:p>
    <w:bookmarkStart w:id="49" w:name="page50"/>
    <w:bookmarkEnd w:id="49"/>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Equity and Redeemable Non-Controlling Interests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A common stock in public</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offering (Note 11—Stockholders’ Equity</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and Redeemable Non-Controlling Interests) </w:t>
            </w:r>
            <w:r>
              <w:rPr>
                <w:rFonts w:ascii="Times New Roman" w:cs="Times New Roman" w:eastAsia="Times New Roman" w:hAnsi="Times New Roman"/>
                <w:sz w:val="16"/>
                <w:szCs w:val="16"/>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5,750,000</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65,986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65,987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Exchange of PWP OpCo Units and</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corresponding Class B common stock for</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cash (Note 11—Stockholders’ Equity and</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Redeemable Non-Controlling Interests)</w:t>
            </w:r>
            <w:r>
              <w:rPr>
                <w:rFonts w:ascii="Times New Roman" w:cs="Times New Roman" w:eastAsia="Times New Roman" w:hAnsi="Times New Roman"/>
                <w:sz w:val="16"/>
                <w:szCs w:val="16"/>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(3,204,979)</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(7,439)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(57,105)</w:t>
            </w:r>
          </w:p>
        </w:tc>
      </w:tr>
      <w:tr>
        <w:trPr>
          <w:trHeight w:val="232"/>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Exchange of PWP OpCo Units and</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0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corresponding Class B common stock for</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 (Note 11—</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 and Redeemable Non-</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Controlling Interests)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4,779,321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(4,774,549)</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6,626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Treasury stock purchase</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Changes in ownership interests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22,352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(22,352)</w:t>
            </w:r>
          </w:p>
        </w:tc>
      </w:tr>
      <w:tr>
        <w:trPr>
          <w:trHeight w:val="25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Changes in redemption value of redeemable</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12"/>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(426,573)</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(161,599)</w:t>
            </w:r>
          </w:p>
        </w:tc>
        <w:tc>
          <w:tcPr>
            <w:tcW w:w="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(588,172)</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588,172</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at December 31, 2024 </w:t>
            </w:r>
            <w:r>
              <w:rPr>
                <w:rFonts w:ascii="Times New Roman" w:cs="Times New Roman" w:eastAsia="Times New Roman" w:hAnsi="Times New Roman"/>
                <w:sz w:val="16"/>
                <w:szCs w:val="16"/>
                <w:b w:val="1"/>
                <w:bCs w:val="1"/>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72,544,696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27,460,600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(13,362,975)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(111,484)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(303,708)</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(421,375)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651,140</w:t>
            </w: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35,477</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35,477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12,526</w:t>
            </w:r>
          </w:p>
        </w:tc>
      </w:tr>
      <w:tr>
        <w:trPr>
          <w:trHeight w:val="25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A common stock related to</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Devon Park Acquisition</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355,036</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22,708</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22,708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Equity-based awards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82,409</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110,495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A common stock for</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vested PWP Incentive Plan Awards </w:t>
            </w:r>
            <w:r>
              <w:rPr>
                <w:rFonts w:ascii="Times New Roman" w:cs="Times New Roman" w:eastAsia="Times New Roman" w:hAnsi="Times New Roman"/>
                <w:sz w:val="16"/>
                <w:szCs w:val="16"/>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4,354,013</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623,158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6,690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(6,690)</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 payments on vested PWP</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Incentive Plan Awards and equity-classified</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ACUs </w:t>
            </w:r>
            <w:r>
              <w:rPr>
                <w:rFonts w:ascii="Times New Roman" w:cs="Times New Roman" w:eastAsia="Times New Roman" w:hAnsi="Times New Roman"/>
                <w:sz w:val="16"/>
                <w:szCs w:val="16"/>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(76,802)</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(78,083)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($0.28 per share of Class</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A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(23,642)</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(23,560)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gain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3,672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Exchange of PWP OpCo Units and</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0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corresponding Class B common stock for</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cash (Note 11—Stockholders’ Equity and</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Redeemable Non-Controlling Interests)</w:t>
            </w:r>
            <w:r>
              <w:rPr>
                <w:rFonts w:ascii="Times New Roman" w:cs="Times New Roman" w:eastAsia="Times New Roman" w:hAnsi="Times New Roman"/>
                <w:sz w:val="16"/>
                <w:szCs w:val="16"/>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(1,270,086)</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(28,792)</w:t>
            </w:r>
          </w:p>
        </w:tc>
      </w:tr>
      <w:tr>
        <w:trPr>
          <w:trHeight w:val="232"/>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Exchange of PWP OpCo Units and</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0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corresponding Class B common stock for</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 (Note 11—</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 and Redeemable Non-</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Controlling Interests)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4,055,056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(4,051,008)</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Treasury stock purchase</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(1,829,337)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(33,655)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(33,655)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Change in ownership interests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(9,580)</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(9,100)</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9,100</w:t>
            </w:r>
          </w:p>
        </w:tc>
      </w:tr>
      <w:tr>
        <w:trPr>
          <w:trHeight w:val="264"/>
        </w:trPr>
        <w:tc>
          <w:tcPr>
            <w:tcW w:w="2960" w:type="dxa"/>
            <w:vAlign w:val="bottom"/>
          </w:tcPr>
          <w:p>
            <w:pPr>
              <w:spacing w:after="0"/>
              <w:rPr>
                <w:sz w:val="22"/>
                <w:szCs w:val="22"/>
                <w:color w:val="auto"/>
              </w:rPr>
            </w:pPr>
          </w:p>
        </w:tc>
        <w:tc>
          <w:tcPr>
            <w:tcW w:w="8040" w:type="dxa"/>
            <w:vAlign w:val="bottom"/>
            <w:gridSpan w:val="21"/>
          </w:tcPr>
          <w:p>
            <w:pPr>
              <w:jc w:val="right"/>
              <w:ind w:right="16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-5673090</wp:posOffset>
            </wp:positionV>
            <wp:extent cx="9359900" cy="5559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9359900" cy="5559425"/>
                    </a:xfrm>
                    <a:prstGeom prst="rect">
                      <a:avLst/>
                    </a:prstGeom>
                    <a:noFill/>
                  </pic:spPr>
                </pic:pic>
              </a:graphicData>
            </a:graphic>
          </wp:anchor>
        </w:drawing>
      </w:r>
    </w:p>
    <w:p>
      <w:pPr>
        <w:sectPr>
          <w:pgSz w:w="15840" w:h="12240" w:orient="landscape"/>
          <w:cols w:equalWidth="0" w:num="1">
            <w:col w:w="14660"/>
          </w:cols>
          <w:pgMar w:left="620" w:top="201" w:right="560" w:bottom="169" w:gutter="0" w:footer="0" w:header="0"/>
        </w:sectPr>
      </w:pPr>
    </w:p>
    <w:p>
      <w:pPr>
        <w:spacing w:after="0" w:line="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48</w:t>
      </w:r>
    </w:p>
    <w:p>
      <w:pPr>
        <w:sectPr>
          <w:pgSz w:w="15840" w:h="12240" w:orient="landscape"/>
          <w:cols w:equalWidth="0" w:num="1">
            <w:col w:w="14660"/>
          </w:cols>
          <w:pgMar w:left="620" w:top="201" w:right="560" w:bottom="169" w:gutter="0" w:footer="0" w:header="0"/>
          <w:type w:val="continuous"/>
        </w:sectPr>
      </w:pPr>
    </w:p>
    <w:bookmarkStart w:id="50" w:name="page51"/>
    <w:bookmarkEnd w:id="50"/>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Equity and Redeemable Non-Controlling Interests – Continued</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307975</wp:posOffset>
            </wp:positionV>
            <wp:extent cx="9372600" cy="498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extLst>
                    </a:blip>
                    <a:srcRect/>
                    <a:stretch>
                      <a:fillRect/>
                    </a:stretch>
                  </pic:blipFill>
                  <pic:spPr bwMode="auto">
                    <a:xfrm>
                      <a:off x="0" y="0"/>
                      <a:ext cx="9372600" cy="49847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Changes in redemption value of redeemable</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non-controlling interests </w:t>
            </w:r>
            <w:r>
              <w:rPr>
                <w:rFonts w:ascii="Times New Roman" w:cs="Times New Roman" w:eastAsia="Times New Roman" w:hAnsi="Times New Roman"/>
                <w:sz w:val="16"/>
                <w:szCs w:val="16"/>
                <w:color w:val="B4B4B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123,400</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134,089</w:t>
            </w: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257,489</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(257,489)</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at December 31, 2025 </w:t>
            </w:r>
            <w:r>
              <w:rPr>
                <w:rFonts w:ascii="Times New Roman" w:cs="Times New Roman" w:eastAsia="Times New Roman" w:hAnsi="Times New Roman"/>
                <w:sz w:val="16"/>
                <w:szCs w:val="16"/>
                <w:b w:val="1"/>
                <w:bCs w:val="1"/>
                <w:color w:val="B4B4B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81,308,801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22,139,506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(14,569,154)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(138,449)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144,197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(130,596)</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(127,359)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388,099</w:t>
            </w:r>
          </w:p>
        </w:tc>
      </w:tr>
      <w:tr>
        <w:trPr>
          <w:trHeight w:val="20"/>
        </w:trPr>
        <w:tc>
          <w:tcPr>
            <w:tcW w:w="29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5840" w:h="12240" w:orient="landscape"/>
          <w:cols w:equalWidth="0" w:num="1">
            <w:col w:w="14660"/>
          </w:cols>
          <w:pgMar w:left="620" w:top="201" w:right="560" w:bottom="169" w:gutter="0" w:footer="0" w:header="0"/>
        </w:sectPr>
      </w:pP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49</w:t>
      </w:r>
    </w:p>
    <w:p>
      <w:pPr>
        <w:sectPr>
          <w:pgSz w:w="15840" w:h="12240" w:orient="landscape"/>
          <w:cols w:equalWidth="0" w:num="1">
            <w:col w:w="14660"/>
          </w:cols>
          <w:pgMar w:left="620" w:top="201" w:right="560" w:bottom="169" w:gutter="0" w:footer="0" w:header="0"/>
          <w:type w:val="continuous"/>
        </w:sectPr>
      </w:pPr>
    </w:p>
    <w:bookmarkStart w:id="51" w:name="page52"/>
    <w:bookmarkEnd w:id="51"/>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r>
              <w:rPr>
                <w:rFonts w:ascii="Times New Roman" w:cs="Times New Roman" w:eastAsia="Times New Roman" w:hAnsi="Times New Roman"/>
                <w:sz w:val="16"/>
                <w:szCs w:val="16"/>
                <w:color w:val="B4B4B4"/>
              </w:rPr>
              <w:t>.........................................................................................................</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(89,344)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(111,840)</w:t>
            </w:r>
          </w:p>
        </w:tc>
        <w:tc>
          <w:tcPr>
            <w:tcW w:w="0" w:type="dxa"/>
            <w:vAlign w:val="bottom"/>
          </w:tcPr>
          <w:p>
            <w:pPr>
              <w:spacing w:after="0"/>
              <w:rPr>
                <w:sz w:val="1"/>
                <w:szCs w:val="1"/>
                <w:color w:val="auto"/>
              </w:rPr>
            </w:pPr>
          </w:p>
        </w:tc>
      </w:tr>
      <w:tr>
        <w:trPr>
          <w:trHeight w:val="197"/>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Equity-based awards vesting expense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110,495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188,869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184,464</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Depreciation and amortization</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14,679</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Foreign currency revaluation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Non-cash operating lease expense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12,879</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Deferred taxes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Bad debt expense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0" w:type="dxa"/>
            <w:vAlign w:val="bottom"/>
          </w:tcPr>
          <w:p>
            <w:pPr>
              <w:spacing w:after="0"/>
              <w:rPr>
                <w:sz w:val="1"/>
                <w:szCs w:val="1"/>
                <w:color w:val="auto"/>
              </w:rPr>
            </w:pPr>
          </w:p>
        </w:tc>
      </w:tr>
      <w:tr>
        <w:trPr>
          <w:trHeight w:val="240"/>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Decrease (increase) in operating assets: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Accounts receivable, net of allowance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(32,846)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18,798</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Due from related parties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Prepaid expenses and other assets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4,336</w:t>
            </w:r>
          </w:p>
        </w:tc>
        <w:tc>
          <w:tcPr>
            <w:tcW w:w="0" w:type="dxa"/>
            <w:vAlign w:val="bottom"/>
          </w:tcPr>
          <w:p>
            <w:pPr>
              <w:spacing w:after="0"/>
              <w:rPr>
                <w:sz w:val="1"/>
                <w:szCs w:val="1"/>
                <w:color w:val="auto"/>
              </w:rPr>
            </w:pPr>
          </w:p>
        </w:tc>
      </w:tr>
      <w:tr>
        <w:trPr>
          <w:trHeight w:val="240"/>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(decrease) in operating liabilities: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Accrued compensation and benefits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(120,374)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93,392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15,906</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Accounts payable, accrued expenses and other liabilities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0" w:type="dxa"/>
            <w:vAlign w:val="bottom"/>
          </w:tcPr>
          <w:p>
            <w:pPr>
              <w:spacing w:after="0"/>
              <w:rPr>
                <w:sz w:val="1"/>
                <w:szCs w:val="1"/>
                <w:color w:val="auto"/>
              </w:rPr>
            </w:pPr>
          </w:p>
        </w:tc>
      </w:tr>
      <w:tr>
        <w:trPr>
          <w:trHeight w:val="244"/>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Lease liabilities </w:t>
            </w:r>
            <w:r>
              <w:rPr>
                <w:rFonts w:ascii="Times New Roman" w:cs="Times New Roman" w:eastAsia="Times New Roman" w:hAnsi="Times New Roman"/>
                <w:sz w:val="16"/>
                <w:szCs w:val="16"/>
                <w:color w:val="B4B4B4"/>
              </w:rPr>
              <w: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(11,073)</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5,579</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7,050</w:t>
            </w:r>
          </w:p>
        </w:tc>
        <w:tc>
          <w:tcPr>
            <w:tcW w:w="0" w:type="dxa"/>
            <w:vAlign w:val="bottom"/>
          </w:tcPr>
          <w:p>
            <w:pPr>
              <w:spacing w:after="0"/>
              <w:rPr>
                <w:sz w:val="1"/>
                <w:szCs w:val="1"/>
                <w:color w:val="auto"/>
              </w:rPr>
            </w:pPr>
          </w:p>
        </w:tc>
      </w:tr>
      <w:tr>
        <w:trPr>
          <w:trHeight w:val="219"/>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Net cash provided by (used in) operating activities: </w:t>
            </w:r>
            <w:r>
              <w:rPr>
                <w:rFonts w:ascii="Times New Roman" w:cs="Times New Roman" w:eastAsia="Times New Roman" w:hAnsi="Times New Roman"/>
                <w:sz w:val="16"/>
                <w:szCs w:val="16"/>
                <w:color w:val="B4B4B4"/>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34,789</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223,359</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145,883</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Payment for Devon Park Acquisition, net of cash acquired</w:t>
            </w:r>
            <w:r>
              <w:rPr>
                <w:rFonts w:ascii="Times New Roman" w:cs="Times New Roman" w:eastAsia="Times New Roman" w:hAnsi="Times New Roman"/>
                <w:sz w:val="16"/>
                <w:szCs w:val="16"/>
                <w:color w:val="B4B4B4"/>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(18,858)</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Purchases of fixed assets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(57,598)</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Purchases of investments in short-term marketable debt securities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(74,911)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(89,259)</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Maturities of investments in short-term marketable debt securities</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74,911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91,188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140,551</w:t>
            </w:r>
          </w:p>
        </w:tc>
        <w:tc>
          <w:tcPr>
            <w:tcW w:w="0" w:type="dxa"/>
            <w:vAlign w:val="bottom"/>
          </w:tcPr>
          <w:p>
            <w:pPr>
              <w:spacing w:after="0"/>
              <w:rPr>
                <w:sz w:val="1"/>
                <w:szCs w:val="1"/>
                <w:color w:val="auto"/>
              </w:rPr>
            </w:pPr>
          </w:p>
        </w:tc>
      </w:tr>
      <w:tr>
        <w:trPr>
          <w:trHeight w:val="244"/>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6"/>
                <w:szCs w:val="16"/>
                <w:color w:val="B4B4B4"/>
              </w:rPr>
              <w: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19"/>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Net cash provided by (used in) investing activities </w:t>
            </w:r>
            <w:r>
              <w:rPr>
                <w:rFonts w:ascii="Times New Roman" w:cs="Times New Roman" w:eastAsia="Times New Roman" w:hAnsi="Times New Roman"/>
                <w:sz w:val="16"/>
                <w:szCs w:val="16"/>
                <w:color w:val="B4B4B4"/>
                <w:w w:val="99"/>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51,740</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(5,818)</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52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Proceeds from issuance of Class A common stock in public offering, net of</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underwriting discount and offering costs </w:t>
            </w:r>
            <w:r>
              <w:rPr>
                <w:rFonts w:ascii="Times New Roman" w:cs="Times New Roman" w:eastAsia="Times New Roman" w:hAnsi="Times New Roman"/>
                <w:sz w:val="16"/>
                <w:szCs w:val="16"/>
                <w:color w:val="B4B4B4"/>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65,986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Exchange of PWP OpCo Units and corresponding Class B common stock for cash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(63,376)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Distributions to partners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(14,169)</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Dividends paid on Class A and Class B common stock</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(13,145)</w:t>
            </w:r>
          </w:p>
        </w:tc>
        <w:tc>
          <w:tcPr>
            <w:tcW w:w="0" w:type="dxa"/>
            <w:vAlign w:val="bottom"/>
          </w:tcPr>
          <w:p>
            <w:pPr>
              <w:spacing w:after="0"/>
              <w:rPr>
                <w:sz w:val="1"/>
                <w:szCs w:val="1"/>
                <w:color w:val="auto"/>
              </w:rPr>
            </w:pPr>
          </w:p>
        </w:tc>
      </w:tr>
      <w:tr>
        <w:trPr>
          <w:trHeight w:val="197"/>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 tax payments for vested PWP Incentive Plan Awards and equity-</w:t>
            </w: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(78,083)</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(82,901)</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(16,743)</w:t>
            </w:r>
          </w:p>
        </w:tc>
        <w:tc>
          <w:tcPr>
            <w:tcW w:w="0" w:type="dxa"/>
            <w:vAlign w:val="bottom"/>
          </w:tcPr>
          <w:p>
            <w:pPr>
              <w:spacing w:after="0"/>
              <w:rPr>
                <w:sz w:val="1"/>
                <w:szCs w:val="1"/>
                <w:color w:val="auto"/>
              </w:rPr>
            </w:pPr>
          </w:p>
        </w:tc>
      </w:tr>
      <w:tr>
        <w:trPr>
          <w:trHeight w:val="209"/>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classified ACUs </w:t>
            </w:r>
            <w:r>
              <w:rPr>
                <w:rFonts w:ascii="Times New Roman" w:cs="Times New Roman" w:eastAsia="Times New Roman" w:hAnsi="Times New Roman"/>
                <w:sz w:val="16"/>
                <w:szCs w:val="16"/>
                <w:color w:val="B4B4B4"/>
              </w:rPr>
              <w:t>...........................................................................................................</w:t>
            </w: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Treasury stock purchases</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(33,655)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(22,489)</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Payments pursuant to tax receivable agreement</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246"/>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6"/>
                <w:szCs w:val="16"/>
                <w:color w:val="B4B4B4"/>
              </w:rPr>
              <w: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Net cash provided by (used in) financing activities </w:t>
            </w:r>
            <w:r>
              <w:rPr>
                <w:rFonts w:ascii="Times New Roman" w:cs="Times New Roman" w:eastAsia="Times New Roman" w:hAnsi="Times New Roman"/>
                <w:sz w:val="16"/>
                <w:szCs w:val="16"/>
                <w:color w:val="B4B4B4"/>
                <w:w w:val="99"/>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(168,566)</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(137,252)</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(67,018)</w:t>
            </w:r>
          </w:p>
        </w:tc>
        <w:tc>
          <w:tcPr>
            <w:tcW w:w="0" w:type="dxa"/>
            <w:vAlign w:val="bottom"/>
          </w:tcPr>
          <w:p>
            <w:pPr>
              <w:spacing w:after="0"/>
              <w:rPr>
                <w:sz w:val="1"/>
                <w:szCs w:val="1"/>
                <w:color w:val="auto"/>
              </w:rPr>
            </w:pPr>
          </w:p>
        </w:tc>
      </w:tr>
      <w:tr>
        <w:trPr>
          <w:trHeight w:val="22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Effect of exchange rate changes on cash, cash equivalents and restricted cash </w:t>
            </w:r>
            <w:r>
              <w:rPr>
                <w:rFonts w:ascii="Times New Roman" w:cs="Times New Roman" w:eastAsia="Times New Roman" w:hAnsi="Times New Roman"/>
                <w:sz w:val="16"/>
                <w:szCs w:val="16"/>
                <w:color w:val="B4B4B4"/>
                <w:w w:val="99"/>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6,316</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0" w:type="dxa"/>
            <w:vAlign w:val="bottom"/>
          </w:tcPr>
          <w:p>
            <w:pPr>
              <w:spacing w:after="0"/>
              <w:rPr>
                <w:sz w:val="1"/>
                <w:szCs w:val="1"/>
                <w:color w:val="auto"/>
              </w:rPr>
            </w:pPr>
          </w:p>
        </w:tc>
      </w:tr>
      <w:tr>
        <w:trPr>
          <w:trHeight w:val="216"/>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Net increase (decrease) in cash, cash equivalents and restricted cash </w:t>
            </w:r>
            <w:r>
              <w:rPr>
                <w:rFonts w:ascii="Times New Roman" w:cs="Times New Roman" w:eastAsia="Times New Roman" w:hAnsi="Times New Roman"/>
                <w:sz w:val="16"/>
                <w:szCs w:val="16"/>
                <w:color w:val="B4B4B4"/>
                <w:w w:val="99"/>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(75,721)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82,669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75,936</w:t>
            </w:r>
          </w:p>
        </w:tc>
        <w:tc>
          <w:tcPr>
            <w:tcW w:w="0" w:type="dxa"/>
            <w:vAlign w:val="bottom"/>
          </w:tcPr>
          <w:p>
            <w:pPr>
              <w:spacing w:after="0"/>
              <w:rPr>
                <w:sz w:val="1"/>
                <w:szCs w:val="1"/>
                <w:color w:val="auto"/>
              </w:rPr>
            </w:pPr>
          </w:p>
        </w:tc>
      </w:tr>
      <w:tr>
        <w:trPr>
          <w:trHeight w:val="244"/>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Cash, cash equivalents and restricted cash, beginning of period </w:t>
            </w:r>
            <w:r>
              <w:rPr>
                <w:rFonts w:ascii="Times New Roman" w:cs="Times New Roman" w:eastAsia="Times New Roman" w:hAnsi="Times New Roman"/>
                <w:sz w:val="16"/>
                <w:szCs w:val="16"/>
                <w:color w:val="B4B4B4"/>
                <w:w w:val="99"/>
              </w:rPr>
              <w: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332,771</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250,102</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174,166</w:t>
            </w:r>
          </w:p>
        </w:tc>
        <w:tc>
          <w:tcPr>
            <w:tcW w:w="0" w:type="dxa"/>
            <w:vAlign w:val="bottom"/>
          </w:tcPr>
          <w:p>
            <w:pPr>
              <w:spacing w:after="0"/>
              <w:rPr>
                <w:sz w:val="1"/>
                <w:szCs w:val="1"/>
                <w:color w:val="auto"/>
              </w:rPr>
            </w:pPr>
          </w:p>
        </w:tc>
      </w:tr>
      <w:tr>
        <w:trPr>
          <w:trHeight w:val="202"/>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Cash, cash equivalents and restricted cash, end of period</w:t>
            </w:r>
            <w:r>
              <w:rPr>
                <w:rFonts w:ascii="Times New Roman" w:cs="Times New Roman" w:eastAsia="Times New Roman" w:hAnsi="Times New Roman"/>
                <w:sz w:val="16"/>
                <w:szCs w:val="16"/>
                <w:color w:val="B4B4B4"/>
                <w:w w:val="99"/>
              </w:rPr>
              <w:t>..............................................</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257,050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332,771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250,102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-6327140</wp:posOffset>
            </wp:positionV>
            <wp:extent cx="6305550" cy="63468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extLst>
                    </a:blip>
                    <a:srcRect/>
                    <a:stretch>
                      <a:fillRect/>
                    </a:stretch>
                  </pic:blipFill>
                  <pic:spPr bwMode="auto">
                    <a:xfrm>
                      <a:off x="0" y="0"/>
                      <a:ext cx="6305550" cy="6346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820"/>
          </w:cols>
          <w:pgMar w:left="1240" w:top="291" w:right="1180" w:bottom="169" w:gutter="0" w:footer="0" w:header="0"/>
        </w:sectPr>
      </w:pP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820"/>
          </w:cols>
          <w:pgMar w:left="1240" w:top="291" w:right="1180" w:bottom="169" w:gutter="0" w:footer="0" w:header="0"/>
          <w:type w:val="continuous"/>
        </w:sectPr>
      </w:pPr>
    </w:p>
    <w:bookmarkStart w:id="52" w:name="page53"/>
    <w:bookmarkEnd w:id="52"/>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 Continued</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activities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86"/>
        </w:trPr>
        <w:tc>
          <w:tcPr>
            <w:tcW w:w="548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Lease liabilities arising from obtaining right-of-use lease assets </w:t>
            </w:r>
            <w:r>
              <w:rPr>
                <w:rFonts w:ascii="Times New Roman" w:cs="Times New Roman" w:eastAsia="Times New Roman" w:hAnsi="Times New Roman"/>
                <w:sz w:val="16"/>
                <w:szCs w:val="16"/>
                <w:color w:val="B4B4B4"/>
              </w:rPr>
              <w:t>............................</w:t>
            </w:r>
          </w:p>
        </w:tc>
        <w:tc>
          <w:tcPr>
            <w:tcW w:w="900" w:type="dxa"/>
            <w:vAlign w:val="bottom"/>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7,821</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0" w:type="dxa"/>
            <w:vAlign w:val="bottom"/>
          </w:tcPr>
          <w:p>
            <w:pPr>
              <w:spacing w:after="0"/>
              <w:rPr>
                <w:sz w:val="1"/>
                <w:szCs w:val="1"/>
                <w:color w:val="auto"/>
              </w:rPr>
            </w:pPr>
          </w:p>
        </w:tc>
      </w:tr>
      <w:tr>
        <w:trPr>
          <w:trHeight w:val="240"/>
        </w:trPr>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9"/>
              </w:rPr>
              <w:t xml:space="preserve">Accrued distributions to partners </w:t>
            </w:r>
            <w:r>
              <w:rPr>
                <w:rFonts w:ascii="Times New Roman" w:cs="Times New Roman" w:eastAsia="Times New Roman" w:hAnsi="Times New Roman"/>
                <w:sz w:val="16"/>
                <w:szCs w:val="16"/>
                <w:color w:val="B4B4B4"/>
                <w:w w:val="99"/>
              </w:rPr>
              <w:t>.............................................................................</w:t>
            </w:r>
          </w:p>
        </w:tc>
        <w:tc>
          <w:tcPr>
            <w:tcW w:w="900" w:type="dxa"/>
            <w:vAlign w:val="bottom"/>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capital expenditures</w:t>
            </w:r>
            <w:r>
              <w:rPr>
                <w:rFonts w:ascii="Times New Roman" w:cs="Times New Roman" w:eastAsia="Times New Roman" w:hAnsi="Times New Roman"/>
                <w:sz w:val="16"/>
                <w:szCs w:val="16"/>
                <w:color w:val="B4B4B4"/>
              </w:rPr>
              <w:t>...................................................................................</w:t>
            </w:r>
          </w:p>
        </w:tc>
        <w:tc>
          <w:tcPr>
            <w:tcW w:w="900" w:type="dxa"/>
            <w:vAlign w:val="bottom"/>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1,856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11,319</w:t>
            </w:r>
          </w:p>
        </w:tc>
        <w:tc>
          <w:tcPr>
            <w:tcW w:w="0" w:type="dxa"/>
            <w:vAlign w:val="bottom"/>
          </w:tcPr>
          <w:p>
            <w:pPr>
              <w:spacing w:after="0"/>
              <w:rPr>
                <w:sz w:val="1"/>
                <w:szCs w:val="1"/>
                <w:color w:val="auto"/>
              </w:rPr>
            </w:pPr>
          </w:p>
        </w:tc>
      </w:tr>
      <w:tr>
        <w:trPr>
          <w:trHeight w:val="197"/>
        </w:trPr>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dividend equivalents and dividend equivalent units on unvested PWP</w:t>
            </w:r>
          </w:p>
        </w:tc>
        <w:tc>
          <w:tcPr>
            <w:tcW w:w="900" w:type="dxa"/>
            <w:vAlign w:val="bottom"/>
            <w:vMerge w:val="restart"/>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5,980</w:t>
            </w:r>
          </w:p>
        </w:tc>
        <w:tc>
          <w:tcPr>
            <w:tcW w:w="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6,796</w:t>
            </w: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7,278</w:t>
            </w:r>
          </w:p>
        </w:tc>
        <w:tc>
          <w:tcPr>
            <w:tcW w:w="0" w:type="dxa"/>
            <w:vAlign w:val="bottom"/>
          </w:tcPr>
          <w:p>
            <w:pPr>
              <w:spacing w:after="0"/>
              <w:rPr>
                <w:sz w:val="1"/>
                <w:szCs w:val="1"/>
                <w:color w:val="auto"/>
              </w:rPr>
            </w:pPr>
          </w:p>
        </w:tc>
      </w:tr>
      <w:tr>
        <w:trPr>
          <w:trHeight w:val="209"/>
        </w:trPr>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Incentive Plan Awards </w:t>
            </w:r>
            <w:r>
              <w:rPr>
                <w:rFonts w:ascii="Times New Roman" w:cs="Times New Roman" w:eastAsia="Times New Roman" w:hAnsi="Times New Roman"/>
                <w:sz w:val="16"/>
                <w:szCs w:val="16"/>
                <w:color w:val="B4B4B4"/>
              </w:rPr>
              <w:t>.............................................................................................</w:t>
            </w:r>
          </w:p>
        </w:tc>
        <w:tc>
          <w:tcPr>
            <w:tcW w:w="90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Non-cash paydown of Partner promissory notes </w:t>
            </w:r>
            <w:r>
              <w:rPr>
                <w:rFonts w:ascii="Times New Roman" w:cs="Times New Roman" w:eastAsia="Times New Roman" w:hAnsi="Times New Roman"/>
                <w:sz w:val="16"/>
                <w:szCs w:val="16"/>
                <w:color w:val="B4B4B4"/>
              </w:rPr>
              <w:t>.....................................................</w:t>
            </w:r>
          </w:p>
        </w:tc>
        <w:tc>
          <w:tcPr>
            <w:tcW w:w="900" w:type="dxa"/>
            <w:vAlign w:val="bottom"/>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534</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0" w:type="dxa"/>
            <w:vAlign w:val="bottom"/>
          </w:tcPr>
          <w:p>
            <w:pPr>
              <w:spacing w:after="0"/>
              <w:rPr>
                <w:sz w:val="1"/>
                <w:szCs w:val="1"/>
                <w:color w:val="auto"/>
              </w:rPr>
            </w:pPr>
          </w:p>
        </w:tc>
      </w:tr>
      <w:tr>
        <w:trPr>
          <w:trHeight w:val="197"/>
        </w:trPr>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effect resulting from changes in ownership and exchanges of PWP</w:t>
            </w:r>
          </w:p>
        </w:tc>
        <w:tc>
          <w:tcPr>
            <w:tcW w:w="900" w:type="dxa"/>
            <w:vAlign w:val="bottom"/>
            <w:vMerge w:val="restart"/>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8,577</w:t>
            </w:r>
          </w:p>
        </w:tc>
        <w:tc>
          <w:tcPr>
            <w:tcW w:w="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8,525</w:t>
            </w: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0" w:type="dxa"/>
            <w:vAlign w:val="bottom"/>
          </w:tcPr>
          <w:p>
            <w:pPr>
              <w:spacing w:after="0"/>
              <w:rPr>
                <w:sz w:val="1"/>
                <w:szCs w:val="1"/>
                <w:color w:val="auto"/>
              </w:rPr>
            </w:pPr>
          </w:p>
        </w:tc>
      </w:tr>
      <w:tr>
        <w:trPr>
          <w:trHeight w:val="209"/>
        </w:trPr>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9"/>
              </w:rPr>
              <w:t xml:space="preserve">OpCo Units, net of amounts payable under tax receivable agreement </w:t>
            </w:r>
            <w:r>
              <w:rPr>
                <w:rFonts w:ascii="Times New Roman" w:cs="Times New Roman" w:eastAsia="Times New Roman" w:hAnsi="Times New Roman"/>
                <w:sz w:val="16"/>
                <w:szCs w:val="16"/>
                <w:color w:val="B4B4B4"/>
                <w:w w:val="99"/>
              </w:rPr>
              <w:t>....................</w:t>
            </w:r>
          </w:p>
        </w:tc>
        <w:tc>
          <w:tcPr>
            <w:tcW w:w="90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9"/>
              </w:rPr>
              <w:t xml:space="preserve">Reclassification of liability-classified equity-based awards </w:t>
            </w:r>
            <w:r>
              <w:rPr>
                <w:rFonts w:ascii="Times New Roman" w:cs="Times New Roman" w:eastAsia="Times New Roman" w:hAnsi="Times New Roman"/>
                <w:sz w:val="16"/>
                <w:szCs w:val="16"/>
                <w:color w:val="B4B4B4"/>
                <w:w w:val="99"/>
              </w:rPr>
              <w:t>....................................</w:t>
            </w:r>
          </w:p>
        </w:tc>
        <w:tc>
          <w:tcPr>
            <w:tcW w:w="900" w:type="dxa"/>
            <w:vAlign w:val="bottom"/>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9"/>
              </w:rPr>
              <w:t xml:space="preserve">Cash paid for income taxes </w:t>
            </w:r>
            <w:r>
              <w:rPr>
                <w:rFonts w:ascii="Times New Roman" w:cs="Times New Roman" w:eastAsia="Times New Roman" w:hAnsi="Times New Roman"/>
                <w:sz w:val="16"/>
                <w:szCs w:val="16"/>
                <w:color w:val="B4B4B4"/>
                <w:w w:val="99"/>
              </w:rPr>
              <w:t>......................................................................................</w:t>
            </w:r>
          </w:p>
        </w:tc>
        <w:tc>
          <w:tcPr>
            <w:tcW w:w="900" w:type="dxa"/>
            <w:vAlign w:val="bottom"/>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9,239</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-1611630</wp:posOffset>
            </wp:positionV>
            <wp:extent cx="6273800" cy="1635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extLst>
                    </a:blip>
                    <a:srcRect/>
                    <a:stretch>
                      <a:fillRect/>
                    </a:stretch>
                  </pic:blipFill>
                  <pic:spPr bwMode="auto">
                    <a:xfrm>
                      <a:off x="0" y="0"/>
                      <a:ext cx="6273800" cy="163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780"/>
          </w:cols>
          <w:pgMar w:left="1260" w:top="291" w:right="1200" w:bottom="169" w:gutter="0" w:footer="0" w:header="0"/>
        </w:sectPr>
      </w:pP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780"/>
          </w:cols>
          <w:pgMar w:left="1260" w:top="291" w:right="1200" w:bottom="169"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1—Organization and Nature of Business</w:t>
      </w:r>
    </w:p>
    <w:p>
      <w:pPr>
        <w:spacing w:after="0" w:line="217"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Perella Weinberg Partners and its consolidated subsidiaries, including PWP Holdings LP (“PWP OpCo”) (collectively, “PWP” and the “Company”), is a global independent advisory firm that provides strategic and financial advice to a wide range of clients. The Company’s activities constitute a single business segment that provides a range of advisory services, including advice related to strategic and financial decisions, mergers and acquisitions (“M&amp;A”) execution, shareholder engagement advisory, financing and capital solutions advice with a focus on restructuring and liability management, capital markets advisory, private funds advisory, and private capital placement, as well as specialized underwriting and research services primarily for the energy and related industries.</w:t>
      </w:r>
    </w:p>
    <w:p>
      <w:pPr>
        <w:spacing w:after="0" w:line="18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On June 24, 2021, the Company consummated a business combination that resulted in PWP OpCo becoming jointly-owned by Perella Weinberg Partners, PWP Professional Partners LP (together with its successors (including pursuant to the Division and Merger (each as defined below)) and assigns, as applicable, “Professional Partners”) and certain existing partners of PWP OpCo as part of an umbrella limited partnership C-corporation (Up-C) structure (the “Business Combination”).</w:t>
      </w:r>
    </w:p>
    <w:p>
      <w:pPr>
        <w:spacing w:after="0" w:line="181"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On December 31, 2023, as part of an internal reorganization, Professional Partners was divided into three partnerships pursuant to a plan of division (the “Division”), which, among other things, provided that (i) all of its limited partnership interests in PWP OpCo were allocated to one of the divided partnerships, PWP AdCo Professionals LP (“AdCo Professionals”), (ii) all of its shares of Class B-1 common stock of the Company were allocated to another divided partnership, PWP VoteCo Professionals LP (“VoteCo Professionals”) and (iii) PWP Professional Partners LP changed its name to PWP AmCo Professionals LP.</w:t>
      </w:r>
    </w:p>
    <w:p>
      <w:pPr>
        <w:spacing w:after="0" w:line="181"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On April 1, 2024, as part of this internal reorganization, AdCo Professionals merged with and into PWP OpCo (the “Merger”). At the time of the Merger, (i) the original capital units (“OCUs”), value capital units (“VCUs”), and alignment capital units (“ACUs”) of AdCo Professionals were converted into an equivalent number of newly created OCUs, VCUs and ACUs of PWP OpCo, (ii) the net assets of AdCo Professionals became the net assets of PWP OpCo and (iii) PWP OpCo adopted an amended and restated limited partnership agreement (the “PWP OpCo LPA”) that permits the Company to settle quarterly exchanges in cash or shares at the Company’s discretion. The principal purpose of the internal reorganization was to simplify the structure for the partners in Professional Partners with respect to their indirect interests in PWP OpCo. There was no consideration exchanged in connection with the Division or the Merger, and neither the Division nor the Merger affected the respective rights or economic interests of the Company, PWP GP LLC (“PWP GP”), or any limited partner with respect to PWP OpCo. Refer to Note 11—Stockholders’ Equity and Redeemable Non-Controlling Interests and Note 12—Equity-Based Compensation for additional information on the Merger and related transactions.</w:t>
      </w:r>
    </w:p>
    <w:p>
      <w:pPr>
        <w:spacing w:after="0" w:line="191"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operations of PWP OpCo are conducted through a wholly-owned subsidiary, Perella Weinberg Partners Group LP, and its subsidiaries which are consolidated in these financial statements. PWP GP is the general partner that controls PWP OpCo. The limited partner interests of PWP OpCo are held by the Company and certain current and former working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2—Summary of Significant Accounting Policies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219"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consolidated financial statements of the Company have been prepared in accordance with generally accepted accounting principles in the United States (“U.S. GAAP”) and all intercompany balances and transactions have been eliminated.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preparation of the consolidated financial statements and related disclosures in accordance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900"/>
          </w:cols>
          <w:pgMar w:left="1180" w:top="201" w:right="1160" w:bottom="169"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In preparing the consolidated financial statements, management makes certain estimates regarding the measurement of amounts due pursuant to the tax receivable agreement, measurement and timing of revenue recognition, assumptions used in the provision for income taxes, measurement of equity-based compensation, expected insurance reimbursements related to litigation costs, fair value measurement and impairment assessment of goodwill and intangible assets, fair value measurement of financial instruments, and other matters that affect the reported amounts and disclosures of contingencies in the consolidated financial statements and notes thereto.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Restricted Cash</w:t>
      </w:r>
    </w:p>
    <w:p>
      <w:pPr>
        <w:spacing w:after="0" w:line="219"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Cash and cash equivalents include cash held at banks, including interest-bearing money market accounts, and any highly liquid investments with original maturities of three months or less from the date of purchase. Cash account balances often exceed federally insured limits. Restricted cash represents cash that is not readily available for general purpose cash needs. As of December 31, 2025 and 2024, the Company had restricted cash of $1.1 million and $1.2 million, respectively, maintained as collateral for letters of credit related to certain office leases. As of December 31, 2025, the Company held no cash equivalents. The Company held $20.2 million cash equivalents as of December 31, 2024, which was composed of investments in U.S. Treasury securities. The sum of Cash and cash equivalents and Restricted cash on the Consolidated Statements of Financial Condition corresponds to the total cash, cash equivalents, and restricted cash presented on the Consolidated Statements of Cash Flows.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in Short-Term Marketable Debt Securities</w:t>
      </w:r>
    </w:p>
    <w:p>
      <w:pPr>
        <w:spacing w:after="0" w:line="219"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The Company invests in short-term marketable debt securities to manage excess liquidity. In general, these investments are recorded on the Consolidated Statements of Financial Condition within Cash and cash equivalents for investments with an original maturity from the date of purchase of three months or less, and within Investments in short-term marketable debt securities for those with original maturities longer than three months but less than one year. As of December 31, 2024, Investments in short-term marketable debt securities on the Consolidated Statements of Financial Condition consisted solely of U.S. Treasury securities held by a consolidated broker-dealer subsidiary. The investments were carried at fair value as is required for broker-dealers. There were no similar investments held as of December 31,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 of Allowance</w:t>
      </w:r>
    </w:p>
    <w:p>
      <w:pPr>
        <w:spacing w:after="0" w:line="219"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Accounts receivable are presented net of allowance for credit losses based on the Company’s assessment of collectability. The Company regularly reviews its accounts receivable for collectability and an allowance is recognized for expected credit losses, if required. The Company maintains an allowance for credit losses that, in management’s opinion, provides for an adequate reserve to cover estimated losses on accounts receivable. The Company determines the adequacy of the allowance by reviewing specific client receivables as well as estimating the probability of loss on total client receivables based on the Company’s historical credit loss experience and taking into consideration current market conditions that affect the collectability of the reported amount. The Company updates its expected credit loss rates periodically and maintains a quarterly allowance review process to consider current factors that would require an adjustment to the credit loss allowance. Changes to expected credit losses during the period are included in General, administrative and other expenses on the Consolidated Statements of Operations. After concluding that a reserved accounts receivable is no longer collectible, the Company reduces both the gross receivable and the allowance for credit losses.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Fixed Assets</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Fixed assets include furniture and fixtures, equipment, software development costs and leasehold improvements, which are all stated at cost less accumulated depreciation and amortization. Depreciation and amortization are determined using the straight-line method over the estimated useful lives of the assets, including (i) five years for furniture, fixtures and equipment; (ii) the lesser of the estimated life of the improvement or the remaining term of the lease for leasehold improvements; and (iii) three years for software development costs. The Company evaluates fixed assets for impairment whenever events or changes in circumstances indicate that an asset’s carrying value may not be fully recovered.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Intangible Assets</w:t>
      </w:r>
    </w:p>
    <w:p>
      <w:pPr>
        <w:spacing w:after="0" w:line="219" w:lineRule="exact"/>
        <w:rPr>
          <w:sz w:val="20"/>
          <w:szCs w:val="20"/>
          <w:color w:val="auto"/>
        </w:rPr>
      </w:pPr>
    </w:p>
    <w:p>
      <w:pPr>
        <w:jc w:val="both"/>
        <w:ind w:right="20" w:firstLine="360"/>
        <w:spacing w:after="0" w:line="215" w:lineRule="auto"/>
        <w:rPr>
          <w:sz w:val="20"/>
          <w:szCs w:val="20"/>
          <w:color w:val="auto"/>
        </w:rPr>
      </w:pPr>
      <w:r>
        <w:rPr>
          <w:rFonts w:ascii="Times New Roman" w:cs="Times New Roman" w:eastAsia="Times New Roman" w:hAnsi="Times New Roman"/>
          <w:sz w:val="20"/>
          <w:szCs w:val="20"/>
          <w:color w:val="auto"/>
        </w:rPr>
        <w:t>Goodwill is recorded for the excess of the fair value of consideration transferred over the fair value of identifiable net assets, including other intangibles, acquired at the time of an acquisition. Goodwill is periodically reviewed, and tested at least annually, for impairment, and when certain events or circumstances indicate impairment may exist. Goodwill is tested for impairment at the reporting unit level. A reporting unit is a component of an operating segment for which discrete financial information is available that is regularly reviewed by management. Intangible assets are derived from customer relationships, trade names and trademarks. Identifiable finite-lived intangible assets are amortized on a straight-line basis over the applicable estimated useful life, reflecting the average time over which such intangible assets are expected to contribute to cash flow. The Company tests intangible assets for impairment whenever events or circumstances indicate that the carrying amount of such assets may not be recoverable.</w:t>
      </w:r>
    </w:p>
    <w:p>
      <w:pPr>
        <w:sectPr>
          <w:pgSz w:w="12240" w:h="15840" w:orient="portrait"/>
          <w:cols w:equalWidth="0" w:num="1">
            <w:col w:w="9900"/>
          </w:cols>
          <w:pgMar w:left="1180" w:top="201" w:right="1160" w:bottom="169" w:gutter="0" w:footer="0" w:header="0"/>
        </w:sect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900"/>
          </w:cols>
          <w:pgMar w:left="1180" w:top="201" w:right="1160" w:bottom="169"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Prepaid Expenses and Other Assets</w:t>
      </w:r>
    </w:p>
    <w:p>
      <w:pPr>
        <w:spacing w:after="0" w:line="219"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Generally, prepaid expenses comprise the majority of Prepaid expenses and other assets on the Consolidated Statements of Financial Condition and represent upfront payments for various services, including subscriptions, cloud computing arrangements, software licenses and insurance, which are amortized over the related service period or policy term. Prepaid compensation assets subject to service requirements, income tax receivables, and expected insurance reimbursements related to litigation costs are other key components of Prepaid expenses and other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1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The Company leases office space and certain office equipment, which are classified as operating leases. Right-of-use assets represent the Company’s right to use the underlying assets for their lease terms and lease liabilities represent the Company’s obligation to make lease payments arising from these leases. Certain non-U.S. lease payments are variable as they are subject to change based on the prevailing applicable index. The Company does not recognize right-of-use assets and lease liabilities for short-term leases with a lease term of 12 months or less. The Company elected the practical expedient not to separate lease components and non-lease components in calculating the net present value of its lease payments; thus, the measurement of the right-of-use asset and corresponding lease obligation uses one single combined component. Lease expense is recognized on a straight-line basis over the lease term.</w:t>
      </w:r>
    </w:p>
    <w:p>
      <w:pPr>
        <w:spacing w:after="0" w:line="184" w:lineRule="exact"/>
        <w:rPr>
          <w:sz w:val="20"/>
          <w:szCs w:val="20"/>
          <w:color w:val="auto"/>
        </w:rPr>
      </w:pPr>
    </w:p>
    <w:p>
      <w:pPr>
        <w:jc w:val="both"/>
        <w:ind w:right="20" w:firstLine="360"/>
        <w:spacing w:after="0" w:line="215" w:lineRule="auto"/>
        <w:rPr>
          <w:sz w:val="20"/>
          <w:szCs w:val="20"/>
          <w:color w:val="auto"/>
        </w:rPr>
      </w:pPr>
      <w:r>
        <w:rPr>
          <w:rFonts w:ascii="Times New Roman" w:cs="Times New Roman" w:eastAsia="Times New Roman" w:hAnsi="Times New Roman"/>
          <w:sz w:val="20"/>
          <w:szCs w:val="20"/>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judgment and is calculated based on multiple factors, including current market conditions, the Company’s credit rating, the terms of the Company’s recent debt issuances and/or current revolving credit facilities, and the expected lease term. The Company estimates the expected lease terms by assuming the exercise of renewal options and extensions where a significant penalty could be incurred and such renewal or extension is at the sole discretion of the Company. Certain lease agreements are secured by security deposits, which are reflected in Prepaid expenses and other assets on the Consolidated Statements of Financial Condition.</w:t>
      </w:r>
    </w:p>
    <w:p>
      <w:pPr>
        <w:spacing w:after="0" w:line="186"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Company subleases certain portions its office space to a third party. Sublease income is recognized on a straight-line basis over the term of the lease. The Company elected the practical expedient not to separate lease components and non-lease components for subleases.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1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In connection with the Business Combination, the Company entered into a tax receivable agreement with PWP OpCo, Professional Partners and Investor Limited Partners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Management’s best estimate of the amounts expected to be owed in connection with the tax receivable agreement at each reporting date are reported within Amount due pursuant to tax receivable agreement on the Consolidated Statements of Financial Condition.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Consolidation</w:t>
      </w:r>
    </w:p>
    <w:p>
      <w:pPr>
        <w:spacing w:after="0" w:line="219"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December 31, 2025 and 2024, the net assets of PWP OpCo were $235.3 million and $197.6 million, respectively. As of December 31, 2025 and 2024, the Company did not consolidate any VIEs other than PWP OpCo.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219"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Company’s financial instruments are generally recorded at fair value or at amounts that approximate fair value. The carrying values of cash, restricted cash, accounts receivable, amounts due from related parties, accounts payable and certain accrued liabilities approximate their fair values due to the short-term nature of these items.</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900"/>
          </w:cols>
          <w:pgMar w:left="1180" w:top="201" w:right="1160" w:bottom="169"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Contingencies and Litigation</w:t>
      </w:r>
    </w:p>
    <w:p>
      <w:pPr>
        <w:spacing w:after="0" w:line="21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The Company records loss contingencies if (i) information available prior to issuance of the consolidated financial statements indicates that it is probable that an asset had been impaired or a liability had been incurred at the date of the consolidated financial statements; and (ii) the amount of loss can be reasonably estimated. If one or both criteria for accrual are not met, but there is at least a reasonable possibility that a loss will occur, no accrual for a loss contingency is recorded. However, the Company describes the contingency and provides detail, when possible, of the estimated potential loss or range of loss. If an estimate cannot be made, a statement to that effect is made. Costs incurred with defending matters are expensed as incurred. Accruals related to loss contingencies are recorded in Other income (expenses) on the Consolidated Statements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Redeemable Non-Controlling Interests</w:t>
      </w:r>
    </w:p>
    <w:p>
      <w:pPr>
        <w:spacing w:after="0" w:line="219"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For entities that are consolidated but not 100% owned, a portion of the income (loss) and equity is allocated to holders of the non-controlling interest. Profits and losses of PWP OpCo are allocated to the non-controlling interests in proportion to their ownership interest regardless of their basis, with an exception for certain equity-based compensation expense which was fully attributed to non-controlling interests prior to the Merger. Refer to Note 12—Equity-Based Compensation for further information.</w:t>
      </w:r>
    </w:p>
    <w:p>
      <w:pPr>
        <w:spacing w:after="0" w:line="181"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As a result of the Merger, Non-controlling interests presented within equity on the Consolidated Statements of Financial Condition were reclassified to Redeemable non-controlling interests within temporary equity. Redeemable non-controlling interests are recorded at the higher of: (i) their redemption value as of the reporting date, which corresponds to the price of the Company’s Class A common stock, or (ii) their measurement pursuant to Accounting Standards Codification (“ASC” or the “Codification”) Topic 810, Consolidation. Changes in the current redemption value are recorded to Additional paid-in capital immediately as they occur. The magnitude of these changes may exceed the available balance of Additional paid-in capital, resulting in subsequent equity transactions being recorded to Accumulated deficit. The Company tracks amounts recorded directly to Accumulated deficit and resumes recognition of Additional paid-in capital only once the cumulative amount recorded to Accumulated deficit is fully offset. As of December 31, 2024, a cumulative adjustment of $161.6 million was recorded to Accumulated deficit after Additional paid-in capital was fully utilized, driven by an increase in the redemption value of Redeemable non-controlling interests. During the year ended December 31, 2025, equity transactions offset the cumulative amount recorded to Accumulated deficit and restored an Additional paid-in capital balance.</w:t>
      </w:r>
    </w:p>
    <w:p>
      <w:pPr>
        <w:spacing w:after="0" w:line="187"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When the Company has an unconditional obligation to purchase the Redeemable non-controlling interests for cash, the mandatorily redeemable interests are reclassified from temporary equity to a liability with changes in fair value recorded to Other income (expense) on the Consolidated Statements of Operations. As of December 31, 2025 and 2024, there were no non-controlling interests considered mandatorily redeemable.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Repurchases of Common Stock</w:t>
      </w:r>
    </w:p>
    <w:p>
      <w:pPr>
        <w:spacing w:after="0" w:line="219"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Shares of the Company’s Class A common stock may be repurchased from time to time in open market transactions, in privately negotiated transactions or otherwise. The Company may structure such repurchases as either a purchase of treasury stock or a retirement of shares. The Company records its purchases of treasury stock at cost as a separate component of equity. The Company may reissue treasury stock using the first-in-first-out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19"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The services provided under contracts with clients include transaction-related advisory services, fairness opinion services, research,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Transaction-Related Advisory Services</w:t>
      </w:r>
    </w:p>
    <w:p>
      <w:pPr>
        <w:spacing w:after="0" w:line="214"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The Company provides transaction-related advisory services to its clients to assist with corporate finance activities that include, but are not limited to,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900"/>
          </w:cols>
          <w:pgMar w:left="1180" w:top="201" w:right="1160" w:bottom="169"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firstLine="360"/>
        <w:spacing w:after="0" w:line="211" w:lineRule="auto"/>
        <w:rPr>
          <w:sz w:val="20"/>
          <w:szCs w:val="20"/>
          <w:color w:val="auto"/>
        </w:rPr>
      </w:pPr>
      <w:r>
        <w:rPr>
          <w:rFonts w:ascii="Times New Roman" w:cs="Times New Roman" w:eastAsia="Times New Roman" w:hAnsi="Times New Roman"/>
          <w:sz w:val="20"/>
          <w:szCs w:val="20"/>
          <w:color w:val="auto"/>
        </w:rPr>
        <w:t>The Company recognizes revenue from providing advisory services when or as its performance obligations are fulfilled. The majority of the Company’s advisory revenue is recognized over time since the Company provides most of its advisory services on an ongoing basis, which, for example, may include evaluating and selecting one of multiple strategies. During such engagements, the Company’s clients continuously benefit from the ongoing financial and strategic advice throughout the engagement.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these fees are often constrained until substantially all services have been provided, specified conditions have been met and/or certain milestones have been achieved, and it is probable that a significant revenue reversal will not occur in a future period, the determination of which may require significant judgment, especially when assessed near the end of a reporting period, and/or involve material amounts. Due to this constraint, a significant portion of revenue recognized for advisory services in any given period often relates to services performed in prior periods. In some cases, a portion of the variable fees received may be deferred and recognized as a contract liability based on an estimate of the services remaining to be completed, if any (e.g., when announcement fees are earned but additional services are expected to be provided between transaction announcement and transaction close). The determination of when and to what extent to subsequently recognize deferred variable fees may require significant judgment, particularly when milestones are met near the end of a reporting period and in cases where additional services are expected to be provided subsequent to the achievement of the milestone. Certain fixed fees specified in the Company’s contracts, which may include upfront fees and retainers, are recognized on a systematic basis over the estimated period in which the related services are performed. Payments for transaction-related advisory services are generally due upon completion of a specified event or, for retainer fees, periodically over the course of the engagement.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Fairness Opinion Services</w:t>
      </w:r>
    </w:p>
    <w:p>
      <w:pPr>
        <w:spacing w:after="0" w:line="214"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that the fairness opinion is delivered at which time the client receives the benefit of the fairness opinion services.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Underwriting Services</w:t>
      </w:r>
    </w:p>
    <w:p>
      <w:pPr>
        <w:spacing w:after="0" w:line="21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The Company provides research on the energy and related industries and associated equity and commodity markets. The Company’s research clients continuously benefit from the research provided throughout arrangements between the Company and such clients, and, accordingly, over time revenue recognition matches the transfer of such benefits. Research clients compensate the Company via direct payment or commission sharing agreements.</w:t>
      </w:r>
    </w:p>
    <w:p>
      <w:pPr>
        <w:spacing w:after="0" w:line="18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The Company recognizes underwriting revenue at a point in time, typically on the pricing date of the offering.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 Costs and Contract Balances</w:t>
      </w:r>
    </w:p>
    <w:p>
      <w:pPr>
        <w:spacing w:after="0" w:line="21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Company is reimbursed by the client for certain of these out-of-pocket expenses, which are recognized over time and recorded within Revenues on the Consolidated Statements of Operations.</w:t>
      </w:r>
    </w:p>
    <w:p>
      <w:pPr>
        <w:spacing w:after="0" w:line="181"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900"/>
          </w:cols>
          <w:pgMar w:left="1180" w:top="201" w:right="1160" w:bottom="169"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Equity-Based Compensation</w:t>
      </w:r>
    </w:p>
    <w:p>
      <w:pPr>
        <w:spacing w:after="0" w:line="219"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Equity-based compensation relates to equity-based awards granted to employees and partners of the Company. Equity-based compensation expense is recognized over the requisite vesting period or requisite service period in an amount equal to the grant date fair value (for equity-classified awards) or the settlement fair value (for liability-classified awards). Equity-based compensation expense for employees and partners is included in Equity-based compensation on the Consolidated Statements of Operations and equity-based compensation expense for non-employees is included in Professional fees on the Consolidated Statements of Operations.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219"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Compensation and benefits expense consists of salaries, bonuses (discretionary awards and guaranteed amounts), severance, as well as payroll and related taxes and benefits for the Company’s employees. In all instances, compensation expense is accrued over the requisite service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19"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The Company typically earns interest on cash at banks and short-term investments, which is recorded on an accrual basis. The Company earned $5.3 million, $10.3 million, and $7.4 million of interest income, inclusive of net unrealized gains (losses) on U.S. Treasury securities, during the years ended December 31, 2025, 2024, and 2023, respectively, which is presented within Other income (expense) on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Currencies</w:t>
      </w:r>
    </w:p>
    <w:p>
      <w:pPr>
        <w:spacing w:after="0" w:line="219"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In the normal course of business, the Company and its subsidiaries may enter into transactions denominated in a non-functional currency. The Company recognized net foreign exchange gains (losses) arising from such transactions of $(2.3) million, $1.3 million, and $(3.3) million during the years ended December 31, 2025, 2024, and 2023, respectively, which are included in Other income (expense) on the Consolidated Statements of Operations. In addition, the Company consolidates its foreign subsidiaries that have non-U.S. dollar functional currencies. Non-U.S. dollar denominated assets and liabilities are translated to U.S. dollars at the exchange rate prevailing at the reporting date and profit and loss activity is generally translated using the average exchange rate throughout the period. Cumulative translation adjustments arising from the translation of non-U.S. dollar denominated operations are included as a component of Accumulated other comprehensive income (loss) on the Consolidated Statements of Changes in Equity and Redeemable Non-Controlling Interests.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9"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Prior to the Business Combination, the Company operated as a partnership, and therefore, was generally not subject to U.S. federal or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Certain non-U.S. subsidiaries are subject to income taxes in their respective local jurisdictions.</w:t>
      </w:r>
    </w:p>
    <w:p>
      <w:pPr>
        <w:spacing w:after="0" w:line="184"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method, which requires the recognition of deferred tax assets and liabilities for the expected future tax consequences of differences between the financial reporting bases of assets and liabilities and their respective tax bases, using tax rates in effect for the year in which the differences are expected to reverse. The effect of a change in tax rates on deferred tax assets and liabilities is recognized in Income tax expense (benefit)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taxable temporary differences and tax planning strategies.</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900"/>
          </w:cols>
          <w:pgMar w:left="1180" w:top="201" w:right="1160" w:bottom="169"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The Company analyzes its tax positions for all U.S. federal, state and local and foreign tax jurisdictions where it is required to file income tax returns. The Company records unrecognized tax benefits based on whether it is more-likely-than-not that the uncertain tax position will be sustained based on the technical merits of the position. If it is determined that an uncertain tax position is more-likely-than-not to be sustained, the Company records the largest amount of tax benefit that is more than 50% likely to be realized upon ultimate settlement with the related tax authorities. The Company recognizes interest and penalties, if any, related to unrecognized tax benefits in Income tax expense (benefit) on the Consolidated Statements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(Loss) Per Share</w:t>
      </w:r>
    </w:p>
    <w:p>
      <w:pPr>
        <w:spacing w:after="0" w:line="21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Basic net income (loss) per share is calculated by dividing net income (loss) attributable to Class A common shareholders by the weighted-average shares of Class A common stock outstanding without the consideration for potential dilutive securities. Diluted net income (loss) per share represents basic net income (loss) per share adjusted to include the potentially dilutive effect of outstanding unvested share awards, warrants, and PWP OpCo Units that are exchangeable into shares of Class A common stock on a one-for-one basis. Diluted net income (loss) per share is computed by dividing the net income attributable to Class A common shareholders by the weighted-average number of shares of Class A common stock outstanding for the period determined using the treasury stock method and if-converted method, as applicable.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Income (Loss)</w:t>
      </w:r>
    </w:p>
    <w:p>
      <w:pPr>
        <w:spacing w:after="0" w:line="219"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Comprehensive income (loss) consists of Net income (loss) and Other comprehensive income (loss). The Company’s Other comprehensive income (loss) is composed of foreign currency translation gains and losses.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w:t>
      </w:r>
    </w:p>
    <w:p>
      <w:pPr>
        <w:spacing w:after="0" w:line="219"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The Company accounts for business combinations under the acquisition method of accounting, which requires an allocation of the total consideration paid for the acquired business to the identifiable assets acquired and liabilities assumed based on their estimated fair values as of the acquisition date. Any excess of fair value of total consideration paid over the fair value of the net assets acquired is recognized as goodwill. Contingent consideration obligations are recognized at the acquisition date as part of the fair value transferred in exchange for the acquired business. Contingent consideration arrangements are revalued to fair value each reporting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15"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b w:val="1"/>
          <w:bCs w:val="1"/>
          <w:i w:val="1"/>
          <w:iCs w:val="1"/>
          <w:color w:val="auto"/>
        </w:rPr>
        <w:t>Segment Reporting</w:t>
      </w:r>
      <w:r>
        <w:rPr>
          <w:rFonts w:ascii="Times New Roman" w:cs="Times New Roman" w:eastAsia="Times New Roman" w:hAnsi="Times New Roman"/>
          <w:sz w:val="20"/>
          <w:szCs w:val="20"/>
          <w:color w:val="auto"/>
        </w:rPr>
        <w:t>—Effective for the year ended December 31, 2024, the Company retrospectively adopted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Accounting Standards Update 2023-07, </w:t>
      </w:r>
      <w:r>
        <w:rPr>
          <w:rFonts w:ascii="Times New Roman" w:cs="Times New Roman" w:eastAsia="Times New Roman" w:hAnsi="Times New Roman"/>
          <w:sz w:val="20"/>
          <w:szCs w:val="20"/>
          <w:b w:val="1"/>
          <w:bCs w:val="1"/>
          <w:i w:val="1"/>
          <w:iCs w:val="1"/>
          <w:color w:val="auto"/>
        </w:rPr>
        <w:t>Improvements to Reportable Segment Disclosures</w:t>
      </w:r>
      <w:r>
        <w:rPr>
          <w:rFonts w:ascii="Times New Roman" w:cs="Times New Roman" w:eastAsia="Times New Roman" w:hAnsi="Times New Roman"/>
          <w:sz w:val="20"/>
          <w:szCs w:val="20"/>
          <w:color w:val="auto"/>
        </w:rPr>
        <w:t xml:space="preserve"> (“ASU 2023-07”), which amends the guidance in ASC Topic 280, Segment Reporting (“ASC 280”). ASU 2023-07 requires enhanced disclosures about reportable segments on an annual and interim basis and clarifies that an entity with a single reportable segment is subject to all existing and amended disclosure requirements in ASC 280. Refer to Note 18—Segment and Geographic Information for the Company’s segment disclosures.</w:t>
      </w:r>
    </w:p>
    <w:p>
      <w:pPr>
        <w:spacing w:after="0" w:line="181" w:lineRule="exact"/>
        <w:rPr>
          <w:sz w:val="20"/>
          <w:szCs w:val="20"/>
          <w:color w:val="auto"/>
        </w:rPr>
      </w:pPr>
    </w:p>
    <w:p>
      <w:pPr>
        <w:jc w:val="both"/>
        <w:ind w:right="20" w:firstLine="360"/>
        <w:spacing w:after="0" w:line="222" w:lineRule="auto"/>
        <w:rPr>
          <w:sz w:val="20"/>
          <w:szCs w:val="20"/>
          <w:color w:val="auto"/>
        </w:rPr>
      </w:pP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—Effective for the year ended December 31, 2025, the Company retrospectively adopted Accounting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Standards Update 2023-09, </w:t>
      </w:r>
      <w:r>
        <w:rPr>
          <w:rFonts w:ascii="Times New Roman" w:cs="Times New Roman" w:eastAsia="Times New Roman" w:hAnsi="Times New Roman"/>
          <w:sz w:val="20"/>
          <w:szCs w:val="20"/>
          <w:b w:val="1"/>
          <w:bCs w:val="1"/>
          <w:i w:val="1"/>
          <w:iCs w:val="1"/>
          <w:color w:val="auto"/>
        </w:rPr>
        <w:t>Improvements to Income Tax Disclosures</w:t>
      </w:r>
      <w:r>
        <w:rPr>
          <w:rFonts w:ascii="Times New Roman" w:cs="Times New Roman" w:eastAsia="Times New Roman" w:hAnsi="Times New Roman"/>
          <w:sz w:val="20"/>
          <w:szCs w:val="20"/>
          <w:color w:val="auto"/>
        </w:rPr>
        <w:t xml:space="preserve"> (“ASU 2023-09”), which amends the guidance in ASC Topic 740, Income Taxes, to improve the transparency of income tax disclosures by requiring (1) consistent categories and greater disaggregation of information in the rate reconciliation and (2) income taxes paid disaggregated by jurisdiction. Refer to Note 9—Income Taxes for the Company’s expanded income tax disclosures.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Adoption of Accounting Pronouncements</w:t>
      </w:r>
    </w:p>
    <w:p>
      <w:pPr>
        <w:spacing w:after="0" w:line="215" w:lineRule="exact"/>
        <w:rPr>
          <w:sz w:val="20"/>
          <w:szCs w:val="20"/>
          <w:color w:val="auto"/>
        </w:rPr>
      </w:pPr>
    </w:p>
    <w:p>
      <w:pPr>
        <w:jc w:val="both"/>
        <w:ind w:firstLine="360"/>
        <w:spacing w:after="0" w:line="218" w:lineRule="auto"/>
        <w:rPr>
          <w:sz w:val="20"/>
          <w:szCs w:val="20"/>
          <w:color w:val="auto"/>
        </w:rPr>
      </w:pPr>
      <w:r>
        <w:rPr>
          <w:rFonts w:ascii="Times New Roman" w:cs="Times New Roman" w:eastAsia="Times New Roman" w:hAnsi="Times New Roman"/>
          <w:sz w:val="20"/>
          <w:szCs w:val="20"/>
          <w:b w:val="1"/>
          <w:bCs w:val="1"/>
          <w:i w:val="1"/>
          <w:iCs w:val="1"/>
          <w:color w:val="auto"/>
        </w:rPr>
        <w:t>Expense Disaggregation</w:t>
      </w:r>
      <w:r>
        <w:rPr>
          <w:rFonts w:ascii="Times New Roman" w:cs="Times New Roman" w:eastAsia="Times New Roman" w:hAnsi="Times New Roman"/>
          <w:sz w:val="20"/>
          <w:szCs w:val="20"/>
          <w:color w:val="auto"/>
        </w:rPr>
        <w:t>—In November 2024, the Financial Accounting Standards Board (“FASB”) issued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Accounting Standards Update 2024-03, </w:t>
      </w:r>
      <w:r>
        <w:rPr>
          <w:rFonts w:ascii="Times New Roman" w:cs="Times New Roman" w:eastAsia="Times New Roman" w:hAnsi="Times New Roman"/>
          <w:sz w:val="20"/>
          <w:szCs w:val="20"/>
          <w:b w:val="1"/>
          <w:bCs w:val="1"/>
          <w:i w:val="1"/>
          <w:iCs w:val="1"/>
          <w:color w:val="auto"/>
        </w:rPr>
        <w:t>Disaggregation of Income Statement Expenses</w:t>
      </w:r>
      <w:r>
        <w:rPr>
          <w:rFonts w:ascii="Times New Roman" w:cs="Times New Roman" w:eastAsia="Times New Roman" w:hAnsi="Times New Roman"/>
          <w:sz w:val="20"/>
          <w:szCs w:val="20"/>
          <w:color w:val="auto"/>
        </w:rPr>
        <w:t xml:space="preserve"> (“ASU 2024-03”), which amends the guidance in ASC Topic 220, Income Statement—Reporting Comprehensive Income, to improve the transparency of expense disclosures by requiring more detailed information about the types of expenses in commonly presented expense captions. The amendments in ASU 2024-03 are effective for the Company beginning with the annual period ended December 31, 2027. The amendments can be applied prospectively or retrospectively and early adoption is permitted. The Company does not expect the adoption of ASU 2024-03 to have a material impact on the consolidated financial statements.</w:t>
      </w:r>
    </w:p>
    <w:p>
      <w:pPr>
        <w:spacing w:after="0" w:line="178"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19"/>
          <w:szCs w:val="19"/>
          <w:b w:val="1"/>
          <w:bCs w:val="1"/>
          <w:i w:val="1"/>
          <w:iCs w:val="1"/>
          <w:color w:val="auto"/>
        </w:rPr>
        <w:t>Credit Losses</w:t>
      </w:r>
      <w:r>
        <w:rPr>
          <w:rFonts w:ascii="Times New Roman" w:cs="Times New Roman" w:eastAsia="Times New Roman" w:hAnsi="Times New Roman"/>
          <w:sz w:val="19"/>
          <w:szCs w:val="19"/>
          <w:color w:val="auto"/>
        </w:rPr>
        <w:t>—In July 2025, the FASB issued Accounting Standards Update 2025-05,</w:t>
      </w:r>
      <w:r>
        <w:rPr>
          <w:rFonts w:ascii="Times New Roman" w:cs="Times New Roman" w:eastAsia="Times New Roman" w:hAnsi="Times New Roman"/>
          <w:sz w:val="19"/>
          <w:szCs w:val="19"/>
          <w:b w:val="1"/>
          <w:bCs w:val="1"/>
          <w:i w:val="1"/>
          <w:iCs w:val="1"/>
          <w:color w:val="auto"/>
        </w:rPr>
        <w:t xml:space="preserve"> Measurement of Credit Losses for Accounts Receivable and Contract Assets </w:t>
      </w:r>
      <w:r>
        <w:rPr>
          <w:rFonts w:ascii="Times New Roman" w:cs="Times New Roman" w:eastAsia="Times New Roman" w:hAnsi="Times New Roman"/>
          <w:sz w:val="19"/>
          <w:szCs w:val="19"/>
          <w:color w:val="auto"/>
        </w:rPr>
        <w:t>(“ASU 2025-05”), which amends the guidance in ASC Topic 326, Financial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Instruments—Credit Losses, to reduce the uncertainty inherent in developing reasonable and supportable forecasts, simplify the process for preparing the estimate of expected credit losses, and eliminate the need for certain documentation. The amendments in ASU 2025-05 are effective for the Company beginning with the interim periods within the annual period ended December 31, 2026. The amendments are to be applied prospectively with early adoption permitted. The Company does not expect the adoption of ASU 2025-05 to have a material impact on the consolidated financial statements.</w:t>
      </w:r>
    </w:p>
    <w:p>
      <w:pPr>
        <w:sectPr>
          <w:pgSz w:w="12240" w:h="15840" w:orient="portrait"/>
          <w:cols w:equalWidth="0" w:num="1">
            <w:col w:w="9900"/>
          </w:cols>
          <w:pgMar w:left="1180" w:top="201" w:right="1160" w:bottom="169" w:gutter="0" w:footer="0" w:header="0"/>
        </w:sectPr>
      </w:pP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900"/>
          </w:cols>
          <w:pgMar w:left="1180" w:top="201" w:right="1160" w:bottom="169"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9"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b w:val="1"/>
          <w:bCs w:val="1"/>
          <w:i w:val="1"/>
          <w:iCs w:val="1"/>
          <w:color w:val="auto"/>
        </w:rPr>
        <w:t>Internal-Use Software</w:t>
      </w:r>
      <w:r>
        <w:rPr>
          <w:rFonts w:ascii="Times New Roman" w:cs="Times New Roman" w:eastAsia="Times New Roman" w:hAnsi="Times New Roman"/>
          <w:sz w:val="20"/>
          <w:szCs w:val="20"/>
          <w:color w:val="auto"/>
        </w:rPr>
        <w:t>—In September 2025, the FASB issued Accounting Standards Update 2025-06,</w:t>
      </w:r>
      <w:r>
        <w:rPr>
          <w:rFonts w:ascii="Times New Roman" w:cs="Times New Roman" w:eastAsia="Times New Roman" w:hAnsi="Times New Roman"/>
          <w:sz w:val="20"/>
          <w:szCs w:val="20"/>
          <w:b w:val="1"/>
          <w:bCs w:val="1"/>
          <w:i w:val="1"/>
          <w:iCs w:val="1"/>
          <w:color w:val="auto"/>
        </w:rPr>
        <w:t xml:space="preserve"> Targeted Improvements to the Accounting for Internal-Use Software </w:t>
      </w:r>
      <w:r>
        <w:rPr>
          <w:rFonts w:ascii="Times New Roman" w:cs="Times New Roman" w:eastAsia="Times New Roman" w:hAnsi="Times New Roman"/>
          <w:sz w:val="20"/>
          <w:szCs w:val="20"/>
          <w:color w:val="auto"/>
        </w:rPr>
        <w:t>(“ASU 2025-06”), which amends the guidance in ASC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Subtopic 350-40, Intangibles—Goodwill and Other—Internal-Use Software, to clarify and increase the operability of applying the internal-use software guidance to software costs incurred in an iterative development environment. The amendments in ASU 2025-06 are effective for the Company beginning with the interim periods within the annual period ended December 31, 2028. The amendments can be applied prospectively, retrospectively, or on a modified transition approach based on the status of the project and whether software costs were capitalized before the date of adoption. Early adoption is permitted. The Company does not expect the adoption of ASU 2025-06 to have a material impact on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3—Business Combination</w:t>
      </w:r>
    </w:p>
    <w:p>
      <w:pPr>
        <w:spacing w:after="0" w:line="217"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On October 1, 2025 (the “Acquisition Closing”), the Company completed the acquisition of Devon Park Advisors, LLC, including its wholly owned broker-dealer subsidiary, Devon Park Securities, LLC (collectively, “Devon Park”), an advisory firm founded in 2021 specializing in transactions related to GP-led secondaries, GP advisory, and fund secondaries (the “Devon Park Acquisition”). The purchase price of $49.2 million consisted of cash consideration of $23.0 million, equity consideration of $22.7 million, and contingent consideration of $3.5 million.</w:t>
      </w:r>
    </w:p>
    <w:p>
      <w:pPr>
        <w:spacing w:after="0" w:line="181"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The equity consideration of 1,065,110 shares of Class A common stock had a fair value of $22.7 million as of the Acquisition Closing and will be delivered in three equal share installments with the first delivered at the Acquisition Closing and the remaining to be delivered in the third quarters of 2026 and 2027. The Company also entered into acquisition-related compensation arrangements with certain employees of Devon Park amounting to $7.2 million in the form of guaranteed cash bonuses, retention bonuses to be paid in three annual installments, and restricted stock units (“RSUs”) that vest over three years. Compensation expense is amortized on a straight-line basis over the requisite service period. Since the arrangements compensate employees for future services, the value of these arrangements was not included in the purchase price.</w:t>
      </w:r>
    </w:p>
    <w:p>
      <w:pPr>
        <w:spacing w:after="0" w:line="184"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The contingent consideration includes additional cash or equity consideration (the “Earn-out”) that may be earned if certain client engagements generate revenue within one year of the Acquisition Closing. The Company recorded a $3.5 million liability as of the acquisition date for the fair value of the Earn-out, which is included in Accounts payable, accrued expenses and other liabilities on the Consolidated Statements of Financial Condition. Adjustments to the fair value of the Earn-out after the Acquisition Closing are recorded within Other income (expense) on the Consolidated Statements of Operations. The terms of the Earn-out allow for settlement in both cash and shares of PWP Class A common stock on various settlement dates which depend on the timing of cash receipts from clients. Amounts settled with shares of Class A common stock are delivered in three equal annual installments, although PWP has sole discretion to settle fully in cash.</w:t>
      </w:r>
    </w:p>
    <w:p>
      <w:pPr>
        <w:spacing w:after="0" w:line="18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The Company recorded $38.3 million of goodwill on the Consolidated Statements of Financial Condition, all of which is expected to be deductible for income tax purposes. In management's opinion, the goodwill represents the reputation, operating expertise, and assembled workforce value of Devon Park, as well as expected synergies arising from the combined entity. The Company acquired customer relationships in the Devon Park Acquisition that were deemed identifiable intangible assets with an acquisition-date fair value of $7.1 million.</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Transaction costs of $0.8 million were incurred during the year ended December 31, 2025 and are included in Professional fees on the Consolidated Statements of Operations.</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900"/>
          </w:cols>
          <w:pgMar w:left="1180" w:top="201" w:right="1160" w:bottom="169"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following table summarizes the estimated fair values of assets acquired and liabilities assumed as of the date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Devon Park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146050</wp:posOffset>
            </wp:positionV>
            <wp:extent cx="6324600" cy="24034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extLst>
                    </a:blip>
                    <a:srcRect/>
                    <a:stretch>
                      <a:fillRect/>
                    </a:stretch>
                  </pic:blipFill>
                  <pic:spPr bwMode="auto">
                    <a:xfrm>
                      <a:off x="0" y="0"/>
                      <a:ext cx="6324600" cy="2403475"/>
                    </a:xfrm>
                    <a:prstGeom prst="rect">
                      <a:avLst/>
                    </a:prstGeom>
                    <a:noFill/>
                  </pic:spPr>
                </pic:pic>
              </a:graphicData>
            </a:graphic>
          </wp:anchor>
        </w:drawing>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7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7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Cash and cash equivalents </w:t>
            </w:r>
            <w:r>
              <w:rPr>
                <w:rFonts w:ascii="Times New Roman" w:cs="Times New Roman" w:eastAsia="Times New Roman" w:hAnsi="Times New Roman"/>
                <w:sz w:val="20"/>
                <w:szCs w:val="20"/>
                <w:color w:val="B4B4B4"/>
              </w:rPr>
              <w:t>................................................................................................................</w:t>
            </w:r>
          </w:p>
        </w:tc>
        <w:tc>
          <w:tcPr>
            <w:tcW w:w="74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4,187</w:t>
            </w:r>
          </w:p>
        </w:tc>
        <w:tc>
          <w:tcPr>
            <w:tcW w:w="0" w:type="dxa"/>
            <w:vAlign w:val="bottom"/>
          </w:tcPr>
          <w:p>
            <w:pPr>
              <w:spacing w:after="0"/>
              <w:rPr>
                <w:sz w:val="1"/>
                <w:szCs w:val="1"/>
                <w:color w:val="auto"/>
              </w:rPr>
            </w:pP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Accounts receivable </w:t>
            </w:r>
            <w:r>
              <w:rPr>
                <w:rFonts w:ascii="Times New Roman" w:cs="Times New Roman" w:eastAsia="Times New Roman" w:hAnsi="Times New Roman"/>
                <w:sz w:val="20"/>
                <w:szCs w:val="20"/>
                <w:color w:val="B4B4B4"/>
              </w:rPr>
              <w:t>.........................................................................................................................</w:t>
            </w:r>
          </w:p>
        </w:tc>
        <w:tc>
          <w:tcPr>
            <w:tcW w:w="7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0" w:type="dxa"/>
            <w:vAlign w:val="bottom"/>
          </w:tcPr>
          <w:p>
            <w:pPr>
              <w:spacing w:after="0"/>
              <w:rPr>
                <w:sz w:val="1"/>
                <w:szCs w:val="1"/>
                <w:color w:val="auto"/>
              </w:rPr>
            </w:pP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Prepaid expenses and other assets </w:t>
            </w:r>
            <w:r>
              <w:rPr>
                <w:rFonts w:ascii="Times New Roman" w:cs="Times New Roman" w:eastAsia="Times New Roman" w:hAnsi="Times New Roman"/>
                <w:sz w:val="20"/>
                <w:szCs w:val="20"/>
                <w:color w:val="B4B4B4"/>
              </w:rPr>
              <w:t>....................................................................................................</w:t>
            </w:r>
          </w:p>
        </w:tc>
        <w:tc>
          <w:tcPr>
            <w:tcW w:w="7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0" w:type="dxa"/>
            <w:vAlign w:val="bottom"/>
          </w:tcPr>
          <w:p>
            <w:pPr>
              <w:spacing w:after="0"/>
              <w:rPr>
                <w:sz w:val="1"/>
                <w:szCs w:val="1"/>
                <w:color w:val="auto"/>
              </w:rPr>
            </w:pP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Right-of-use lease asset </w:t>
            </w:r>
            <w:r>
              <w:rPr>
                <w:rFonts w:ascii="Times New Roman" w:cs="Times New Roman" w:eastAsia="Times New Roman" w:hAnsi="Times New Roman"/>
                <w:sz w:val="20"/>
                <w:szCs w:val="20"/>
                <w:color w:val="B4B4B4"/>
              </w:rPr>
              <w:t>....................................................................................................................</w:t>
            </w:r>
          </w:p>
        </w:tc>
        <w:tc>
          <w:tcPr>
            <w:tcW w:w="7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0" w:type="dxa"/>
            <w:vAlign w:val="bottom"/>
          </w:tcPr>
          <w:p>
            <w:pPr>
              <w:spacing w:after="0"/>
              <w:rPr>
                <w:sz w:val="1"/>
                <w:szCs w:val="1"/>
                <w:color w:val="auto"/>
              </w:rPr>
            </w:pP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Intangible assets </w:t>
            </w:r>
            <w:r>
              <w:rPr>
                <w:rFonts w:ascii="Times New Roman" w:cs="Times New Roman" w:eastAsia="Times New Roman" w:hAnsi="Times New Roman"/>
                <w:sz w:val="20"/>
                <w:szCs w:val="20"/>
                <w:color w:val="B4B4B4"/>
              </w:rPr>
              <w:t>...............................................................................................................................</w:t>
            </w:r>
          </w:p>
        </w:tc>
        <w:tc>
          <w:tcPr>
            <w:tcW w:w="7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7,100</w:t>
            </w:r>
          </w:p>
        </w:tc>
        <w:tc>
          <w:tcPr>
            <w:tcW w:w="0" w:type="dxa"/>
            <w:vAlign w:val="bottom"/>
          </w:tcPr>
          <w:p>
            <w:pPr>
              <w:spacing w:after="0"/>
              <w:rPr>
                <w:sz w:val="1"/>
                <w:szCs w:val="1"/>
                <w:color w:val="auto"/>
              </w:rPr>
            </w:pPr>
          </w:p>
        </w:tc>
      </w:tr>
      <w:tr>
        <w:trPr>
          <w:trHeight w:val="288"/>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Goodwill</w:t>
            </w:r>
            <w:r>
              <w:rPr>
                <w:rFonts w:ascii="Times New Roman" w:cs="Times New Roman" w:eastAsia="Times New Roman" w:hAnsi="Times New Roman"/>
                <w:sz w:val="20"/>
                <w:szCs w:val="20"/>
                <w:color w:val="B4B4B4"/>
              </w:rPr>
              <w:t>...........................................................................................................................................</w:t>
            </w:r>
          </w:p>
        </w:tc>
        <w:tc>
          <w:tcPr>
            <w:tcW w:w="7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38,308</w:t>
            </w:r>
          </w:p>
        </w:tc>
        <w:tc>
          <w:tcPr>
            <w:tcW w:w="0" w:type="dxa"/>
            <w:vAlign w:val="bottom"/>
          </w:tcPr>
          <w:p>
            <w:pPr>
              <w:spacing w:after="0"/>
              <w:rPr>
                <w:sz w:val="1"/>
                <w:szCs w:val="1"/>
                <w:color w:val="auto"/>
              </w:rPr>
            </w:pPr>
          </w:p>
        </w:tc>
      </w:tr>
      <w:tr>
        <w:trPr>
          <w:trHeight w:val="24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Total assets acquired</w:t>
            </w:r>
            <w:r>
              <w:rPr>
                <w:rFonts w:ascii="Times New Roman" w:cs="Times New Roman" w:eastAsia="Times New Roman" w:hAnsi="Times New Roman"/>
                <w:sz w:val="20"/>
                <w:szCs w:val="20"/>
                <w:color w:val="B4B4B4"/>
                <w:w w:val="99"/>
              </w:rPr>
              <w:t>...........................................................................................................................</w:t>
            </w:r>
          </w:p>
        </w:tc>
        <w:tc>
          <w:tcPr>
            <w:tcW w:w="7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50,123</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880" w:type="dxa"/>
            <w:vAlign w:val="bottom"/>
            <w:vMerge w:val="continue"/>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Accounts payable, accrued expenses and other liabilities </w:t>
            </w:r>
            <w:r>
              <w:rPr>
                <w:rFonts w:ascii="Times New Roman" w:cs="Times New Roman" w:eastAsia="Times New Roman" w:hAnsi="Times New Roman"/>
                <w:sz w:val="20"/>
                <w:szCs w:val="20"/>
                <w:color w:val="B4B4B4"/>
              </w:rPr>
              <w:t>...............................................................</w:t>
            </w:r>
          </w:p>
        </w:tc>
        <w:tc>
          <w:tcPr>
            <w:tcW w:w="74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w:t>
            </w:r>
          </w:p>
        </w:tc>
        <w:tc>
          <w:tcPr>
            <w:tcW w:w="0" w:type="dxa"/>
            <w:vAlign w:val="bottom"/>
          </w:tcPr>
          <w:p>
            <w:pPr>
              <w:spacing w:after="0"/>
              <w:rPr>
                <w:sz w:val="1"/>
                <w:szCs w:val="1"/>
                <w:color w:val="auto"/>
              </w:rPr>
            </w:pPr>
          </w:p>
        </w:tc>
      </w:tr>
      <w:tr>
        <w:trPr>
          <w:trHeight w:val="288"/>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Lease liability </w:t>
            </w:r>
            <w:r>
              <w:rPr>
                <w:rFonts w:ascii="Times New Roman" w:cs="Times New Roman" w:eastAsia="Times New Roman" w:hAnsi="Times New Roman"/>
                <w:sz w:val="20"/>
                <w:szCs w:val="20"/>
                <w:color w:val="B4B4B4"/>
              </w:rPr>
              <w:t>...................................................................................................................................</w:t>
            </w:r>
          </w:p>
        </w:tc>
        <w:tc>
          <w:tcPr>
            <w:tcW w:w="7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0" w:type="dxa"/>
            <w:vAlign w:val="bottom"/>
          </w:tcPr>
          <w:p>
            <w:pPr>
              <w:spacing w:after="0"/>
              <w:rPr>
                <w:sz w:val="1"/>
                <w:szCs w:val="1"/>
                <w:color w:val="auto"/>
              </w:rPr>
            </w:pPr>
          </w:p>
        </w:tc>
      </w:tr>
      <w:tr>
        <w:trPr>
          <w:trHeight w:val="26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liabilities assumed </w:t>
            </w:r>
            <w:r>
              <w:rPr>
                <w:rFonts w:ascii="Times New Roman" w:cs="Times New Roman" w:eastAsia="Times New Roman" w:hAnsi="Times New Roman"/>
                <w:sz w:val="20"/>
                <w:szCs w:val="20"/>
                <w:color w:val="B4B4B4"/>
                <w:w w:val="99"/>
              </w:rPr>
              <w:t>.....................................................................................................................</w:t>
            </w:r>
          </w:p>
        </w:tc>
        <w:tc>
          <w:tcPr>
            <w:tcW w:w="7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880</w:t>
            </w:r>
          </w:p>
        </w:tc>
        <w:tc>
          <w:tcPr>
            <w:tcW w:w="0" w:type="dxa"/>
            <w:vAlign w:val="bottom"/>
          </w:tcPr>
          <w:p>
            <w:pPr>
              <w:spacing w:after="0"/>
              <w:rPr>
                <w:sz w:val="1"/>
                <w:szCs w:val="1"/>
                <w:color w:val="auto"/>
              </w:rPr>
            </w:pPr>
          </w:p>
        </w:tc>
      </w:tr>
      <w:tr>
        <w:trPr>
          <w:trHeight w:val="24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net assets acquired </w:t>
            </w:r>
            <w:r>
              <w:rPr>
                <w:rFonts w:ascii="Times New Roman" w:cs="Times New Roman" w:eastAsia="Times New Roman" w:hAnsi="Times New Roman"/>
                <w:sz w:val="20"/>
                <w:szCs w:val="20"/>
                <w:color w:val="B4B4B4"/>
                <w:w w:val="99"/>
              </w:rPr>
              <w:t>.....................................................................................................................</w:t>
            </w:r>
          </w:p>
        </w:tc>
        <w:tc>
          <w:tcPr>
            <w:tcW w:w="7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49,243</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The results of operations of Devon Park have been included in the Company’s consolidated financial statements prospectively beginning on the acquisition date. Devon Park has been fully integrated with the Company’s existing operations. Accordingly, post-acquisition revenues and net income are not discernible. Pro forma financial information for Devon Park is not presented as the impact to the Company’s historical results is not 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4—Revenue and Receivables from Contracts with Customers</w:t>
      </w: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disaggregates the Company’s revenue between over time and point in time recognition:</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r>
      <w:tr>
        <w:trPr>
          <w:trHeight w:val="263"/>
        </w:trPr>
        <w:tc>
          <w:tcPr>
            <w:tcW w:w="5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Over time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738,833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848,302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609,598</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Point in time </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12,070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29,737</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39,054</w:t>
            </w:r>
          </w:p>
        </w:tc>
      </w:tr>
      <w:tr>
        <w:trPr>
          <w:trHeight w:val="248"/>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revenues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750,903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878,039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648,652</w:t>
            </w:r>
          </w:p>
        </w:tc>
      </w:tr>
      <w:tr>
        <w:trPr>
          <w:trHeight w:val="20"/>
        </w:trPr>
        <w:tc>
          <w:tcPr>
            <w:tcW w:w="5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286500" cy="593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extLst>
                    </a:blip>
                    <a:srcRect/>
                    <a:stretch>
                      <a:fillRect/>
                    </a:stretch>
                  </pic:blipFill>
                  <pic:spPr bwMode="auto">
                    <a:xfrm>
                      <a:off x="0" y="0"/>
                      <a:ext cx="6286500" cy="593725"/>
                    </a:xfrm>
                    <a:prstGeom prst="rect">
                      <a:avLst/>
                    </a:prstGeom>
                    <a:noFill/>
                  </pic:spPr>
                </pic:pic>
              </a:graphicData>
            </a:graphic>
          </wp:anchor>
        </w:drawing>
      </w:r>
    </w:p>
    <w:p>
      <w:pPr>
        <w:spacing w:after="0" w:line="228"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Reimbursable expenses billed to clients were $5.4 million, $7.4 million, and $6.2 million for the years ended December 31, 2025, 2024, and 2023,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Obligations and Contract Balances</w:t>
      </w:r>
    </w:p>
    <w:p>
      <w:pPr>
        <w:spacing w:after="0" w:line="219"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As of December 31, 2025, the aggregate amount of the transaction price, as defined in the Codification, allocated to performance obligations yet to be satisfied was $1.0 million, and the Company generally expects to recognize this revenue within the next twelve months. Such amounts primarily relate to the Company’s performance obligations of providing transaction-related advisory services. A significant portion of total revenues in any given period often relates to performance obligations that were satisfied or partially satisfied in prior periods. These amounts are recognized upon the resolution of revenue constraints and uncertainties in the relevant period and are generally related to transaction-related advisory services.</w:t>
      </w:r>
    </w:p>
    <w:p>
      <w:pPr>
        <w:spacing w:after="0" w:line="184"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As of December 31, 2025 and 2024, the Company recorded $1.0 million and $0.6 million, respectively, for contract liabilities which are presented within Accounts payable, accrued expenses and other liabilities on the Consolidated Statements of Financial Condition. The Company recognized previously deferred revenue of $0.5 million, $0.7 million, and $4.6 million for the years ended December 31, 2025, 2024, and 2023, respectively, which was primarily related to transaction-related advisory services that are recognized over time.</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900"/>
          </w:cols>
          <w:pgMar w:left="1180" w:top="201" w:right="1160" w:bottom="169" w:gutter="0" w:footer="0" w:header="0"/>
          <w:type w:val="continuous"/>
        </w:sectPr>
      </w:pPr>
    </w:p>
    <w:bookmarkStart w:id="62" w:name="page63"/>
    <w:bookmarkEnd w:id="62"/>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and Allowance for Credit Losses</w:t>
      </w:r>
    </w:p>
    <w:p>
      <w:pPr>
        <w:spacing w:after="0" w:line="219" w:lineRule="exact"/>
        <w:rPr>
          <w:sz w:val="20"/>
          <w:szCs w:val="20"/>
          <w:color w:val="auto"/>
        </w:rPr>
      </w:pPr>
    </w:p>
    <w:p>
      <w:pPr>
        <w:jc w:val="both"/>
        <w:ind w:left="10" w:firstLine="360"/>
        <w:spacing w:after="0" w:line="216" w:lineRule="auto"/>
        <w:rPr>
          <w:sz w:val="20"/>
          <w:szCs w:val="20"/>
          <w:color w:val="auto"/>
        </w:rPr>
      </w:pPr>
      <w:r>
        <w:rPr>
          <w:rFonts w:ascii="Times New Roman" w:cs="Times New Roman" w:eastAsia="Times New Roman" w:hAnsi="Times New Roman"/>
          <w:sz w:val="20"/>
          <w:szCs w:val="20"/>
          <w:color w:val="auto"/>
        </w:rPr>
        <w:t>As of December 31, 2025 and 2024, $22.2 million and $13.3 million, respectively, of accrued revenue was included in Accounts receivable, net of allowance on the Consolidated Statements of Financial Condition. These amounts have been recognized as revenue in accordance with the Company’s revenue recognition policies but remained unbilled at the end of the period. As of December 31, 2025, certain accounts receivable in the aggregate amount of $22.3 million were individually greater than 10% of the Company’s gross accounts receivable and were concentrated with three clients. Of that amount, all was subsequently received after year end. As of December 31, 2024, certain accounts receivable in the aggregate amount of $23.9 million were individually greater than 10% of the Company’s gross accounts receivable and were concentrated with two clients. Of that amount, all was subsequently received after year end.</w:t>
      </w:r>
    </w:p>
    <w:p>
      <w:pPr>
        <w:spacing w:after="0" w:line="184"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The allowance for credit losses activity for the years ended December 31, 2025, 2024, and 2023 was as follows:</w:t>
      </w:r>
    </w:p>
    <w:p>
      <w:pPr>
        <w:spacing w:after="0" w:line="27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r>
      <w:tr>
        <w:trPr>
          <w:trHeight w:val="263"/>
        </w:trPr>
        <w:tc>
          <w:tcPr>
            <w:tcW w:w="5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Beginning balance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1,143</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Bad debt expense </w:t>
            </w:r>
            <w:r>
              <w:rPr>
                <w:rFonts w:ascii="Times New Roman" w:cs="Times New Roman" w:eastAsia="Times New Roman" w:hAnsi="Times New Roman"/>
                <w:sz w:val="20"/>
                <w:szCs w:val="20"/>
                <w:color w:val="B4B4B4"/>
                <w:w w:val="99"/>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2,313</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Write-offs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(1,383)</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Recoveries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Foreign currency translation and other adjustments </w:t>
            </w:r>
            <w:r>
              <w:rPr>
                <w:rFonts w:ascii="Times New Roman" w:cs="Times New Roman" w:eastAsia="Times New Roman" w:hAnsi="Times New Roman"/>
                <w:sz w:val="20"/>
                <w:szCs w:val="20"/>
                <w:color w:val="B4B4B4"/>
                <w:w w:val="99"/>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48"/>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Ending balance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2,198</w:t>
            </w:r>
          </w:p>
        </w:tc>
      </w:tr>
      <w:tr>
        <w:trPr>
          <w:trHeight w:val="20"/>
        </w:trPr>
        <w:tc>
          <w:tcPr>
            <w:tcW w:w="5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6286500" cy="11366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6286500" cy="1136650"/>
                    </a:xfrm>
                    <a:prstGeom prst="rect">
                      <a:avLst/>
                    </a:prstGeom>
                    <a:noFill/>
                  </pic:spPr>
                </pic:pic>
              </a:graphicData>
            </a:graphic>
          </wp:anchor>
        </w:drawing>
      </w:r>
    </w:p>
    <w:p>
      <w:pPr>
        <w:spacing w:after="0" w:line="2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5—Leases</w:t>
      </w:r>
    </w:p>
    <w:p>
      <w:pPr>
        <w:spacing w:after="0" w:line="217"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The Company leases office space and equipment under operating lease agreements.</w:t>
      </w:r>
    </w:p>
    <w:p>
      <w:pPr>
        <w:spacing w:after="0" w:line="210" w:lineRule="exact"/>
        <w:rPr>
          <w:sz w:val="20"/>
          <w:szCs w:val="20"/>
          <w:color w:val="auto"/>
        </w:rPr>
      </w:pPr>
    </w:p>
    <w:p>
      <w:pPr>
        <w:jc w:val="both"/>
        <w:ind w:left="10" w:firstLine="360"/>
        <w:spacing w:after="0" w:line="229" w:lineRule="auto"/>
        <w:rPr>
          <w:sz w:val="20"/>
          <w:szCs w:val="20"/>
          <w:color w:val="auto"/>
        </w:rPr>
      </w:pPr>
      <w:r>
        <w:rPr>
          <w:rFonts w:ascii="Times New Roman" w:cs="Times New Roman" w:eastAsia="Times New Roman" w:hAnsi="Times New Roman"/>
          <w:sz w:val="20"/>
          <w:szCs w:val="20"/>
          <w:color w:val="auto"/>
        </w:rPr>
        <w:t>On April 1, 2025, the Company entered into a seven-year agreement to sublease a portion of its New York office to a third party. The sublease term commenced in September 2025 and continues through August 2032. Sublease income is presented net within Rent and occupancy on the Consolidated Statements of Operations.</w:t>
      </w:r>
    </w:p>
    <w:p>
      <w:pPr>
        <w:spacing w:after="0" w:line="182" w:lineRule="exact"/>
        <w:rPr>
          <w:sz w:val="20"/>
          <w:szCs w:val="20"/>
          <w:color w:val="auto"/>
        </w:rPr>
      </w:pPr>
    </w:p>
    <w:p>
      <w:pPr>
        <w:jc w:val="both"/>
        <w:ind w:left="10" w:firstLine="360"/>
        <w:spacing w:after="0" w:line="229" w:lineRule="auto"/>
        <w:rPr>
          <w:sz w:val="20"/>
          <w:szCs w:val="20"/>
          <w:color w:val="auto"/>
        </w:rPr>
      </w:pPr>
      <w:r>
        <w:rPr>
          <w:rFonts w:ascii="Times New Roman" w:cs="Times New Roman" w:eastAsia="Times New Roman" w:hAnsi="Times New Roman"/>
          <w:sz w:val="20"/>
          <w:szCs w:val="20"/>
          <w:color w:val="auto"/>
        </w:rPr>
        <w:t>In December 2025, the Company modified its Houston office lease and extended the lease term by approximately 13 years with an expiration date of January 31, 2041. The lease liability was remeasured as of the modification date, resulting in an increase of $4.3 million and a corresponding increase to the right-of-use asset.</w:t>
      </w:r>
    </w:p>
    <w:p>
      <w:pPr>
        <w:spacing w:after="0" w:line="182"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Other information as it relates to the Company’s operating leases is as follows:</w:t>
      </w: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5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54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5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64"/>
        </w:trPr>
        <w:tc>
          <w:tcPr>
            <w:tcW w:w="5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Weighted-averagediscountrate–operatingleases</w:t>
            </w: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5.0 %</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4.8 %</w:t>
            </w:r>
          </w:p>
        </w:tc>
        <w:tc>
          <w:tcPr>
            <w:tcW w:w="0" w:type="dxa"/>
            <w:vAlign w:val="bottom"/>
          </w:tcPr>
          <w:p>
            <w:pPr>
              <w:spacing w:after="0"/>
              <w:rPr>
                <w:sz w:val="1"/>
                <w:szCs w:val="1"/>
                <w:color w:val="auto"/>
              </w:rPr>
            </w:pPr>
          </w:p>
        </w:tc>
      </w:tr>
      <w:tr>
        <w:trPr>
          <w:trHeight w:val="285"/>
        </w:trPr>
        <w:tc>
          <w:tcPr>
            <w:tcW w:w="5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4"/>
              </w:rPr>
              <w:t xml:space="preserve">Weighted-average remaining lease term – operating leases </w:t>
            </w:r>
            <w:r>
              <w:rPr>
                <w:rFonts w:ascii="Times New Roman" w:cs="Times New Roman" w:eastAsia="Times New Roman" w:hAnsi="Times New Roman"/>
                <w:sz w:val="20"/>
                <w:szCs w:val="20"/>
                <w:color w:val="B4B4B4"/>
                <w:w w:val="84"/>
              </w:rPr>
              <w:t>............................................</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12.5 years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 years</w:t>
            </w:r>
          </w:p>
        </w:tc>
        <w:tc>
          <w:tcPr>
            <w:tcW w:w="0" w:type="dxa"/>
            <w:vAlign w:val="bottom"/>
          </w:tcPr>
          <w:p>
            <w:pPr>
              <w:spacing w:after="0"/>
              <w:rPr>
                <w:sz w:val="1"/>
                <w:szCs w:val="1"/>
                <w:color w:val="auto"/>
              </w:rPr>
            </w:pPr>
          </w:p>
        </w:tc>
      </w:tr>
      <w:tr>
        <w:trPr>
          <w:trHeight w:val="628"/>
        </w:trPr>
        <w:tc>
          <w:tcPr>
            <w:tcW w:w="5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4"/>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Operatingleasecost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19,173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18,895</w:t>
            </w:r>
          </w:p>
        </w:tc>
        <w:tc>
          <w:tcPr>
            <w:tcW w:w="20" w:type="dxa"/>
            <w:vAlign w:val="bottom"/>
          </w:tcPr>
          <w:p>
            <w:pPr>
              <w:spacing w:after="0"/>
              <w:rPr>
                <w:sz w:val="23"/>
                <w:szCs w:val="23"/>
                <w:color w:val="auto"/>
              </w:rPr>
            </w:pPr>
          </w:p>
        </w:tc>
        <w:tc>
          <w:tcPr>
            <w:tcW w:w="46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20,558</w:t>
            </w:r>
          </w:p>
        </w:tc>
        <w:tc>
          <w:tcPr>
            <w:tcW w:w="0" w:type="dxa"/>
            <w:vAlign w:val="bottom"/>
          </w:tcPr>
          <w:p>
            <w:pPr>
              <w:spacing w:after="0"/>
              <w:rPr>
                <w:sz w:val="1"/>
                <w:szCs w:val="1"/>
                <w:color w:val="auto"/>
              </w:rPr>
            </w:pPr>
          </w:p>
        </w:tc>
      </w:tr>
      <w:tr>
        <w:trPr>
          <w:trHeight w:val="285"/>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Variable lease cost </w:t>
            </w:r>
            <w:r>
              <w:rPr>
                <w:rFonts w:ascii="Times New Roman" w:cs="Times New Roman" w:eastAsia="Times New Roman" w:hAnsi="Times New Roman"/>
                <w:sz w:val="20"/>
                <w:szCs w:val="20"/>
                <w:color w:val="B4B4B4"/>
                <w:w w:val="99"/>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3,788</w:t>
            </w:r>
          </w:p>
        </w:tc>
        <w:tc>
          <w:tcPr>
            <w:tcW w:w="0" w:type="dxa"/>
            <w:vAlign w:val="bottom"/>
          </w:tcPr>
          <w:p>
            <w:pPr>
              <w:spacing w:after="0"/>
              <w:rPr>
                <w:sz w:val="1"/>
                <w:szCs w:val="1"/>
                <w:color w:val="auto"/>
              </w:rPr>
            </w:pPr>
          </w:p>
        </w:tc>
      </w:tr>
      <w:tr>
        <w:trPr>
          <w:trHeight w:val="286"/>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Sublease income – operating leases</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(1,246)</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(502)</w:t>
            </w:r>
          </w:p>
        </w:tc>
        <w:tc>
          <w:tcPr>
            <w:tcW w:w="0" w:type="dxa"/>
            <w:vAlign w:val="bottom"/>
          </w:tcPr>
          <w:p>
            <w:pPr>
              <w:spacing w:after="0"/>
              <w:rPr>
                <w:sz w:val="1"/>
                <w:szCs w:val="1"/>
                <w:color w:val="auto"/>
              </w:rPr>
            </w:pPr>
          </w:p>
        </w:tc>
      </w:tr>
      <w:tr>
        <w:trPr>
          <w:trHeight w:val="248"/>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Totalnetleasecost</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21,419</w:t>
            </w: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21,747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23,844</w:t>
            </w:r>
          </w:p>
        </w:tc>
        <w:tc>
          <w:tcPr>
            <w:tcW w:w="0" w:type="dxa"/>
            <w:vAlign w:val="bottom"/>
          </w:tcPr>
          <w:p>
            <w:pPr>
              <w:spacing w:after="0"/>
              <w:rPr>
                <w:sz w:val="1"/>
                <w:szCs w:val="1"/>
                <w:color w:val="auto"/>
              </w:rPr>
            </w:pPr>
          </w:p>
        </w:tc>
      </w:tr>
      <w:tr>
        <w:trPr>
          <w:trHeight w:val="20"/>
        </w:trPr>
        <w:tc>
          <w:tcPr>
            <w:tcW w:w="55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Net cash outflows (inflows) on operating leases</w:t>
            </w:r>
            <w:r>
              <w:rPr>
                <w:rFonts w:ascii="Times New Roman" w:cs="Times New Roman" w:eastAsia="Times New Roman" w:hAnsi="Times New Roman"/>
                <w:sz w:val="26"/>
                <w:szCs w:val="26"/>
                <w:color w:val="auto"/>
                <w:w w:val="99"/>
                <w:vertAlign w:val="superscript"/>
              </w:rPr>
              <w:t>(1)</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color w:val="B4B4B4"/>
                <w:w w:val="99"/>
              </w:rPr>
              <w:t>.............................</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5520" w:type="dxa"/>
            <w:vAlign w:val="bottom"/>
            <w:vMerge w:val="continue"/>
          </w:tcPr>
          <w:p>
            <w:pPr>
              <w:spacing w:after="0"/>
              <w:rPr>
                <w:sz w:val="24"/>
                <w:szCs w:val="24"/>
                <w:color w:val="auto"/>
              </w:rPr>
            </w:pP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19,834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3,022</w:t>
            </w:r>
          </w:p>
        </w:tc>
        <w:tc>
          <w:tcPr>
            <w:tcW w:w="20" w:type="dxa"/>
            <w:vAlign w:val="bottom"/>
          </w:tcPr>
          <w:p>
            <w:pPr>
              <w:spacing w:after="0"/>
              <w:rPr>
                <w:sz w:val="24"/>
                <w:szCs w:val="24"/>
                <w:color w:val="auto"/>
              </w:rPr>
            </w:pPr>
          </w:p>
        </w:tc>
        <w:tc>
          <w:tcPr>
            <w:tcW w:w="46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(4,536)</w:t>
            </w:r>
          </w:p>
        </w:tc>
        <w:tc>
          <w:tcPr>
            <w:tcW w:w="0" w:type="dxa"/>
            <w:vAlign w:val="bottom"/>
          </w:tcPr>
          <w:p>
            <w:pPr>
              <w:spacing w:after="0"/>
              <w:rPr>
                <w:sz w:val="1"/>
                <w:szCs w:val="1"/>
                <w:color w:val="auto"/>
              </w:rPr>
            </w:pPr>
          </w:p>
        </w:tc>
      </w:tr>
      <w:tr>
        <w:trPr>
          <w:trHeight w:val="178"/>
        </w:trPr>
        <w:tc>
          <w:tcPr>
            <w:tcW w:w="5520" w:type="dxa"/>
            <w:vAlign w:val="bottom"/>
          </w:tcPr>
          <w:p>
            <w:pPr>
              <w:jc w:val="right"/>
              <w:ind w:right="3983"/>
              <w:spacing w:after="0" w:line="178" w:lineRule="exact"/>
              <w:rPr>
                <w:sz w:val="20"/>
                <w:szCs w:val="20"/>
                <w:color w:val="auto"/>
              </w:rPr>
            </w:pPr>
            <w:r>
              <w:rPr>
                <w:rFonts w:ascii="Times New Roman" w:cs="Times New Roman" w:eastAsia="Times New Roman" w:hAnsi="Times New Roman"/>
                <w:sz w:val="16"/>
                <w:szCs w:val="16"/>
                <w:color w:val="auto"/>
                <w:w w:val="98"/>
              </w:rPr>
              <w:t>__________________</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-2182495</wp:posOffset>
            </wp:positionV>
            <wp:extent cx="6283325" cy="387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6283325" cy="3873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-1242695</wp:posOffset>
            </wp:positionV>
            <wp:extent cx="6286500" cy="1111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extLst>
                    </a:blip>
                    <a:srcRect/>
                    <a:stretch>
                      <a:fillRect/>
                    </a:stretch>
                  </pic:blipFill>
                  <pic:spPr bwMode="auto">
                    <a:xfrm>
                      <a:off x="0" y="0"/>
                      <a:ext cx="6286500" cy="1111250"/>
                    </a:xfrm>
                    <a:prstGeom prst="rect">
                      <a:avLst/>
                    </a:prstGeom>
                    <a:noFill/>
                  </pic:spPr>
                </pic:pic>
              </a:graphicData>
            </a:graphic>
          </wp:anchor>
        </w:drawing>
      </w:r>
    </w:p>
    <w:p>
      <w:pPr>
        <w:ind w:left="370" w:hanging="370"/>
        <w:spacing w:after="0"/>
        <w:tabs>
          <w:tab w:leader="none" w:pos="37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Presented net of lease incentives received, including landlord contributions to tenant improvements.</w:t>
      </w:r>
    </w:p>
    <w:p>
      <w:pPr>
        <w:sectPr>
          <w:pgSz w:w="12240" w:h="15840" w:orient="portrait"/>
          <w:cols w:equalWidth="0" w:num="1">
            <w:col w:w="9890"/>
          </w:cols>
          <w:pgMar w:left="1170" w:top="201" w:right="118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890"/>
          </w:cols>
          <w:pgMar w:left="1170" w:top="201" w:right="1180" w:bottom="169" w:gutter="0" w:footer="0" w:header="0"/>
          <w:type w:val="continuous"/>
        </w:sectPr>
      </w:pPr>
    </w:p>
    <w:bookmarkStart w:id="63" w:name="page64"/>
    <w:bookmarkEnd w:id="63"/>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ind w:left="10" w:right="20" w:firstLine="360"/>
        <w:spacing w:after="0"/>
        <w:rPr>
          <w:sz w:val="20"/>
          <w:szCs w:val="20"/>
          <w:color w:val="auto"/>
        </w:rPr>
      </w:pPr>
      <w:r>
        <w:rPr>
          <w:rFonts w:ascii="Times New Roman" w:cs="Times New Roman" w:eastAsia="Times New Roman" w:hAnsi="Times New Roman"/>
          <w:sz w:val="20"/>
          <w:szCs w:val="20"/>
          <w:color w:val="auto"/>
        </w:rPr>
        <w:t>As of December 31, 2025, the maturities of undiscounted cash payments and cash receipts for operating leases are as follows:</w:t>
      </w:r>
    </w:p>
    <w:p>
      <w:pPr>
        <w:spacing w:after="0" w:line="21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3480" w:type="dxa"/>
            <w:vAlign w:val="bottom"/>
          </w:tcPr>
          <w:p>
            <w:pPr>
              <w:jc w:val="center"/>
              <w:ind w:left="1860"/>
              <w:spacing w:after="0"/>
              <w:rPr>
                <w:sz w:val="20"/>
                <w:szCs w:val="20"/>
                <w:color w:val="auto"/>
              </w:rPr>
            </w:pPr>
            <w:r>
              <w:rPr>
                <w:rFonts w:ascii="Times New Roman" w:cs="Times New Roman" w:eastAsia="Times New Roman" w:hAnsi="Times New Roman"/>
                <w:sz w:val="20"/>
                <w:szCs w:val="20"/>
                <w:b w:val="1"/>
                <w:bCs w:val="1"/>
                <w:color w:val="auto"/>
              </w:rPr>
              <w:t>Operating</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b w:val="1"/>
                <w:bCs w:val="1"/>
                <w:color w:val="auto"/>
              </w:rPr>
              <w:t>Sublease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5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Years Ending:</w:t>
            </w:r>
          </w:p>
        </w:tc>
        <w:tc>
          <w:tcPr>
            <w:tcW w:w="3480" w:type="dxa"/>
            <w:vAlign w:val="bottom"/>
          </w:tcPr>
          <w:p>
            <w:pPr>
              <w:jc w:val="center"/>
              <w:ind w:left="1840"/>
              <w:spacing w:after="0" w:line="200" w:lineRule="exact"/>
              <w:rPr>
                <w:sz w:val="20"/>
                <w:szCs w:val="20"/>
                <w:color w:val="auto"/>
              </w:rPr>
            </w:pPr>
            <w:r>
              <w:rPr>
                <w:rFonts w:ascii="Times New Roman" w:cs="Times New Roman" w:eastAsia="Times New Roman" w:hAnsi="Times New Roman"/>
                <w:sz w:val="20"/>
                <w:szCs w:val="20"/>
                <w:b w:val="1"/>
                <w:bCs w:val="1"/>
                <w:color w:val="auto"/>
              </w:rPr>
              <w:t>Lease</w:t>
            </w:r>
          </w:p>
        </w:tc>
        <w:tc>
          <w:tcPr>
            <w:tcW w:w="1300" w:type="dxa"/>
            <w:vAlign w:val="bottom"/>
            <w:vMerge w:val="continue"/>
          </w:tcPr>
          <w:p>
            <w:pPr>
              <w:spacing w:after="0"/>
              <w:rPr>
                <w:sz w:val="17"/>
                <w:szCs w:val="17"/>
                <w:color w:val="auto"/>
              </w:rPr>
            </w:pPr>
          </w:p>
        </w:tc>
        <w:tc>
          <w:tcPr>
            <w:tcW w:w="1440" w:type="dxa"/>
            <w:vAlign w:val="bottom"/>
            <w:vMerge w:val="restart"/>
          </w:tcPr>
          <w:p>
            <w:pPr>
              <w:ind w:left="260"/>
              <w:spacing w:after="0"/>
              <w:rPr>
                <w:sz w:val="20"/>
                <w:szCs w:val="20"/>
                <w:color w:val="auto"/>
              </w:rPr>
            </w:pPr>
            <w:r>
              <w:rPr>
                <w:rFonts w:ascii="Times New Roman" w:cs="Times New Roman" w:eastAsia="Times New Roman" w:hAnsi="Times New Roman"/>
                <w:sz w:val="20"/>
                <w:szCs w:val="20"/>
                <w:b w:val="1"/>
                <w:bCs w:val="1"/>
                <w:color w:val="auto"/>
                <w:w w:val="98"/>
              </w:rPr>
              <w:t>Net Payments</w:t>
            </w:r>
          </w:p>
        </w:tc>
        <w:tc>
          <w:tcPr>
            <w:tcW w:w="0" w:type="dxa"/>
            <w:vAlign w:val="bottom"/>
          </w:tcPr>
          <w:p>
            <w:pPr>
              <w:spacing w:after="0"/>
              <w:rPr>
                <w:sz w:val="1"/>
                <w:szCs w:val="1"/>
                <w:color w:val="auto"/>
              </w:rPr>
            </w:pPr>
          </w:p>
        </w:tc>
      </w:tr>
      <w:tr>
        <w:trPr>
          <w:trHeight w:val="264"/>
        </w:trPr>
        <w:tc>
          <w:tcPr>
            <w:tcW w:w="3500" w:type="dxa"/>
            <w:vAlign w:val="bottom"/>
            <w:vMerge w:val="continue"/>
          </w:tcPr>
          <w:p>
            <w:pPr>
              <w:spacing w:after="0"/>
              <w:rPr>
                <w:sz w:val="22"/>
                <w:szCs w:val="22"/>
                <w:color w:val="auto"/>
              </w:rPr>
            </w:pPr>
          </w:p>
        </w:tc>
        <w:tc>
          <w:tcPr>
            <w:tcW w:w="3480" w:type="dxa"/>
            <w:vAlign w:val="bottom"/>
          </w:tcPr>
          <w:p>
            <w:pPr>
              <w:jc w:val="center"/>
              <w:ind w:left="1840"/>
              <w:spacing w:after="0"/>
              <w:rPr>
                <w:sz w:val="20"/>
                <w:szCs w:val="20"/>
                <w:color w:val="auto"/>
              </w:rPr>
            </w:pPr>
            <w:r>
              <w:rPr>
                <w:rFonts w:ascii="Times New Roman" w:cs="Times New Roman" w:eastAsia="Times New Roman" w:hAnsi="Times New Roman"/>
                <w:sz w:val="20"/>
                <w:szCs w:val="20"/>
                <w:b w:val="1"/>
                <w:bCs w:val="1"/>
                <w:color w:val="auto"/>
                <w:w w:val="98"/>
              </w:rPr>
              <w:t>Payments</w:t>
            </w:r>
          </w:p>
        </w:tc>
        <w:tc>
          <w:tcPr>
            <w:tcW w:w="130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Receipts</w:t>
            </w:r>
          </w:p>
        </w:tc>
        <w:tc>
          <w:tcPr>
            <w:tcW w:w="1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wp:posOffset>
            </wp:positionV>
            <wp:extent cx="6305550" cy="1679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extLst>
                    </a:blip>
                    <a:srcRect/>
                    <a:stretch>
                      <a:fillRect/>
                    </a:stretch>
                  </pic:blipFill>
                  <pic:spPr bwMode="auto">
                    <a:xfrm>
                      <a:off x="0" y="0"/>
                      <a:ext cx="6305550" cy="1679575"/>
                    </a:xfrm>
                    <a:prstGeom prst="rect">
                      <a:avLst/>
                    </a:prstGeom>
                    <a:noFill/>
                  </pic:spPr>
                </pic:pic>
              </a:graphicData>
            </a:graphic>
          </wp:anchor>
        </w:drawing>
      </w:r>
    </w:p>
    <w:p>
      <w:pPr>
        <w:sectPr>
          <w:pgSz w:w="12240" w:h="15840" w:orient="portrait"/>
          <w:cols w:equalWidth="0" w:num="1">
            <w:col w:w="9910"/>
          </w:cols>
          <w:pgMar w:left="1170" w:top="201" w:right="1160" w:bottom="169" w:gutter="0" w:footer="0" w:header="0"/>
        </w:sectPr>
      </w:pPr>
    </w:p>
    <w:tbl>
      <w:tblPr>
        <w:tblLayout w:type="fixed"/>
        <w:tblInd w:w="50" w:type="dxa"/>
        <w:tblCellMar>
          <w:top w:w="0" w:type="dxa"/>
          <w:left w:w="0" w:type="dxa"/>
          <w:bottom w:w="0" w:type="dxa"/>
          <w:right w:w="0" w:type="dxa"/>
        </w:tblCellMar>
      </w:tblPr>
      <w:tr>
        <w:trPr>
          <w:trHeight w:val="281"/>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2026 </w:t>
            </w:r>
            <w:r>
              <w:rPr>
                <w:rFonts w:ascii="Times New Roman" w:cs="Times New Roman" w:eastAsia="Times New Roman" w:hAnsi="Times New Roman"/>
                <w:sz w:val="20"/>
                <w:szCs w:val="20"/>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2027 </w:t>
            </w:r>
            <w:r>
              <w:rPr>
                <w:rFonts w:ascii="Times New Roman" w:cs="Times New Roman" w:eastAsia="Times New Roman" w:hAnsi="Times New Roman"/>
                <w:sz w:val="20"/>
                <w:szCs w:val="20"/>
                <w:color w:val="B4B4B4"/>
              </w:rPr>
              <w:t>..................................................................................................</w:t>
            </w:r>
          </w:p>
        </w:tc>
        <w:tc>
          <w:tcPr>
            <w:tcW w:w="140" w:type="dxa"/>
            <w:vAlign w:val="bottom"/>
          </w:tcPr>
          <w:p>
            <w:pPr>
              <w:spacing w:after="0"/>
              <w:rPr>
                <w:sz w:val="22"/>
                <w:szCs w:val="22"/>
                <w:color w:val="auto"/>
              </w:rPr>
            </w:pPr>
          </w:p>
        </w:tc>
      </w:tr>
      <w:tr>
        <w:trPr>
          <w:trHeight w:val="285"/>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2028 </w:t>
            </w:r>
            <w:r>
              <w:rPr>
                <w:rFonts w:ascii="Times New Roman" w:cs="Times New Roman" w:eastAsia="Times New Roman" w:hAnsi="Times New Roman"/>
                <w:sz w:val="20"/>
                <w:szCs w:val="20"/>
                <w:color w:val="B4B4B4"/>
              </w:rPr>
              <w:t>..................................................................................................</w:t>
            </w:r>
          </w:p>
        </w:tc>
        <w:tc>
          <w:tcPr>
            <w:tcW w:w="140" w:type="dxa"/>
            <w:vAlign w:val="bottom"/>
          </w:tcPr>
          <w:p>
            <w:pPr>
              <w:spacing w:after="0"/>
              <w:rPr>
                <w:sz w:val="24"/>
                <w:szCs w:val="24"/>
                <w:color w:val="auto"/>
              </w:rPr>
            </w:pPr>
          </w:p>
        </w:tc>
      </w:tr>
      <w:tr>
        <w:trPr>
          <w:trHeight w:val="285"/>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2029 </w:t>
            </w:r>
            <w:r>
              <w:rPr>
                <w:rFonts w:ascii="Times New Roman" w:cs="Times New Roman" w:eastAsia="Times New Roman" w:hAnsi="Times New Roman"/>
                <w:sz w:val="20"/>
                <w:szCs w:val="20"/>
                <w:color w:val="B4B4B4"/>
              </w:rPr>
              <w:t>..................................................................................................</w:t>
            </w:r>
          </w:p>
        </w:tc>
        <w:tc>
          <w:tcPr>
            <w:tcW w:w="140" w:type="dxa"/>
            <w:vAlign w:val="bottom"/>
          </w:tcPr>
          <w:p>
            <w:pPr>
              <w:spacing w:after="0"/>
              <w:rPr>
                <w:sz w:val="24"/>
                <w:szCs w:val="24"/>
                <w:color w:val="auto"/>
              </w:rPr>
            </w:pPr>
          </w:p>
        </w:tc>
      </w:tr>
      <w:tr>
        <w:trPr>
          <w:trHeight w:val="285"/>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2030 </w:t>
            </w:r>
            <w:r>
              <w:rPr>
                <w:rFonts w:ascii="Times New Roman" w:cs="Times New Roman" w:eastAsia="Times New Roman" w:hAnsi="Times New Roman"/>
                <w:sz w:val="20"/>
                <w:szCs w:val="20"/>
                <w:color w:val="B4B4B4"/>
              </w:rPr>
              <w:t>..................................................................................................</w:t>
            </w:r>
          </w:p>
        </w:tc>
        <w:tc>
          <w:tcPr>
            <w:tcW w:w="140" w:type="dxa"/>
            <w:vAlign w:val="bottom"/>
          </w:tcPr>
          <w:p>
            <w:pPr>
              <w:spacing w:after="0"/>
              <w:rPr>
                <w:sz w:val="24"/>
                <w:szCs w:val="24"/>
                <w:color w:val="auto"/>
              </w:rPr>
            </w:pPr>
          </w:p>
        </w:tc>
      </w:tr>
      <w:tr>
        <w:trPr>
          <w:trHeight w:val="285"/>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Thereafter </w:t>
            </w:r>
            <w:r>
              <w:rPr>
                <w:rFonts w:ascii="Times New Roman" w:cs="Times New Roman" w:eastAsia="Times New Roman" w:hAnsi="Times New Roman"/>
                <w:sz w:val="20"/>
                <w:szCs w:val="20"/>
                <w:color w:val="B4B4B4"/>
              </w:rPr>
              <w:t>..........................................................................................</w:t>
            </w:r>
          </w:p>
        </w:tc>
        <w:tc>
          <w:tcPr>
            <w:tcW w:w="140" w:type="dxa"/>
            <w:vAlign w:val="bottom"/>
          </w:tcPr>
          <w:p>
            <w:pPr>
              <w:spacing w:after="0"/>
              <w:rPr>
                <w:sz w:val="24"/>
                <w:szCs w:val="24"/>
                <w:color w:val="auto"/>
              </w:rPr>
            </w:pPr>
          </w:p>
        </w:tc>
      </w:tr>
      <w:tr>
        <w:trPr>
          <w:trHeight w:val="310"/>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Total lease payments</w:t>
            </w:r>
            <w:r>
              <w:rPr>
                <w:rFonts w:ascii="Times New Roman" w:cs="Times New Roman" w:eastAsia="Times New Roman" w:hAnsi="Times New Roman"/>
                <w:sz w:val="26"/>
                <w:szCs w:val="26"/>
                <w:color w:val="auto"/>
                <w:w w:val="98"/>
                <w:vertAlign w:val="superscript"/>
              </w:rPr>
              <w:t>(1)</w:t>
            </w:r>
            <w:r>
              <w:rPr>
                <w:rFonts w:ascii="Times New Roman" w:cs="Times New Roman" w:eastAsia="Times New Roman" w:hAnsi="Times New Roman"/>
                <w:sz w:val="20"/>
                <w:szCs w:val="20"/>
                <w:color w:val="auto"/>
                <w:w w:val="98"/>
              </w:rPr>
              <w:t xml:space="preserve"> </w:t>
            </w:r>
            <w:r>
              <w:rPr>
                <w:rFonts w:ascii="Times New Roman" w:cs="Times New Roman" w:eastAsia="Times New Roman" w:hAnsi="Times New Roman"/>
                <w:sz w:val="20"/>
                <w:szCs w:val="20"/>
                <w:color w:val="B4B4B4"/>
                <w:w w:val="98"/>
              </w:rPr>
              <w:t>........................................................................</w:t>
            </w:r>
          </w:p>
        </w:tc>
        <w:tc>
          <w:tcPr>
            <w:tcW w:w="140" w:type="dxa"/>
            <w:vAlign w:val="bottom"/>
          </w:tcPr>
          <w:p>
            <w:pPr>
              <w:spacing w:after="0"/>
              <w:rPr>
                <w:sz w:val="24"/>
                <w:szCs w:val="24"/>
                <w:color w:val="auto"/>
              </w:rPr>
            </w:pPr>
          </w:p>
        </w:tc>
      </w:tr>
      <w:tr>
        <w:trPr>
          <w:trHeight w:val="260"/>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Less: Imputed interest </w:t>
            </w:r>
            <w:r>
              <w:rPr>
                <w:rFonts w:ascii="Times New Roman" w:cs="Times New Roman" w:eastAsia="Times New Roman" w:hAnsi="Times New Roman"/>
                <w:sz w:val="20"/>
                <w:szCs w:val="20"/>
                <w:color w:val="B4B4B4"/>
                <w:w w:val="99"/>
              </w:rPr>
              <w:t>.........................................................................</w:t>
            </w:r>
          </w:p>
        </w:tc>
        <w:tc>
          <w:tcPr>
            <w:tcW w:w="140" w:type="dxa"/>
            <w:vAlign w:val="bottom"/>
          </w:tcPr>
          <w:p>
            <w:pPr>
              <w:spacing w:after="0"/>
              <w:rPr>
                <w:sz w:val="22"/>
                <w:szCs w:val="22"/>
                <w:color w:val="auto"/>
              </w:rPr>
            </w:pPr>
          </w:p>
        </w:tc>
      </w:tr>
      <w:tr>
        <w:trPr>
          <w:trHeight w:val="306"/>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lease liabilities </w:t>
            </w:r>
            <w:r>
              <w:rPr>
                <w:rFonts w:ascii="Times New Roman" w:cs="Times New Roman" w:eastAsia="Times New Roman" w:hAnsi="Times New Roman"/>
                <w:sz w:val="20"/>
                <w:szCs w:val="20"/>
                <w:color w:val="B4B4B4"/>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8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18,472</w:t>
            </w: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3,461</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15,011</w:t>
            </w:r>
          </w:p>
        </w:tc>
        <w:tc>
          <w:tcPr>
            <w:tcW w:w="0" w:type="dxa"/>
            <w:vAlign w:val="bottom"/>
          </w:tcPr>
          <w:p>
            <w:pPr>
              <w:spacing w:after="0"/>
              <w:rPr>
                <w:sz w:val="1"/>
                <w:szCs w:val="1"/>
                <w:color w:val="auto"/>
              </w:rPr>
            </w:pPr>
          </w:p>
        </w:tc>
      </w:tr>
      <w:tr>
        <w:trPr>
          <w:trHeight w:val="285"/>
        </w:trPr>
        <w:tc>
          <w:tcPr>
            <w:tcW w:w="8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20,717</w:t>
            </w: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16,564</w:t>
            </w:r>
          </w:p>
        </w:tc>
        <w:tc>
          <w:tcPr>
            <w:tcW w:w="0" w:type="dxa"/>
            <w:vAlign w:val="bottom"/>
          </w:tcPr>
          <w:p>
            <w:pPr>
              <w:spacing w:after="0"/>
              <w:rPr>
                <w:sz w:val="1"/>
                <w:szCs w:val="1"/>
                <w:color w:val="auto"/>
              </w:rPr>
            </w:pPr>
          </w:p>
        </w:tc>
      </w:tr>
      <w:tr>
        <w:trPr>
          <w:trHeight w:val="285"/>
        </w:trPr>
        <w:tc>
          <w:tcPr>
            <w:tcW w:w="8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20,171</w:t>
            </w: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16,018</w:t>
            </w:r>
          </w:p>
        </w:tc>
        <w:tc>
          <w:tcPr>
            <w:tcW w:w="0" w:type="dxa"/>
            <w:vAlign w:val="bottom"/>
          </w:tcPr>
          <w:p>
            <w:pPr>
              <w:spacing w:after="0"/>
              <w:rPr>
                <w:sz w:val="1"/>
                <w:szCs w:val="1"/>
                <w:color w:val="auto"/>
              </w:rPr>
            </w:pPr>
          </w:p>
        </w:tc>
      </w:tr>
      <w:tr>
        <w:trPr>
          <w:trHeight w:val="285"/>
        </w:trPr>
        <w:tc>
          <w:tcPr>
            <w:tcW w:w="8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20,996</w:t>
            </w: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16,843</w:t>
            </w:r>
          </w:p>
        </w:tc>
        <w:tc>
          <w:tcPr>
            <w:tcW w:w="0" w:type="dxa"/>
            <w:vAlign w:val="bottom"/>
          </w:tcPr>
          <w:p>
            <w:pPr>
              <w:spacing w:after="0"/>
              <w:rPr>
                <w:sz w:val="1"/>
                <w:szCs w:val="1"/>
                <w:color w:val="auto"/>
              </w:rPr>
            </w:pPr>
          </w:p>
        </w:tc>
      </w:tr>
      <w:tr>
        <w:trPr>
          <w:trHeight w:val="285"/>
        </w:trPr>
        <w:tc>
          <w:tcPr>
            <w:tcW w:w="8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20,487</w:t>
            </w: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16,334</w:t>
            </w:r>
          </w:p>
        </w:tc>
        <w:tc>
          <w:tcPr>
            <w:tcW w:w="0" w:type="dxa"/>
            <w:vAlign w:val="bottom"/>
          </w:tcPr>
          <w:p>
            <w:pPr>
              <w:spacing w:after="0"/>
              <w:rPr>
                <w:sz w:val="1"/>
                <w:szCs w:val="1"/>
                <w:color w:val="auto"/>
              </w:rPr>
            </w:pPr>
          </w:p>
        </w:tc>
      </w:tr>
      <w:tr>
        <w:trPr>
          <w:trHeight w:val="288"/>
        </w:trPr>
        <w:tc>
          <w:tcPr>
            <w:tcW w:w="8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5"/>
              </w:rPr>
              <w:t>153,177</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7,379</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145,798</w:t>
            </w:r>
          </w:p>
        </w:tc>
        <w:tc>
          <w:tcPr>
            <w:tcW w:w="0" w:type="dxa"/>
            <w:vAlign w:val="bottom"/>
          </w:tcPr>
          <w:p>
            <w:pPr>
              <w:spacing w:after="0"/>
              <w:rPr>
                <w:sz w:val="1"/>
                <w:szCs w:val="1"/>
                <w:color w:val="auto"/>
              </w:rPr>
            </w:pPr>
          </w:p>
        </w:tc>
      </w:tr>
      <w:tr>
        <w:trPr>
          <w:trHeight w:val="245"/>
        </w:trPr>
        <w:tc>
          <w:tcPr>
            <w:tcW w:w="8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5"/>
              </w:rPr>
              <w:t>254,020</w:t>
            </w:r>
          </w:p>
        </w:tc>
        <w:tc>
          <w:tcPr>
            <w:tcW w:w="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27,452</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226,568</w:t>
            </w:r>
          </w:p>
        </w:tc>
        <w:tc>
          <w:tcPr>
            <w:tcW w:w="0" w:type="dxa"/>
            <w:vAlign w:val="bottom"/>
          </w:tcPr>
          <w:p>
            <w:pPr>
              <w:spacing w:after="0"/>
              <w:rPr>
                <w:sz w:val="1"/>
                <w:szCs w:val="1"/>
                <w:color w:val="auto"/>
              </w:rPr>
            </w:pPr>
          </w:p>
        </w:tc>
      </w:tr>
      <w:tr>
        <w:trPr>
          <w:trHeight w:val="20"/>
        </w:trPr>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(67,954)</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8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8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5"/>
              </w:rPr>
              <w:t>186,066</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2240" w:h="15840" w:orient="portrait"/>
          <w:cols w:equalWidth="0" w:num="2">
            <w:col w:w="5710" w:space="520"/>
            <w:col w:w="3680"/>
          </w:cols>
          <w:pgMar w:left="1170" w:top="201" w:right="1160" w:bottom="169" w:gutter="0" w:footer="0" w:header="0"/>
          <w:type w:val="continuous"/>
        </w:sectPr>
      </w:pP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ind w:left="370" w:hanging="370"/>
        <w:spacing w:after="0"/>
        <w:tabs>
          <w:tab w:leader="none" w:pos="37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future lease payments are presented net of expected lease incentives.</w:t>
      </w:r>
    </w:p>
    <w:p>
      <w:pPr>
        <w:spacing w:after="0" w:line="2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6—Goodwill and Intangible Assets</w:t>
      </w:r>
    </w:p>
    <w:p>
      <w:pPr>
        <w:spacing w:after="0" w:line="217" w:lineRule="exact"/>
        <w:rPr>
          <w:sz w:val="20"/>
          <w:szCs w:val="20"/>
          <w:color w:val="auto"/>
        </w:rPr>
      </w:pPr>
    </w:p>
    <w:p>
      <w:pPr>
        <w:jc w:val="both"/>
        <w:ind w:left="10" w:firstLine="360"/>
        <w:spacing w:after="0" w:line="224" w:lineRule="auto"/>
        <w:rPr>
          <w:sz w:val="20"/>
          <w:szCs w:val="20"/>
          <w:color w:val="auto"/>
        </w:rPr>
      </w:pPr>
      <w:r>
        <w:rPr>
          <w:rFonts w:ascii="Times New Roman" w:cs="Times New Roman" w:eastAsia="Times New Roman" w:hAnsi="Times New Roman"/>
          <w:sz w:val="20"/>
          <w:szCs w:val="20"/>
          <w:color w:val="auto"/>
        </w:rPr>
        <w:t>Total goodwill of $72.7 million is comprised of $34.4 million recognized in connection with a business combination in 2016 and $38.3 million recognized as a result of the Devon Park Acquisition. Based on the Company’s quantitative assessment for impairment, no goodwill impairment was recorded during the years ended December 31, 2025, 2024, and 2023.</w:t>
      </w:r>
    </w:p>
    <w:p>
      <w:pPr>
        <w:spacing w:after="0" w:line="181" w:lineRule="exact"/>
        <w:rPr>
          <w:sz w:val="20"/>
          <w:szCs w:val="20"/>
          <w:color w:val="auto"/>
        </w:rPr>
      </w:pPr>
    </w:p>
    <w:p>
      <w:pPr>
        <w:jc w:val="both"/>
        <w:ind w:left="10" w:right="20" w:firstLine="360"/>
        <w:spacing w:after="0"/>
        <w:rPr>
          <w:sz w:val="20"/>
          <w:szCs w:val="20"/>
          <w:color w:val="auto"/>
        </w:rPr>
      </w:pPr>
      <w:r>
        <w:rPr>
          <w:rFonts w:ascii="Times New Roman" w:cs="Times New Roman" w:eastAsia="Times New Roman" w:hAnsi="Times New Roman"/>
          <w:sz w:val="20"/>
          <w:szCs w:val="20"/>
          <w:color w:val="auto"/>
        </w:rPr>
        <w:t>Intangible assets in the form of customer relationships were acquired in the Devon Park Acquisition. The estimated fair value of $7.1 million will be amortized on a straight-line basis over an estimated useful life of three years.</w:t>
      </w:r>
    </w:p>
    <w:p>
      <w:pPr>
        <w:spacing w:after="0" w:line="180"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The following table provides the detail of the Company’s intangible assets:</w:t>
      </w:r>
    </w:p>
    <w:p>
      <w:pPr>
        <w:spacing w:after="0" w:line="27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w w:val="99"/>
              </w:rPr>
              <w:t>Gross Amount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4"/>
          </w:tcPr>
          <w:p>
            <w:pPr>
              <w:jc w:val="center"/>
              <w:ind w:right="100"/>
              <w:spacing w:after="0" w:line="183" w:lineRule="exact"/>
              <w:rPr>
                <w:sz w:val="20"/>
                <w:szCs w:val="20"/>
                <w:color w:val="auto"/>
              </w:rPr>
            </w:pPr>
            <w:r>
              <w:rPr>
                <w:rFonts w:ascii="Times New Roman" w:cs="Times New Roman" w:eastAsia="Times New Roman" w:hAnsi="Times New Roman"/>
                <w:sz w:val="20"/>
                <w:szCs w:val="20"/>
                <w:b w:val="1"/>
                <w:bCs w:val="1"/>
                <w:color w:val="auto"/>
                <w:w w:val="98"/>
              </w:rPr>
              <w:t>Accumulated</w:t>
            </w:r>
          </w:p>
        </w:tc>
        <w:tc>
          <w:tcPr>
            <w:tcW w:w="1360" w:type="dxa"/>
            <w:vAlign w:val="bottom"/>
            <w:gridSpan w:val="2"/>
          </w:tcPr>
          <w:p>
            <w:pPr>
              <w:jc w:val="right"/>
              <w:ind w:right="40"/>
              <w:spacing w:after="0" w:line="183" w:lineRule="exact"/>
              <w:rPr>
                <w:sz w:val="20"/>
                <w:szCs w:val="20"/>
                <w:color w:val="auto"/>
              </w:rPr>
            </w:pPr>
            <w:r>
              <w:rPr>
                <w:rFonts w:ascii="Times New Roman" w:cs="Times New Roman" w:eastAsia="Times New Roman" w:hAnsi="Times New Roman"/>
                <w:sz w:val="20"/>
                <w:szCs w:val="20"/>
                <w:b w:val="1"/>
                <w:bCs w:val="1"/>
                <w:color w:val="auto"/>
              </w:rPr>
              <w:t>Net Carrying</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2"/>
                <w:szCs w:val="22"/>
                <w:color w:val="auto"/>
              </w:rPr>
            </w:pPr>
          </w:p>
        </w:tc>
        <w:tc>
          <w:tcPr>
            <w:tcW w:w="134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Amortization</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0" w:type="dxa"/>
            <w:vAlign w:val="bottom"/>
          </w:tcPr>
          <w:p>
            <w:pPr>
              <w:spacing w:after="0"/>
              <w:rPr>
                <w:sz w:val="1"/>
                <w:szCs w:val="1"/>
                <w:color w:val="auto"/>
              </w:rPr>
            </w:pPr>
          </w:p>
        </w:tc>
      </w:tr>
      <w:tr>
        <w:trPr>
          <w:trHeight w:val="261"/>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Customerrelationships</w:t>
            </w: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54,500</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(43,664)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10,836</w:t>
            </w:r>
          </w:p>
        </w:tc>
        <w:tc>
          <w:tcPr>
            <w:tcW w:w="0" w:type="dxa"/>
            <w:vAlign w:val="bottom"/>
          </w:tcPr>
          <w:p>
            <w:pPr>
              <w:spacing w:after="0"/>
              <w:rPr>
                <w:sz w:val="1"/>
                <w:szCs w:val="1"/>
                <w:color w:val="auto"/>
              </w:rPr>
            </w:pPr>
          </w:p>
        </w:tc>
      </w:tr>
      <w:tr>
        <w:trPr>
          <w:trHeight w:val="288"/>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Trade names and trademarks </w:t>
            </w:r>
            <w:r>
              <w:rPr>
                <w:rFonts w:ascii="Times New Roman" w:cs="Times New Roman" w:eastAsia="Times New Roman" w:hAnsi="Times New Roman"/>
                <w:sz w:val="20"/>
                <w:szCs w:val="20"/>
                <w:color w:val="B4B4B4"/>
                <w:w w:val="99"/>
              </w:rPr>
              <w:t>..............................................................</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18,400</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(16,713)</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1,687</w:t>
            </w:r>
          </w:p>
        </w:tc>
        <w:tc>
          <w:tcPr>
            <w:tcW w:w="0" w:type="dxa"/>
            <w:vAlign w:val="bottom"/>
          </w:tcPr>
          <w:p>
            <w:pPr>
              <w:spacing w:after="0"/>
              <w:rPr>
                <w:sz w:val="1"/>
                <w:szCs w:val="1"/>
                <w:color w:val="auto"/>
              </w:rPr>
            </w:pPr>
          </w:p>
        </w:tc>
      </w:tr>
      <w:tr>
        <w:trPr>
          <w:trHeight w:val="24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B4B4B4"/>
                <w:w w:val="99"/>
              </w:rPr>
              <w:t>....................................................................................................</w:t>
            </w:r>
            <w:r>
              <w:rPr>
                <w:rFonts w:ascii="Times New Roman" w:cs="Times New Roman" w:eastAsia="Times New Roman" w:hAnsi="Times New Roman"/>
                <w:sz w:val="20"/>
                <w:szCs w:val="20"/>
                <w:color w:val="000000"/>
                <w:w w:val="99"/>
              </w:rPr>
              <w:t>Total</w:t>
            </w: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72,900</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(60,377)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12,523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286500" cy="593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extLst>
                    </a:blip>
                    <a:srcRect/>
                    <a:stretch>
                      <a:fillRect/>
                    </a:stretch>
                  </pic:blipFill>
                  <pic:spPr bwMode="auto">
                    <a:xfrm>
                      <a:off x="0" y="0"/>
                      <a:ext cx="6286500" cy="593725"/>
                    </a:xfrm>
                    <a:prstGeom prst="rect">
                      <a:avLst/>
                    </a:prstGeom>
                    <a:noFill/>
                  </pic:spPr>
                </pic:pic>
              </a:graphicData>
            </a:graphic>
          </wp:anchor>
        </w:drawing>
      </w:r>
    </w:p>
    <w:p>
      <w:pPr>
        <w:spacing w:after="0" w:line="298"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w w:val="99"/>
              </w:rPr>
              <w:t>Gross Amount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4"/>
          </w:tcPr>
          <w:p>
            <w:pPr>
              <w:jc w:val="center"/>
              <w:ind w:right="100"/>
              <w:spacing w:after="0" w:line="183" w:lineRule="exact"/>
              <w:rPr>
                <w:sz w:val="20"/>
                <w:szCs w:val="20"/>
                <w:color w:val="auto"/>
              </w:rPr>
            </w:pPr>
            <w:r>
              <w:rPr>
                <w:rFonts w:ascii="Times New Roman" w:cs="Times New Roman" w:eastAsia="Times New Roman" w:hAnsi="Times New Roman"/>
                <w:sz w:val="20"/>
                <w:szCs w:val="20"/>
                <w:b w:val="1"/>
                <w:bCs w:val="1"/>
                <w:color w:val="auto"/>
                <w:w w:val="98"/>
              </w:rPr>
              <w:t>Accumulated</w:t>
            </w:r>
          </w:p>
        </w:tc>
        <w:tc>
          <w:tcPr>
            <w:tcW w:w="1360" w:type="dxa"/>
            <w:vAlign w:val="bottom"/>
            <w:gridSpan w:val="2"/>
          </w:tcPr>
          <w:p>
            <w:pPr>
              <w:jc w:val="right"/>
              <w:ind w:right="40"/>
              <w:spacing w:after="0" w:line="183" w:lineRule="exact"/>
              <w:rPr>
                <w:sz w:val="20"/>
                <w:szCs w:val="20"/>
                <w:color w:val="auto"/>
              </w:rPr>
            </w:pPr>
            <w:r>
              <w:rPr>
                <w:rFonts w:ascii="Times New Roman" w:cs="Times New Roman" w:eastAsia="Times New Roman" w:hAnsi="Times New Roman"/>
                <w:sz w:val="20"/>
                <w:szCs w:val="20"/>
                <w:b w:val="1"/>
                <w:bCs w:val="1"/>
                <w:color w:val="auto"/>
              </w:rPr>
              <w:t>Net Carrying</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2"/>
                <w:szCs w:val="22"/>
                <w:color w:val="auto"/>
              </w:rPr>
            </w:pPr>
          </w:p>
        </w:tc>
        <w:tc>
          <w:tcPr>
            <w:tcW w:w="134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Amortization</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0" w:type="dxa"/>
            <w:vAlign w:val="bottom"/>
          </w:tcPr>
          <w:p>
            <w:pPr>
              <w:spacing w:after="0"/>
              <w:rPr>
                <w:sz w:val="1"/>
                <w:szCs w:val="1"/>
                <w:color w:val="auto"/>
              </w:rPr>
            </w:pPr>
          </w:p>
        </w:tc>
      </w:tr>
      <w:tr>
        <w:trPr>
          <w:trHeight w:val="261"/>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Customerrelationships</w:t>
            </w: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47,400</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(38,315)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9,085</w:t>
            </w:r>
          </w:p>
        </w:tc>
        <w:tc>
          <w:tcPr>
            <w:tcW w:w="0" w:type="dxa"/>
            <w:vAlign w:val="bottom"/>
          </w:tcPr>
          <w:p>
            <w:pPr>
              <w:spacing w:after="0"/>
              <w:rPr>
                <w:sz w:val="1"/>
                <w:szCs w:val="1"/>
                <w:color w:val="auto"/>
              </w:rPr>
            </w:pPr>
          </w:p>
        </w:tc>
      </w:tr>
      <w:tr>
        <w:trPr>
          <w:trHeight w:val="288"/>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Trade names and trademarks </w:t>
            </w:r>
            <w:r>
              <w:rPr>
                <w:rFonts w:ascii="Times New Roman" w:cs="Times New Roman" w:eastAsia="Times New Roman" w:hAnsi="Times New Roman"/>
                <w:sz w:val="20"/>
                <w:szCs w:val="20"/>
                <w:color w:val="B4B4B4"/>
                <w:w w:val="99"/>
              </w:rPr>
              <w:t>..............................................................</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18,400</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(14,873)</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3,527</w:t>
            </w:r>
          </w:p>
        </w:tc>
        <w:tc>
          <w:tcPr>
            <w:tcW w:w="0" w:type="dxa"/>
            <w:vAlign w:val="bottom"/>
          </w:tcPr>
          <w:p>
            <w:pPr>
              <w:spacing w:after="0"/>
              <w:rPr>
                <w:sz w:val="1"/>
                <w:szCs w:val="1"/>
                <w:color w:val="auto"/>
              </w:rPr>
            </w:pPr>
          </w:p>
        </w:tc>
      </w:tr>
      <w:tr>
        <w:trPr>
          <w:trHeight w:val="24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B4B4B4"/>
                <w:w w:val="99"/>
              </w:rPr>
              <w:t>....................................................................................................</w:t>
            </w:r>
            <w:r>
              <w:rPr>
                <w:rFonts w:ascii="Times New Roman" w:cs="Times New Roman" w:eastAsia="Times New Roman" w:hAnsi="Times New Roman"/>
                <w:sz w:val="20"/>
                <w:szCs w:val="20"/>
                <w:color w:val="000000"/>
                <w:w w:val="99"/>
              </w:rPr>
              <w:t>Total</w:t>
            </w: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65,800</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(53,188)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12,612</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286500" cy="593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extLst>
                    </a:blip>
                    <a:srcRect/>
                    <a:stretch>
                      <a:fillRect/>
                    </a:stretch>
                  </pic:blipFill>
                  <pic:spPr bwMode="auto">
                    <a:xfrm>
                      <a:off x="0" y="0"/>
                      <a:ext cx="6286500" cy="593725"/>
                    </a:xfrm>
                    <a:prstGeom prst="rect">
                      <a:avLst/>
                    </a:prstGeom>
                    <a:noFill/>
                  </pic:spPr>
                </pic:pic>
              </a:graphicData>
            </a:graphic>
          </wp:anchor>
        </w:drawing>
      </w:r>
    </w:p>
    <w:p>
      <w:pPr>
        <w:spacing w:after="0" w:line="228" w:lineRule="exact"/>
        <w:rPr>
          <w:sz w:val="20"/>
          <w:szCs w:val="20"/>
          <w:color w:val="auto"/>
        </w:rPr>
      </w:pPr>
    </w:p>
    <w:p>
      <w:pPr>
        <w:jc w:val="both"/>
        <w:ind w:left="10" w:right="20" w:firstLine="360"/>
        <w:spacing w:after="0" w:line="229" w:lineRule="auto"/>
        <w:rPr>
          <w:sz w:val="20"/>
          <w:szCs w:val="20"/>
          <w:color w:val="auto"/>
        </w:rPr>
      </w:pPr>
      <w:r>
        <w:rPr>
          <w:rFonts w:ascii="Times New Roman" w:cs="Times New Roman" w:eastAsia="Times New Roman" w:hAnsi="Times New Roman"/>
          <w:sz w:val="20"/>
          <w:szCs w:val="20"/>
          <w:color w:val="auto"/>
        </w:rPr>
        <w:t>For the years ended December 31, 2025, 2024, and 2023, the Company recognized amortization expense of $7.2 million, $6.6 million, and $6.6 million, respectively, all of which is included in Depreciation and amortization on the Consolidated Statements of Operations.</w:t>
      </w:r>
    </w:p>
    <w:p>
      <w:pPr>
        <w:sectPr>
          <w:pgSz w:w="12240" w:h="15840" w:orient="portrait"/>
          <w:cols w:equalWidth="0" w:num="1">
            <w:col w:w="9910"/>
          </w:cols>
          <w:pgMar w:left="1170" w:top="201" w:right="1160" w:bottom="16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910"/>
          </w:cols>
          <w:pgMar w:left="1170" w:top="201" w:right="1160" w:bottom="169"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the future aggregate amortization expense of the Company’s intangible assets held at</w:t>
      </w:r>
    </w:p>
    <w:p>
      <w:pPr>
        <w:spacing w:after="0"/>
        <w:rPr>
          <w:sz w:val="20"/>
          <w:szCs w:val="20"/>
          <w:color w:val="auto"/>
        </w:rPr>
      </w:pPr>
      <w:r>
        <w:rPr>
          <w:rFonts w:ascii="Times New Roman" w:cs="Times New Roman" w:eastAsia="Times New Roman" w:hAnsi="Times New Roman"/>
          <w:sz w:val="20"/>
          <w:szCs w:val="20"/>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146050</wp:posOffset>
            </wp:positionV>
            <wp:extent cx="6324600" cy="774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2026 </w:t>
            </w:r>
            <w:r>
              <w:rPr>
                <w:rFonts w:ascii="Times New Roman" w:cs="Times New Roman" w:eastAsia="Times New Roman" w:hAnsi="Times New Roman"/>
                <w:sz w:val="20"/>
                <w:szCs w:val="20"/>
                <w:color w:val="B4B4B4"/>
              </w:rPr>
              <w:t>....................................................................................................................................................</w:t>
            </w:r>
          </w:p>
        </w:tc>
        <w:tc>
          <w:tcPr>
            <w:tcW w:w="74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8,440</w:t>
            </w:r>
          </w:p>
        </w:tc>
      </w:tr>
      <w:tr>
        <w:trPr>
          <w:trHeight w:val="28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2027 </w:t>
            </w:r>
            <w:r>
              <w:rPr>
                <w:rFonts w:ascii="Times New Roman" w:cs="Times New Roman" w:eastAsia="Times New Roman" w:hAnsi="Times New Roman"/>
                <w:sz w:val="20"/>
                <w:szCs w:val="20"/>
                <w:color w:val="B4B4B4"/>
              </w:rPr>
              <w:t>....................................................................................................................................................</w:t>
            </w:r>
          </w:p>
        </w:tc>
        <w:tc>
          <w:tcPr>
            <w:tcW w:w="7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2,333</w:t>
            </w:r>
          </w:p>
        </w:tc>
      </w:tr>
      <w:tr>
        <w:trPr>
          <w:trHeight w:val="288"/>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2028 </w:t>
            </w:r>
            <w:r>
              <w:rPr>
                <w:rFonts w:ascii="Times New Roman" w:cs="Times New Roman" w:eastAsia="Times New Roman" w:hAnsi="Times New Roman"/>
                <w:sz w:val="20"/>
                <w:szCs w:val="20"/>
                <w:color w:val="B4B4B4"/>
              </w:rPr>
              <w:t>....................................................................................................................................................</w:t>
            </w:r>
          </w:p>
        </w:tc>
        <w:tc>
          <w:tcPr>
            <w:tcW w:w="7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1,750</w:t>
            </w:r>
          </w:p>
        </w:tc>
      </w:tr>
      <w:tr>
        <w:trPr>
          <w:trHeight w:val="24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Total </w:t>
            </w:r>
            <w:r>
              <w:rPr>
                <w:rFonts w:ascii="Times New Roman" w:cs="Times New Roman" w:eastAsia="Times New Roman" w:hAnsi="Times New Roman"/>
                <w:sz w:val="20"/>
                <w:szCs w:val="20"/>
                <w:color w:val="B4B4B4"/>
                <w:w w:val="99"/>
              </w:rPr>
              <w:t>....................................................................................................................................................</w:t>
            </w:r>
          </w:p>
        </w:tc>
        <w:tc>
          <w:tcPr>
            <w:tcW w:w="7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12,523</w:t>
            </w:r>
          </w:p>
        </w:tc>
      </w:tr>
      <w:tr>
        <w:trPr>
          <w:trHeight w:val="20"/>
        </w:trPr>
        <w:tc>
          <w:tcPr>
            <w:tcW w:w="7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7—Regulatory Requirements</w:t>
      </w:r>
    </w:p>
    <w:p>
      <w:pPr>
        <w:spacing w:after="0" w:line="217"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Company has a number of consolidated subsidiaries registered as broker-dealers with regulatory agencies in their respective countries. The SEC regulated subsidiaries do not hold funds or securities for, or owe money or securities to, clients or carry accounts of or for clients, and as such are exempt from the SEC Customer Protection Rule (Rule 15c3-3). As of December 31, 2025 and 2024, all regulated subsidiaries had capital in excess of their applicable minimum capital requirements. As a result of the minimum capital requirements and various regulations on these broker-dealers, a portion of the capital of each subsidiary of the Company is restricted and may be unavailable to pay its creditors.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8—Fixed Assets</w:t>
      </w:r>
    </w:p>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Fixed assets are recorded at cost less accumulated depreciation and amortization and consist of the following as of</w:t>
      </w:r>
    </w:p>
    <w:p>
      <w:pPr>
        <w:spacing w:after="0"/>
        <w:rPr>
          <w:sz w:val="20"/>
          <w:szCs w:val="20"/>
          <w:color w:val="auto"/>
        </w:rPr>
      </w:pPr>
      <w:r>
        <w:rPr>
          <w:rFonts w:ascii="Times New Roman" w:cs="Times New Roman" w:eastAsia="Times New Roman" w:hAnsi="Times New Roman"/>
          <w:sz w:val="20"/>
          <w:szCs w:val="20"/>
          <w:color w:val="auto"/>
        </w:rPr>
        <w:t>December 31, 2025 and 2024:</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Leasehold improvements </w:t>
            </w:r>
            <w:r>
              <w:rPr>
                <w:rFonts w:ascii="Times New Roman" w:cs="Times New Roman" w:eastAsia="Times New Roman" w:hAnsi="Times New Roman"/>
                <w:sz w:val="20"/>
                <w:szCs w:val="20"/>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r>
              <w:rPr>
                <w:rFonts w:ascii="Times New Roman" w:cs="Times New Roman" w:eastAsia="Times New Roman" w:hAnsi="Times New Roman"/>
                <w:sz w:val="20"/>
                <w:szCs w:val="20"/>
                <w:color w:val="B4B4B4"/>
              </w:rPr>
              <w:t>........................................................................................................</w:t>
            </w:r>
          </w:p>
        </w:tc>
        <w:tc>
          <w:tcPr>
            <w:tcW w:w="160" w:type="dxa"/>
            <w:vAlign w:val="bottom"/>
          </w:tcPr>
          <w:p>
            <w:pPr>
              <w:spacing w:after="0"/>
              <w:rPr>
                <w:sz w:val="22"/>
                <w:szCs w:val="22"/>
                <w:color w:val="auto"/>
              </w:rPr>
            </w:pP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Equipment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Software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Less: Accumulated depreciation and amortization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306"/>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Fixed assets, net </w:t>
            </w:r>
            <w:r>
              <w:rPr>
                <w:rFonts w:ascii="Times New Roman" w:cs="Times New Roman" w:eastAsia="Times New Roman" w:hAnsi="Times New Roman"/>
                <w:sz w:val="20"/>
                <w:szCs w:val="20"/>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-1270635</wp:posOffset>
            </wp:positionV>
            <wp:extent cx="6324600" cy="13176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-317500</wp:posOffset>
                </wp:positionH>
                <wp:positionV relativeFrom="paragraph">
                  <wp:posOffset>29845</wp:posOffset>
                </wp:positionV>
                <wp:extent cx="180975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97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pt,2.35pt" to="117.5pt,2.35pt" o:allowincell="f" strokecolor="#000000" strokeweight="0.75pt"/>
            </w:pict>
          </mc:Fallback>
        </mc:AlternateContent>
      </w:r>
    </w:p>
    <w:p>
      <w:pPr>
        <w:spacing w:after="0" w:line="3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p>
    <w:p>
      <w:pPr>
        <w:spacing w:after="0" w:line="59" w:lineRule="exact"/>
        <w:rPr>
          <w:sz w:val="20"/>
          <w:szCs w:val="20"/>
          <w:color w:val="auto"/>
        </w:rPr>
      </w:pPr>
    </w:p>
    <w:p>
      <w:pPr>
        <w:ind w:left="260"/>
        <w:spacing w:after="0"/>
        <w:tabs>
          <w:tab w:leader="none" w:pos="980" w:val="left"/>
          <w:tab w:leader="none" w:pos="1700" w:val="left"/>
        </w:tabs>
        <w:rPr>
          <w:sz w:val="20"/>
          <w:szCs w:val="20"/>
          <w:color w:val="auto"/>
        </w:rPr>
      </w:pPr>
      <w:r>
        <w:rPr>
          <w:rFonts w:ascii="Times New Roman" w:cs="Times New Roman" w:eastAsia="Times New Roman" w:hAnsi="Times New Roman"/>
          <w:sz w:val="20"/>
          <w:szCs w:val="20"/>
          <w:color w:val="auto"/>
        </w:rPr>
        <w:t>85,226</w:t>
        <w:tab/>
        <w:t>$</w:t>
      </w:r>
      <w:r>
        <w:rPr>
          <w:sz w:val="20"/>
          <w:szCs w:val="20"/>
          <w:color w:val="auto"/>
        </w:rPr>
        <w:tab/>
      </w:r>
      <w:r>
        <w:rPr>
          <w:rFonts w:ascii="Times New Roman" w:cs="Times New Roman" w:eastAsia="Times New Roman" w:hAnsi="Times New Roman"/>
          <w:sz w:val="19"/>
          <w:szCs w:val="19"/>
          <w:color w:val="auto"/>
        </w:rPr>
        <w:t>81,860</w:t>
      </w:r>
    </w:p>
    <w:p>
      <w:pPr>
        <w:spacing w:after="0" w:line="55" w:lineRule="exact"/>
        <w:rPr>
          <w:sz w:val="20"/>
          <w:szCs w:val="20"/>
          <w:color w:val="auto"/>
        </w:rPr>
      </w:pPr>
    </w:p>
    <w:p>
      <w:pPr>
        <w:ind w:left="260"/>
        <w:spacing w:after="0"/>
        <w:tabs>
          <w:tab w:leader="none" w:pos="1700" w:val="left"/>
        </w:tabs>
        <w:rPr>
          <w:sz w:val="20"/>
          <w:szCs w:val="20"/>
          <w:color w:val="auto"/>
        </w:rPr>
      </w:pPr>
      <w:r>
        <w:rPr>
          <w:rFonts w:ascii="Times New Roman" w:cs="Times New Roman" w:eastAsia="Times New Roman" w:hAnsi="Times New Roman"/>
          <w:sz w:val="20"/>
          <w:szCs w:val="20"/>
          <w:color w:val="auto"/>
        </w:rPr>
        <w:t>13,565</w:t>
      </w:r>
      <w:r>
        <w:rPr>
          <w:sz w:val="20"/>
          <w:szCs w:val="20"/>
          <w:color w:val="auto"/>
        </w:rPr>
        <w:tab/>
      </w:r>
      <w:r>
        <w:rPr>
          <w:rFonts w:ascii="Times New Roman" w:cs="Times New Roman" w:eastAsia="Times New Roman" w:hAnsi="Times New Roman"/>
          <w:sz w:val="20"/>
          <w:szCs w:val="20"/>
          <w:color w:val="auto"/>
        </w:rPr>
        <w:t>12,801</w:t>
      </w:r>
    </w:p>
    <w:p>
      <w:pPr>
        <w:spacing w:after="0" w:line="55" w:lineRule="exact"/>
        <w:rPr>
          <w:sz w:val="20"/>
          <w:szCs w:val="20"/>
          <w:color w:val="auto"/>
        </w:rPr>
      </w:pPr>
    </w:p>
    <w:p>
      <w:pPr>
        <w:ind w:left="260"/>
        <w:spacing w:after="0"/>
        <w:tabs>
          <w:tab w:leader="none" w:pos="1700" w:val="left"/>
        </w:tabs>
        <w:rPr>
          <w:sz w:val="20"/>
          <w:szCs w:val="20"/>
          <w:color w:val="auto"/>
        </w:rPr>
      </w:pPr>
      <w:r>
        <w:rPr>
          <w:rFonts w:ascii="Times New Roman" w:cs="Times New Roman" w:eastAsia="Times New Roman" w:hAnsi="Times New Roman"/>
          <w:sz w:val="20"/>
          <w:szCs w:val="20"/>
          <w:color w:val="auto"/>
        </w:rPr>
        <w:t>15,869</w:t>
      </w:r>
      <w:r>
        <w:rPr>
          <w:sz w:val="20"/>
          <w:szCs w:val="20"/>
          <w:color w:val="auto"/>
        </w:rPr>
        <w:tab/>
      </w:r>
      <w:r>
        <w:rPr>
          <w:rFonts w:ascii="Times New Roman" w:cs="Times New Roman" w:eastAsia="Times New Roman" w:hAnsi="Times New Roman"/>
          <w:sz w:val="20"/>
          <w:szCs w:val="20"/>
          <w:color w:val="auto"/>
        </w:rPr>
        <w:t>15,322</w:t>
      </w:r>
    </w:p>
    <w:p>
      <w:pPr>
        <w:spacing w:after="0" w:line="55" w:lineRule="exact"/>
        <w:rPr>
          <w:sz w:val="20"/>
          <w:szCs w:val="20"/>
          <w:color w:val="auto"/>
        </w:rPr>
      </w:pPr>
    </w:p>
    <w:p>
      <w:pPr>
        <w:ind w:left="360"/>
        <w:spacing w:after="0"/>
        <w:tabs>
          <w:tab w:leader="none" w:pos="1800" w:val="left"/>
        </w:tabs>
        <w:rPr>
          <w:sz w:val="20"/>
          <w:szCs w:val="20"/>
          <w:color w:val="auto"/>
        </w:rPr>
      </w:pPr>
      <w:r>
        <w:rPr>
          <w:rFonts w:ascii="Times New Roman" w:cs="Times New Roman" w:eastAsia="Times New Roman" w:hAnsi="Times New Roman"/>
          <w:sz w:val="20"/>
          <w:szCs w:val="20"/>
          <w:color w:val="auto"/>
        </w:rPr>
        <w:t>5,446</w:t>
      </w:r>
      <w:r>
        <w:rPr>
          <w:sz w:val="20"/>
          <w:szCs w:val="20"/>
          <w:color w:val="auto"/>
        </w:rPr>
        <w:tab/>
      </w:r>
      <w:r>
        <w:rPr>
          <w:rFonts w:ascii="Times New Roman" w:cs="Times New Roman" w:eastAsia="Times New Roman" w:hAnsi="Times New Roman"/>
          <w:sz w:val="20"/>
          <w:szCs w:val="20"/>
          <w:color w:val="auto"/>
        </w:rPr>
        <w:t>4,456</w:t>
      </w:r>
    </w:p>
    <w:p>
      <w:pPr>
        <w:spacing w:after="0" w:line="55" w:lineRule="exact"/>
        <w:rPr>
          <w:sz w:val="20"/>
          <w:szCs w:val="20"/>
          <w:color w:val="auto"/>
        </w:rPr>
      </w:pPr>
    </w:p>
    <w:p>
      <w:pPr>
        <w:ind w:left="160"/>
        <w:spacing w:after="0"/>
        <w:tabs>
          <w:tab w:leader="none" w:pos="1600" w:val="left"/>
        </w:tabs>
        <w:rPr>
          <w:sz w:val="20"/>
          <w:szCs w:val="20"/>
          <w:color w:val="auto"/>
        </w:rPr>
      </w:pPr>
      <w:r>
        <w:rPr>
          <w:rFonts w:ascii="Times New Roman" w:cs="Times New Roman" w:eastAsia="Times New Roman" w:hAnsi="Times New Roman"/>
          <w:sz w:val="20"/>
          <w:szCs w:val="20"/>
          <w:color w:val="auto"/>
        </w:rPr>
        <w:t>120,106</w:t>
      </w:r>
      <w:r>
        <w:rPr>
          <w:sz w:val="20"/>
          <w:szCs w:val="20"/>
          <w:color w:val="auto"/>
        </w:rPr>
        <w:tab/>
      </w:r>
      <w:r>
        <w:rPr>
          <w:rFonts w:ascii="Times New Roman" w:cs="Times New Roman" w:eastAsia="Times New Roman" w:hAnsi="Times New Roman"/>
          <w:sz w:val="20"/>
          <w:szCs w:val="20"/>
          <w:color w:val="auto"/>
        </w:rPr>
        <w:t>114,439</w:t>
      </w:r>
    </w:p>
    <w:p>
      <w:pPr>
        <w:spacing w:after="0" w:line="55" w:lineRule="exact"/>
        <w:rPr>
          <w:sz w:val="20"/>
          <w:szCs w:val="20"/>
          <w:color w:val="auto"/>
        </w:rPr>
      </w:pPr>
    </w:p>
    <w:p>
      <w:pPr>
        <w:ind w:left="200"/>
        <w:spacing w:after="0"/>
        <w:tabs>
          <w:tab w:leader="none" w:pos="1640" w:val="left"/>
        </w:tabs>
        <w:rPr>
          <w:sz w:val="20"/>
          <w:szCs w:val="20"/>
          <w:color w:val="auto"/>
        </w:rPr>
      </w:pPr>
      <w:r>
        <w:rPr>
          <w:rFonts w:ascii="Times New Roman" w:cs="Times New Roman" w:eastAsia="Times New Roman" w:hAnsi="Times New Roman"/>
          <w:sz w:val="19"/>
          <w:szCs w:val="19"/>
          <w:color w:val="auto"/>
        </w:rPr>
        <w:t>(42,900)</w:t>
      </w:r>
      <w:r>
        <w:rPr>
          <w:sz w:val="20"/>
          <w:szCs w:val="20"/>
          <w:color w:val="auto"/>
        </w:rPr>
        <w:tab/>
      </w:r>
      <w:r>
        <w:rPr>
          <w:rFonts w:ascii="Times New Roman" w:cs="Times New Roman" w:eastAsia="Times New Roman" w:hAnsi="Times New Roman"/>
          <w:sz w:val="19"/>
          <w:szCs w:val="19"/>
          <w:color w:val="auto"/>
        </w:rPr>
        <w:t>(29,553)</w:t>
      </w:r>
    </w:p>
    <w:p>
      <w:pPr>
        <w:spacing w:after="0" w:line="67" w:lineRule="exact"/>
        <w:rPr>
          <w:sz w:val="20"/>
          <w:szCs w:val="20"/>
          <w:color w:val="auto"/>
        </w:rPr>
      </w:pPr>
    </w:p>
    <w:p>
      <w:pPr>
        <w:ind w:left="260"/>
        <w:spacing w:after="0"/>
        <w:tabs>
          <w:tab w:leader="none" w:pos="980" w:val="left"/>
          <w:tab w:leader="none" w:pos="1700" w:val="left"/>
        </w:tabs>
        <w:rPr>
          <w:sz w:val="20"/>
          <w:szCs w:val="20"/>
          <w:color w:val="auto"/>
        </w:rPr>
      </w:pPr>
      <w:r>
        <w:rPr>
          <w:rFonts w:ascii="Times New Roman" w:cs="Times New Roman" w:eastAsia="Times New Roman" w:hAnsi="Times New Roman"/>
          <w:sz w:val="20"/>
          <w:szCs w:val="20"/>
          <w:color w:val="auto"/>
        </w:rPr>
        <w:t>77,206</w:t>
        <w:tab/>
        <w:t>$</w:t>
      </w:r>
      <w:r>
        <w:rPr>
          <w:sz w:val="20"/>
          <w:szCs w:val="20"/>
          <w:color w:val="auto"/>
        </w:rPr>
        <w:tab/>
      </w:r>
      <w:r>
        <w:rPr>
          <w:rFonts w:ascii="Times New Roman" w:cs="Times New Roman" w:eastAsia="Times New Roman" w:hAnsi="Times New Roman"/>
          <w:sz w:val="19"/>
          <w:szCs w:val="19"/>
          <w:color w:val="auto"/>
        </w:rPr>
        <w:t>84,886</w:t>
      </w:r>
    </w:p>
    <w:p>
      <w:pPr>
        <w:spacing w:after="0" w:line="230" w:lineRule="exact"/>
        <w:rPr>
          <w:sz w:val="20"/>
          <w:szCs w:val="20"/>
          <w:color w:val="auto"/>
        </w:rPr>
      </w:pPr>
    </w:p>
    <w:p>
      <w:pPr>
        <w:sectPr>
          <w:pgSz w:w="12240" w:h="15840" w:orient="portrait"/>
          <w:cols w:equalWidth="0" w:num="2">
            <w:col w:w="7200" w:space="340"/>
            <w:col w:w="2360"/>
          </w:cols>
          <w:pgMar w:left="1180" w:top="201" w:right="1160" w:bottom="169" w:gutter="0" w:footer="0" w:header="0"/>
          <w:type w:val="continuous"/>
        </w:sectPr>
      </w:pPr>
    </w:p>
    <w:p>
      <w:pPr>
        <w:spacing w:after="0" w:line="91"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Depreciation expense related to fixed assets was $13.3 million, $13.7 million, and $7.8 million for the years ended December 31, 2025, 2024, and 2023, respectively. Amortization expense related to software costs was $0.4 million, $0.1 million, and $0.3 million for the years ended December 31, 2025, 2024, and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9—Income Taxes</w:t>
      </w:r>
    </w:p>
    <w:p>
      <w:pPr>
        <w:spacing w:after="0" w:line="217"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The Company’s operations are generally composed of entities that are organized as limited liability companies and limited partnerships. For U.S. federal income tax purposes, taxes related to income earned by these entities represent obligations of their interest holders. The Company is subject to certain foreign, state and local entity-level taxes (for example, the New York City Unincorporated Business Tax, or “UBT”). These taxes have been reflected in the Company’s consolidated financial statements and allocated between the Company and the non-controlling interest holders. In addition, the Company is subject to U.S. corporate federal, state and local income tax on its allocable share of results of operations from PWP OpCo.</w:t>
      </w:r>
    </w:p>
    <w:p>
      <w:pPr>
        <w:spacing w:after="0" w:line="184"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The Company’s income (loss) before income taxes is associated with activities in domestic and international jurisdictions, as follows:</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r>
      <w:tr>
        <w:trPr>
          <w:trHeight w:val="263"/>
        </w:trPr>
        <w:tc>
          <w:tcPr>
            <w:tcW w:w="5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Domestic </w:t>
            </w:r>
            <w:r>
              <w:rPr>
                <w:rFonts w:ascii="Times New Roman" w:cs="Times New Roman" w:eastAsia="Times New Roman" w:hAnsi="Times New Roman"/>
                <w:sz w:val="20"/>
                <w:szCs w:val="20"/>
                <w:color w:val="B4B4B4"/>
                <w:w w:val="99"/>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37,060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(78,113)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(104,348)</w:t>
            </w:r>
          </w:p>
        </w:tc>
      </w:tr>
      <w:tr>
        <w:trPr>
          <w:trHeight w:val="286"/>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International </w:t>
            </w:r>
            <w:r>
              <w:rPr>
                <w:rFonts w:ascii="Times New Roman" w:cs="Times New Roman" w:eastAsia="Times New Roman" w:hAnsi="Times New Roman"/>
                <w:sz w:val="20"/>
                <w:szCs w:val="20"/>
                <w:color w:val="B4B4B4"/>
                <w:w w:val="99"/>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14,455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9,858</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(8,472)</w:t>
            </w:r>
          </w:p>
        </w:tc>
      </w:tr>
      <w:tr>
        <w:trPr>
          <w:trHeight w:val="248"/>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Income (loss) before income taxes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51,515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(68,255)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(112,820)</w:t>
            </w:r>
          </w:p>
        </w:tc>
      </w:tr>
      <w:tr>
        <w:trPr>
          <w:trHeight w:val="20"/>
        </w:trPr>
        <w:tc>
          <w:tcPr>
            <w:tcW w:w="5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286500" cy="593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extLst>
                    </a:blip>
                    <a:srcRect/>
                    <a:stretch>
                      <a:fillRect/>
                    </a:stretch>
                  </pic:blipFill>
                  <pic:spPr bwMode="auto">
                    <a:xfrm>
                      <a:off x="0" y="0"/>
                      <a:ext cx="6286500" cy="593725"/>
                    </a:xfrm>
                    <a:prstGeom prst="rect">
                      <a:avLst/>
                    </a:prstGeom>
                    <a:noFill/>
                  </pic:spPr>
                </pic:pic>
              </a:graphicData>
            </a:graphic>
          </wp:anchor>
        </w:drawing>
      </w:r>
    </w:p>
    <w:p>
      <w:pPr>
        <w:sectPr>
          <w:pgSz w:w="12240" w:h="15840" w:orient="portrait"/>
          <w:cols w:equalWidth="0" w:num="1">
            <w:col w:w="9900"/>
          </w:cols>
          <w:pgMar w:left="1180" w:top="201" w:right="1160" w:bottom="169"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900"/>
          </w:cols>
          <w:pgMar w:left="1180" w:top="201" w:right="1160" w:bottom="169"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The components of Income tax expense (benefit) consist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r>
      <w:tr>
        <w:trPr>
          <w:trHeight w:val="263"/>
        </w:trPr>
        <w:tc>
          <w:tcPr>
            <w:tcW w:w="5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Federal income tax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20,220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w:t>
            </w: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State and local income tax</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2,955</w:t>
            </w:r>
          </w:p>
        </w:tc>
      </w:tr>
      <w:tr>
        <w:trPr>
          <w:trHeight w:val="286"/>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Foreign income tax</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3,883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(1,788)</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(2,298)</w:t>
            </w:r>
          </w:p>
        </w:tc>
      </w:tr>
      <w:tr>
        <w:trPr>
          <w:trHeight w:val="26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Total current income tax expense (benefit) </w:t>
            </w:r>
            <w:r>
              <w:rPr>
                <w:rFonts w:ascii="Times New Roman" w:cs="Times New Roman" w:eastAsia="Times New Roman" w:hAnsi="Times New Roman"/>
                <w:sz w:val="20"/>
                <w:szCs w:val="20"/>
                <w:color w:val="B4B4B4"/>
                <w:w w:val="98"/>
              </w:rPr>
              <w:t>........................................</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1,059</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23,545</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1,090</w:t>
            </w: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Federal income tax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1,819</w:t>
            </w: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State and local income tax</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(2,157)</w:t>
            </w:r>
          </w:p>
        </w:tc>
      </w:tr>
      <w:tr>
        <w:trPr>
          <w:trHeight w:val="286"/>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Foreign income tax</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1,386</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(1,732)</w:t>
            </w:r>
          </w:p>
        </w:tc>
      </w:tr>
      <w:tr>
        <w:trPr>
          <w:trHeight w:val="26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Total deferred income tax expense (benefit) </w:t>
            </w:r>
            <w:r>
              <w:rPr>
                <w:rFonts w:ascii="Times New Roman" w:cs="Times New Roman" w:eastAsia="Times New Roman" w:hAnsi="Times New Roman"/>
                <w:sz w:val="20"/>
                <w:szCs w:val="20"/>
                <w:color w:val="B4B4B4"/>
                <w:w w:val="98"/>
              </w:rPr>
              <w:t>......................................</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2,453</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(2,456)</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(2,070)</w:t>
            </w:r>
          </w:p>
        </w:tc>
      </w:tr>
      <w:tr>
        <w:trPr>
          <w:trHeight w:val="248"/>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Income tax expense (benefit)</w:t>
            </w:r>
            <w:r>
              <w:rPr>
                <w:rFonts w:ascii="Times New Roman" w:cs="Times New Roman" w:eastAsia="Times New Roman" w:hAnsi="Times New Roman"/>
                <w:sz w:val="20"/>
                <w:szCs w:val="20"/>
                <w:color w:val="B4B4B4"/>
                <w:w w:val="99"/>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21,089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w:t>
            </w:r>
          </w:p>
        </w:tc>
      </w:tr>
      <w:tr>
        <w:trPr>
          <w:trHeight w:val="20"/>
        </w:trPr>
        <w:tc>
          <w:tcPr>
            <w:tcW w:w="5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-1840865</wp:posOffset>
            </wp:positionV>
            <wp:extent cx="6286500" cy="1860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extLst>
                    </a:blip>
                    <a:srcRect/>
                    <a:stretch>
                      <a:fillRect/>
                    </a:stretch>
                  </pic:blipFill>
                  <pic:spPr bwMode="auto">
                    <a:xfrm>
                      <a:off x="0" y="0"/>
                      <a:ext cx="6286500" cy="1860550"/>
                    </a:xfrm>
                    <a:prstGeom prst="rect">
                      <a:avLst/>
                    </a:prstGeom>
                    <a:noFill/>
                  </pic:spPr>
                </pic:pic>
              </a:graphicData>
            </a:graphic>
          </wp:anchor>
        </w:drawing>
      </w:r>
    </w:p>
    <w:p>
      <w:pPr>
        <w:sectPr>
          <w:pgSz w:w="12240" w:h="15840" w:orient="portrait"/>
          <w:cols w:equalWidth="0" w:num="1">
            <w:col w:w="9800"/>
          </w:cols>
          <w:pgMar w:left="1220" w:top="201" w:right="122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800"/>
          </w:cols>
          <w:pgMar w:left="1220" w:top="201" w:right="1220" w:bottom="169" w:gutter="0" w:footer="0" w:header="0"/>
          <w:type w:val="continuous"/>
        </w:sectPr>
      </w:pPr>
    </w:p>
    <w:bookmarkStart w:id="66" w:name="page67"/>
    <w:bookmarkEnd w:id="66"/>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The following table reconciles the U.S. federal statutory tax rate to the effective income tax rate:</w:t>
      </w:r>
    </w:p>
    <w:p>
      <w:pPr>
        <w:spacing w:after="0" w:line="27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38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060" w:type="dxa"/>
            <w:vAlign w:val="bottom"/>
            <w:tcBorders>
              <w:bottom w:val="single" w:sz="8" w:color="auto"/>
            </w:tcBorders>
            <w:gridSpan w:val="9"/>
          </w:tcPr>
          <w:p>
            <w:pPr>
              <w:jc w:val="center"/>
              <w:ind w:left="3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8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8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7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7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8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62"/>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U.S. federal statutory tax rate </w:t>
            </w:r>
            <w:r>
              <w:rPr>
                <w:rFonts w:ascii="Times New Roman" w:cs="Times New Roman" w:eastAsia="Times New Roman" w:hAnsi="Times New Roman"/>
                <w:sz w:val="20"/>
                <w:szCs w:val="20"/>
                <w:color w:val="B4B4B4"/>
              </w:rPr>
              <w:t>.............................</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10,818</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(14,334)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(23,692)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0" w:type="dxa"/>
            <w:vAlign w:val="bottom"/>
          </w:tcPr>
          <w:p>
            <w:pPr>
              <w:spacing w:after="0"/>
              <w:rPr>
                <w:sz w:val="1"/>
                <w:szCs w:val="1"/>
                <w:color w:val="auto"/>
              </w:rPr>
            </w:pPr>
          </w:p>
        </w:tc>
      </w:tr>
      <w:tr>
        <w:trPr>
          <w:trHeight w:val="205"/>
        </w:trPr>
        <w:tc>
          <w:tcPr>
            <w:tcW w:w="388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State and local income taxes, net of federal</w:t>
            </w:r>
          </w:p>
        </w:tc>
        <w:tc>
          <w:tcPr>
            <w:tcW w:w="2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3,040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4,612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0" w:type="dxa"/>
            <w:vAlign w:val="bottom"/>
          </w:tcPr>
          <w:p>
            <w:pPr>
              <w:spacing w:after="0"/>
              <w:rPr>
                <w:sz w:val="1"/>
                <w:szCs w:val="1"/>
                <w:color w:val="auto"/>
              </w:rPr>
            </w:pPr>
          </w:p>
        </w:tc>
      </w:tr>
      <w:tr>
        <w:trPr>
          <w:trHeight w:val="285"/>
        </w:trPr>
        <w:tc>
          <w:tcPr>
            <w:tcW w:w="388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w w:val="99"/>
              </w:rPr>
              <w:t>income tax effect</w:t>
            </w:r>
            <w:r>
              <w:rPr>
                <w:rFonts w:ascii="Times New Roman" w:cs="Times New Roman" w:eastAsia="Times New Roman" w:hAnsi="Times New Roman"/>
                <w:sz w:val="26"/>
                <w:szCs w:val="26"/>
                <w:color w:val="auto"/>
                <w:w w:val="99"/>
                <w:vertAlign w:val="superscript"/>
              </w:rPr>
              <w:t>(1)</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color w:val="B4B4B4"/>
                <w:w w:val="99"/>
              </w:rPr>
              <w:t>.............................................</w:t>
            </w:r>
          </w:p>
        </w:tc>
        <w:tc>
          <w:tcPr>
            <w:tcW w:w="28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United Kingdom</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Share-based payment awards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85"/>
        </w:trPr>
        <w:tc>
          <w:tcPr>
            <w:tcW w:w="3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0.9 %</w:t>
            </w:r>
          </w:p>
        </w:tc>
        <w:tc>
          <w:tcPr>
            <w:tcW w:w="0" w:type="dxa"/>
            <w:vAlign w:val="bottom"/>
          </w:tcPr>
          <w:p>
            <w:pPr>
              <w:spacing w:after="0"/>
              <w:rPr>
                <w:sz w:val="1"/>
                <w:szCs w:val="1"/>
                <w:color w:val="auto"/>
              </w:rPr>
            </w:pPr>
          </w:p>
        </w:tc>
      </w:tr>
      <w:tr>
        <w:trPr>
          <w:trHeight w:val="285"/>
        </w:trPr>
        <w:tc>
          <w:tcPr>
            <w:tcW w:w="3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France</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Share-based payment awards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0" w:type="dxa"/>
            <w:vAlign w:val="bottom"/>
          </w:tcPr>
          <w:p>
            <w:pPr>
              <w:spacing w:after="0"/>
              <w:rPr>
                <w:sz w:val="1"/>
                <w:szCs w:val="1"/>
                <w:color w:val="auto"/>
              </w:rPr>
            </w:pPr>
          </w:p>
        </w:tc>
      </w:tr>
      <w:tr>
        <w:trPr>
          <w:trHeight w:val="285"/>
        </w:trPr>
        <w:tc>
          <w:tcPr>
            <w:tcW w:w="3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Anti-hybrid mismatch rules</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0" w:type="dxa"/>
            <w:vAlign w:val="bottom"/>
          </w:tcPr>
          <w:p>
            <w:pPr>
              <w:spacing w:after="0"/>
              <w:rPr>
                <w:sz w:val="1"/>
                <w:szCs w:val="1"/>
                <w:color w:val="auto"/>
              </w:rPr>
            </w:pPr>
          </w:p>
        </w:tc>
      </w:tr>
      <w:tr>
        <w:trPr>
          <w:trHeight w:val="285"/>
        </w:trPr>
        <w:tc>
          <w:tcPr>
            <w:tcW w:w="3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0.4 %</w:t>
            </w:r>
          </w:p>
        </w:tc>
        <w:tc>
          <w:tcPr>
            <w:tcW w:w="0" w:type="dxa"/>
            <w:vAlign w:val="bottom"/>
          </w:tcPr>
          <w:p>
            <w:pPr>
              <w:spacing w:after="0"/>
              <w:rPr>
                <w:sz w:val="1"/>
                <w:szCs w:val="1"/>
                <w:color w:val="auto"/>
              </w:rPr>
            </w:pPr>
          </w:p>
        </w:tc>
      </w:tr>
      <w:tr>
        <w:trPr>
          <w:trHeight w:val="285"/>
        </w:trPr>
        <w:tc>
          <w:tcPr>
            <w:tcW w:w="3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Germany</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Trade taxes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85"/>
        </w:trPr>
        <w:tc>
          <w:tcPr>
            <w:tcW w:w="3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85"/>
        </w:trPr>
        <w:tc>
          <w:tcPr>
            <w:tcW w:w="3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foreign jurisdictions</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85"/>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Effect of cross-border tax laws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Branch income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0.8 %</w:t>
            </w:r>
          </w:p>
        </w:tc>
        <w:tc>
          <w:tcPr>
            <w:tcW w:w="0" w:type="dxa"/>
            <w:vAlign w:val="bottom"/>
          </w:tcPr>
          <w:p>
            <w:pPr>
              <w:spacing w:after="0"/>
              <w:rPr>
                <w:sz w:val="1"/>
                <w:szCs w:val="1"/>
                <w:color w:val="auto"/>
              </w:rPr>
            </w:pPr>
          </w:p>
        </w:tc>
      </w:tr>
      <w:tr>
        <w:trPr>
          <w:trHeight w:val="285"/>
        </w:trPr>
        <w:tc>
          <w:tcPr>
            <w:tcW w:w="3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Changes in valuation allowances</w:t>
            </w:r>
            <w:r>
              <w:rPr>
                <w:rFonts w:ascii="Times New Roman" w:cs="Times New Roman" w:eastAsia="Times New Roman" w:hAnsi="Times New Roman"/>
                <w:sz w:val="20"/>
                <w:szCs w:val="20"/>
                <w:color w:val="B4B4B4"/>
                <w:w w:val="99"/>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 %</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85"/>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Excess tax benefit on share-based payments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(14,545)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(8,812)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85"/>
        </w:trPr>
        <w:tc>
          <w:tcPr>
            <w:tcW w:w="3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Non-deductible compensation expense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35,246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11,726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05"/>
        </w:trPr>
        <w:tc>
          <w:tcPr>
            <w:tcW w:w="3880" w:type="dxa"/>
            <w:vAlign w:val="bottom"/>
          </w:tcPr>
          <w:p>
            <w:pPr>
              <w:ind w:left="120"/>
              <w:spacing w:after="0" w:line="205" w:lineRule="exact"/>
              <w:rPr>
                <w:sz w:val="20"/>
                <w:szCs w:val="20"/>
                <w:color w:val="auto"/>
              </w:rPr>
            </w:pPr>
            <w:r>
              <w:rPr>
                <w:rFonts w:ascii="Times New Roman" w:cs="Times New Roman" w:eastAsia="Times New Roman" w:hAnsi="Times New Roman"/>
                <w:sz w:val="20"/>
                <w:szCs w:val="20"/>
                <w:color w:val="auto"/>
              </w:rPr>
              <w:t>(Income) loss allocated to non-controlling</w:t>
            </w:r>
          </w:p>
        </w:tc>
        <w:tc>
          <w:tcPr>
            <w:tcW w:w="2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(1,888)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3,697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11,991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60"/>
        </w:trPr>
        <w:tc>
          <w:tcPr>
            <w:tcW w:w="3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interests </w:t>
            </w:r>
            <w:r>
              <w:rPr>
                <w:rFonts w:ascii="Times New Roman" w:cs="Times New Roman" w:eastAsia="Times New Roman" w:hAnsi="Times New Roman"/>
                <w:sz w:val="20"/>
                <w:szCs w:val="20"/>
                <w:color w:val="B4B4B4"/>
              </w:rPr>
              <w:t>............................................................</w:t>
            </w:r>
          </w:p>
        </w:tc>
        <w:tc>
          <w:tcPr>
            <w:tcW w:w="2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Meals and entertainment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85"/>
        </w:trPr>
        <w:tc>
          <w:tcPr>
            <w:tcW w:w="3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Changes in unrecognized tax benefits </w:t>
            </w:r>
            <w:r>
              <w:rPr>
                <w:rFonts w:ascii="Times New Roman" w:cs="Times New Roman" w:eastAsia="Times New Roman" w:hAnsi="Times New Roman"/>
                <w:sz w:val="20"/>
                <w:szCs w:val="20"/>
                <w:color w:val="B4B4B4"/>
                <w:w w:val="98"/>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1.8 %</w:t>
            </w:r>
          </w:p>
        </w:tc>
        <w:tc>
          <w:tcPr>
            <w:tcW w:w="0" w:type="dxa"/>
            <w:vAlign w:val="bottom"/>
          </w:tcPr>
          <w:p>
            <w:pPr>
              <w:spacing w:after="0"/>
              <w:rPr>
                <w:sz w:val="1"/>
                <w:szCs w:val="1"/>
                <w:color w:val="auto"/>
              </w:rPr>
            </w:pPr>
          </w:p>
        </w:tc>
      </w:tr>
      <w:tr>
        <w:trPr>
          <w:trHeight w:val="288"/>
        </w:trPr>
        <w:tc>
          <w:tcPr>
            <w:tcW w:w="3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Other adjustments </w:t>
            </w:r>
            <w:r>
              <w:rPr>
                <w:rFonts w:ascii="Times New Roman" w:cs="Times New Roman" w:eastAsia="Times New Roman" w:hAnsi="Times New Roman"/>
                <w:sz w:val="20"/>
                <w:szCs w:val="20"/>
                <w:color w:val="B4B4B4"/>
                <w:w w:val="98"/>
              </w:rPr>
              <w:t>...............................................</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(507)</w:t>
            </w: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622</w:t>
            </w: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661</w:t>
            </w: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245"/>
        </w:trPr>
        <w:tc>
          <w:tcPr>
            <w:tcW w:w="3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Effective tax rate </w:t>
            </w:r>
            <w:r>
              <w:rPr>
                <w:rFonts w:ascii="Times New Roman" w:cs="Times New Roman" w:eastAsia="Times New Roman" w:hAnsi="Times New Roman"/>
                <w:sz w:val="20"/>
                <w:szCs w:val="20"/>
                <w:color w:val="B4B4B4"/>
                <w:w w:val="99"/>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6.8 %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21,089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(30.9)%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-4784090</wp:posOffset>
            </wp:positionV>
            <wp:extent cx="6324600" cy="4803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5">
                      <a:extLst>
                        <a:ext uri="{28A0092B-C50C-407E-A947-70E740481C1C}"/>
                      </a:extLst>
                    </a:blip>
                    <a:srcRect/>
                    <a:stretch>
                      <a:fillRect/>
                    </a:stretch>
                  </pic:blipFill>
                  <pic:spPr bwMode="auto">
                    <a:xfrm>
                      <a:off x="0" y="0"/>
                      <a:ext cx="6324600" cy="4803775"/>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ind w:left="370" w:right="20" w:hanging="370"/>
        <w:spacing w:after="0" w:line="259" w:lineRule="auto"/>
        <w:tabs>
          <w:tab w:leader="none" w:pos="37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and local income taxes in California, New York and New York City for the years ended December 31, 2025, 2024, and 2023 made up the majority (greater than 50%) of the tax effect in this category.</w:t>
      </w:r>
    </w:p>
    <w:p>
      <w:pPr>
        <w:spacing w:after="0" w:line="197" w:lineRule="exact"/>
        <w:rPr>
          <w:sz w:val="20"/>
          <w:szCs w:val="20"/>
          <w:color w:val="auto"/>
        </w:rPr>
      </w:pPr>
    </w:p>
    <w:p>
      <w:pPr>
        <w:ind w:left="10" w:right="20" w:firstLine="360"/>
        <w:spacing w:after="0"/>
        <w:rPr>
          <w:sz w:val="20"/>
          <w:szCs w:val="20"/>
          <w:color w:val="auto"/>
        </w:rPr>
      </w:pPr>
      <w:r>
        <w:rPr>
          <w:rFonts w:ascii="Times New Roman" w:cs="Times New Roman" w:eastAsia="Times New Roman" w:hAnsi="Times New Roman"/>
          <w:sz w:val="20"/>
          <w:szCs w:val="20"/>
          <w:color w:val="auto"/>
        </w:rPr>
        <w:t>The Company’s overall effective income tax rate is dependent on many factors, including the amount of income subject to tax. Consequently, the effective income tax rate can vary from period to period.</w:t>
      </w:r>
    </w:p>
    <w:p>
      <w:pPr>
        <w:spacing w:after="0" w:line="180" w:lineRule="exact"/>
        <w:rPr>
          <w:sz w:val="20"/>
          <w:szCs w:val="20"/>
          <w:color w:val="auto"/>
        </w:rPr>
      </w:pPr>
    </w:p>
    <w:p>
      <w:pPr>
        <w:ind w:left="10" w:firstLine="360"/>
        <w:spacing w:after="0"/>
        <w:rPr>
          <w:sz w:val="20"/>
          <w:szCs w:val="20"/>
          <w:color w:val="auto"/>
        </w:rPr>
      </w:pPr>
      <w:r>
        <w:rPr>
          <w:rFonts w:ascii="Times New Roman" w:cs="Times New Roman" w:eastAsia="Times New Roman" w:hAnsi="Times New Roman"/>
          <w:sz w:val="20"/>
          <w:szCs w:val="20"/>
          <w:color w:val="auto"/>
        </w:rPr>
        <w:t>Current tax receivables and payables are included in Prepaid expenses and other assets and Accounts payable, accrued expenses and other liabilities, respectively, on the Consolidated Statements of Financial Condition.</w:t>
      </w:r>
    </w:p>
    <w:p>
      <w:pPr>
        <w:sectPr>
          <w:pgSz w:w="12240" w:h="15840" w:orient="portrait"/>
          <w:cols w:equalWidth="0" w:num="1">
            <w:col w:w="9910"/>
          </w:cols>
          <w:pgMar w:left="117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910"/>
          </w:cols>
          <w:pgMar w:left="1170" w:top="201" w:right="1160" w:bottom="169" w:gutter="0" w:footer="0" w:header="0"/>
          <w:type w:val="continuous"/>
        </w:sectPr>
      </w:pPr>
    </w:p>
    <w:bookmarkStart w:id="67" w:name="page68"/>
    <w:bookmarkEnd w:id="67"/>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A reconciliation of the total income taxes paid for the years ended December 31, 2025, 2024, and 2023 is as follows:</w:t>
      </w:r>
    </w:p>
    <w:p>
      <w:pPr>
        <w:spacing w:after="0" w:line="27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r>
      <w:tr>
        <w:trPr>
          <w:trHeight w:val="265"/>
        </w:trPr>
        <w:tc>
          <w:tcPr>
            <w:tcW w:w="54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U.S. federal </w:t>
            </w:r>
            <w:r>
              <w:rPr>
                <w:rFonts w:ascii="Times New Roman" w:cs="Times New Roman" w:eastAsia="Times New Roman" w:hAnsi="Times New Roman"/>
                <w:sz w:val="20"/>
                <w:szCs w:val="20"/>
                <w:color w:val="B4B4B4"/>
                <w:w w:val="99"/>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6,652</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U.S. state and local</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New York State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New York City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1,030</w:t>
            </w: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California</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Texas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w:t>
            </w:r>
          </w:p>
        </w:tc>
      </w:tr>
      <w:tr>
        <w:trPr>
          <w:trHeight w:val="26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state and local </w:t>
            </w:r>
            <w:r>
              <w:rPr>
                <w:rFonts w:ascii="Times New Roman" w:cs="Times New Roman" w:eastAsia="Times New Roman" w:hAnsi="Times New Roman"/>
                <w:sz w:val="20"/>
                <w:szCs w:val="20"/>
                <w:color w:val="B4B4B4"/>
                <w:w w:val="99"/>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2,247</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1,401</w:t>
            </w:r>
          </w:p>
        </w:tc>
      </w:tr>
      <w:tr>
        <w:trPr>
          <w:trHeight w:val="262"/>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United Kingdom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w:t>
            </w: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France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Germany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w:t>
            </w: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Germany - Trade Tax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w:t>
            </w:r>
          </w:p>
        </w:tc>
      </w:tr>
      <w:tr>
        <w:trPr>
          <w:trHeight w:val="288"/>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Canada </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693</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1,109</w:t>
            </w:r>
          </w:p>
        </w:tc>
      </w:tr>
      <w:tr>
        <w:trPr>
          <w:trHeight w:val="26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foreign </w:t>
            </w:r>
            <w:r>
              <w:rPr>
                <w:rFonts w:ascii="Times New Roman" w:cs="Times New Roman" w:eastAsia="Times New Roman" w:hAnsi="Times New Roman"/>
                <w:sz w:val="20"/>
                <w:szCs w:val="20"/>
                <w:color w:val="B4B4B4"/>
                <w:w w:val="99"/>
              </w:rPr>
              <w:t>.......................................................................................</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(2,152)</w:t>
            </w:r>
          </w:p>
        </w:tc>
        <w:tc>
          <w:tcPr>
            <w:tcW w:w="60" w:type="dxa"/>
            <w:vAlign w:val="bottom"/>
          </w:tcPr>
          <w:p>
            <w:pPr>
              <w:spacing w:after="0"/>
              <w:rPr>
                <w:sz w:val="23"/>
                <w:szCs w:val="23"/>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1,384</w:t>
            </w:r>
          </w:p>
        </w:tc>
        <w:tc>
          <w:tcPr>
            <w:tcW w:w="60" w:type="dxa"/>
            <w:vAlign w:val="bottom"/>
          </w:tcPr>
          <w:p>
            <w:pPr>
              <w:spacing w:after="0"/>
              <w:rPr>
                <w:sz w:val="23"/>
                <w:szCs w:val="23"/>
                <w:color w:val="auto"/>
              </w:rPr>
            </w:pP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3,167</w:t>
            </w:r>
          </w:p>
        </w:tc>
      </w:tr>
      <w:tr>
        <w:trPr>
          <w:trHeight w:val="24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income taxes paid </w:t>
            </w:r>
            <w:r>
              <w:rPr>
                <w:rFonts w:ascii="Times New Roman" w:cs="Times New Roman" w:eastAsia="Times New Roman" w:hAnsi="Times New Roman"/>
                <w:sz w:val="20"/>
                <w:szCs w:val="20"/>
                <w:color w:val="B4B4B4"/>
                <w:w w:val="99"/>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4,568</w:t>
            </w:r>
          </w:p>
        </w:tc>
      </w:tr>
      <w:tr>
        <w:trPr>
          <w:trHeight w:val="20"/>
        </w:trPr>
        <w:tc>
          <w:tcPr>
            <w:tcW w:w="5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-2926715</wp:posOffset>
            </wp:positionV>
            <wp:extent cx="6286500" cy="2946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a:extLst>
                        <a:ext uri="{28A0092B-C50C-407E-A947-70E740481C1C}"/>
                      </a:extLst>
                    </a:blip>
                    <a:srcRect/>
                    <a:stretch>
                      <a:fillRect/>
                    </a:stretch>
                  </pic:blipFill>
                  <pic:spPr bwMode="auto">
                    <a:xfrm>
                      <a:off x="0" y="0"/>
                      <a:ext cx="6286500" cy="2946400"/>
                    </a:xfrm>
                    <a:prstGeom prst="rect">
                      <a:avLst/>
                    </a:prstGeom>
                    <a:noFill/>
                  </pic:spPr>
                </pic:pic>
              </a:graphicData>
            </a:graphic>
          </wp:anchor>
        </w:drawing>
      </w:r>
    </w:p>
    <w:p>
      <w:pPr>
        <w:spacing w:after="0" w:line="228" w:lineRule="exact"/>
        <w:rPr>
          <w:sz w:val="20"/>
          <w:szCs w:val="20"/>
          <w:color w:val="auto"/>
        </w:rPr>
      </w:pPr>
    </w:p>
    <w:p>
      <w:pPr>
        <w:jc w:val="both"/>
        <w:ind w:left="10" w:right="20" w:firstLine="360"/>
        <w:spacing w:after="0" w:line="229" w:lineRule="auto"/>
        <w:rPr>
          <w:sz w:val="20"/>
          <w:szCs w:val="20"/>
          <w:color w:val="auto"/>
        </w:rPr>
      </w:pPr>
      <w:r>
        <w:rPr>
          <w:rFonts w:ascii="Times New Roman" w:cs="Times New Roman" w:eastAsia="Times New Roman" w:hAnsi="Times New Roman"/>
          <w:sz w:val="20"/>
          <w:szCs w:val="20"/>
          <w:color w:val="auto"/>
        </w:rPr>
        <w:t>Deferred income taxes reflect the net effect of temporary differences between the tax basis of an asset or liability and its reported amount on the Company’s Consolidated Statements of Financial Condition. These temporary differences result in taxable or deductible amounts in future years.</w:t>
      </w:r>
    </w:p>
    <w:p>
      <w:pPr>
        <w:spacing w:after="0" w:line="182" w:lineRule="exact"/>
        <w:rPr>
          <w:sz w:val="20"/>
          <w:szCs w:val="20"/>
          <w:color w:val="auto"/>
        </w:rPr>
      </w:pPr>
    </w:p>
    <w:p>
      <w:pPr>
        <w:ind w:left="10" w:right="180" w:firstLine="360"/>
        <w:spacing w:after="0"/>
        <w:rPr>
          <w:sz w:val="20"/>
          <w:szCs w:val="20"/>
          <w:color w:val="auto"/>
        </w:rPr>
      </w:pPr>
      <w:r>
        <w:rPr>
          <w:rFonts w:ascii="Times New Roman" w:cs="Times New Roman" w:eastAsia="Times New Roman" w:hAnsi="Times New Roman"/>
          <w:sz w:val="20"/>
          <w:szCs w:val="20"/>
          <w:color w:val="auto"/>
        </w:rPr>
        <w:t>The significant components of deferred tax assets and liabilities included on the Company’s Consolidated Statements of Financial Condition are as follows:</w:t>
      </w:r>
    </w:p>
    <w:p>
      <w:pPr>
        <w:spacing w:after="0" w:line="24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70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54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0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65"/>
        </w:trPr>
        <w:tc>
          <w:tcPr>
            <w:tcW w:w="7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asset</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Step-up in tax basis in PWP OpCo assets </w:t>
            </w:r>
            <w:r>
              <w:rPr>
                <w:rFonts w:ascii="Times New Roman" w:cs="Times New Roman" w:eastAsia="Times New Roman" w:hAnsi="Times New Roman"/>
                <w:sz w:val="20"/>
                <w:szCs w:val="20"/>
                <w:color w:val="B4B4B4"/>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101,731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71,626</w:t>
            </w: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Operating lease liabilities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42,559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40,066</w:t>
            </w: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RSU amortization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27,749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22,740</w:t>
            </w: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Deferred compensation</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w:t>
            </w:r>
          </w:p>
        </w:tc>
      </w:tr>
      <w:tr>
        <w:trPr>
          <w:trHeight w:val="286"/>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6,052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3,835</w:t>
            </w:r>
          </w:p>
        </w:tc>
      </w:tr>
      <w:tr>
        <w:trPr>
          <w:trHeight w:val="264"/>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Deferred tax assets before valuation allowance </w:t>
            </w:r>
            <w:r>
              <w:rPr>
                <w:rFonts w:ascii="Times New Roman" w:cs="Times New Roman" w:eastAsia="Times New Roman" w:hAnsi="Times New Roman"/>
                <w:sz w:val="20"/>
                <w:szCs w:val="20"/>
                <w:color w:val="B4B4B4"/>
                <w:w w:val="99"/>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179,519</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138,913</w:t>
            </w:r>
          </w:p>
        </w:tc>
      </w:tr>
      <w:tr>
        <w:trPr>
          <w:trHeight w:val="286"/>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Valuation allowance </w:t>
            </w:r>
            <w:r>
              <w:rPr>
                <w:rFonts w:ascii="Times New Roman" w:cs="Times New Roman" w:eastAsia="Times New Roman" w:hAnsi="Times New Roman"/>
                <w:sz w:val="20"/>
                <w:szCs w:val="20"/>
                <w:color w:val="B4B4B4"/>
                <w:w w:val="99"/>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(2,049)</w:t>
            </w:r>
          </w:p>
        </w:tc>
      </w:tr>
      <w:tr>
        <w:trPr>
          <w:trHeight w:val="26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deferred tax assets </w:t>
            </w:r>
            <w:r>
              <w:rPr>
                <w:rFonts w:ascii="Times New Roman" w:cs="Times New Roman" w:eastAsia="Times New Roman" w:hAnsi="Times New Roman"/>
                <w:sz w:val="20"/>
                <w:szCs w:val="20"/>
                <w:color w:val="B4B4B4"/>
                <w:w w:val="99"/>
              </w:rPr>
              <w:t>...................................................................................................</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175,956</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136,864</w:t>
            </w:r>
          </w:p>
        </w:tc>
      </w:tr>
      <w:tr>
        <w:trPr>
          <w:trHeight w:val="264"/>
        </w:trPr>
        <w:tc>
          <w:tcPr>
            <w:tcW w:w="7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liability</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Operating right-of-use lease assets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(33,655)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(31,639)</w:t>
            </w: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Intangible assets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(1,694)</w:t>
            </w: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Fixed assets</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(8,614)</w:t>
            </w: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Anticipatory foreign tax credit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(1,979)</w:t>
            </w:r>
          </w:p>
        </w:tc>
      </w:tr>
      <w:tr>
        <w:trPr>
          <w:trHeight w:val="286"/>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(570)</w:t>
            </w:r>
          </w:p>
        </w:tc>
      </w:tr>
      <w:tr>
        <w:trPr>
          <w:trHeight w:val="26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deferred tax liabilities </w:t>
            </w:r>
            <w:r>
              <w:rPr>
                <w:rFonts w:ascii="Times New Roman" w:cs="Times New Roman" w:eastAsia="Times New Roman" w:hAnsi="Times New Roman"/>
                <w:sz w:val="20"/>
                <w:szCs w:val="20"/>
                <w:color w:val="B4B4B4"/>
                <w:w w:val="99"/>
              </w:rPr>
              <w:t>..............................................................................................</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(46,903)</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(44,496)</w:t>
            </w:r>
          </w:p>
        </w:tc>
      </w:tr>
      <w:tr>
        <w:trPr>
          <w:trHeight w:val="248"/>
        </w:trPr>
        <w:tc>
          <w:tcPr>
            <w:tcW w:w="7000" w:type="dxa"/>
            <w:vAlign w:val="bottom"/>
          </w:tcPr>
          <w:p>
            <w:pPr>
              <w:jc w:val="right"/>
              <w:spacing w:after="0" w:line="247" w:lineRule="exact"/>
              <w:rPr>
                <w:sz w:val="20"/>
                <w:szCs w:val="20"/>
                <w:color w:val="auto"/>
              </w:rPr>
            </w:pPr>
            <w:r>
              <w:rPr>
                <w:rFonts w:ascii="Times New Roman" w:cs="Times New Roman" w:eastAsia="Times New Roman" w:hAnsi="Times New Roman"/>
                <w:sz w:val="20"/>
                <w:szCs w:val="20"/>
                <w:color w:val="auto"/>
                <w:w w:val="98"/>
              </w:rPr>
              <w:t>Deferred tax asset, net</w:t>
            </w:r>
            <w:r>
              <w:rPr>
                <w:rFonts w:ascii="Times New Roman" w:cs="Times New Roman" w:eastAsia="Times New Roman" w:hAnsi="Times New Roman"/>
                <w:sz w:val="26"/>
                <w:szCs w:val="26"/>
                <w:color w:val="auto"/>
                <w:w w:val="98"/>
                <w:vertAlign w:val="superscript"/>
              </w:rPr>
              <w:t>(1)</w:t>
            </w:r>
            <w:r>
              <w:rPr>
                <w:rFonts w:ascii="Times New Roman" w:cs="Times New Roman" w:eastAsia="Times New Roman" w:hAnsi="Times New Roman"/>
                <w:sz w:val="20"/>
                <w:szCs w:val="20"/>
                <w:color w:val="auto"/>
                <w:w w:val="98"/>
              </w:rPr>
              <w:t xml:space="preserve"> </w:t>
            </w:r>
            <w:r>
              <w:rPr>
                <w:rFonts w:ascii="Times New Roman" w:cs="Times New Roman" w:eastAsia="Times New Roman" w:hAnsi="Times New Roman"/>
                <w:sz w:val="20"/>
                <w:szCs w:val="20"/>
                <w:color w:val="B4B4B4"/>
                <w:w w:val="98"/>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129,053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92,368</w:t>
            </w:r>
          </w:p>
        </w:tc>
      </w:tr>
      <w:tr>
        <w:trPr>
          <w:trHeight w:val="20"/>
        </w:trPr>
        <w:tc>
          <w:tcPr>
            <w:tcW w:w="7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-2926715</wp:posOffset>
            </wp:positionV>
            <wp:extent cx="6324600" cy="2946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extLst>
                        <a:ext uri="{28A0092B-C50C-407E-A947-70E740481C1C}"/>
                      </a:extLst>
                    </a:blip>
                    <a:srcRect/>
                    <a:stretch>
                      <a:fillRect/>
                    </a:stretch>
                  </pic:blipFill>
                  <pic:spPr bwMode="auto">
                    <a:xfrm>
                      <a:off x="0" y="0"/>
                      <a:ext cx="6324600" cy="29464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ind w:left="370" w:right="20" w:hanging="370"/>
        <w:spacing w:after="0" w:line="250" w:lineRule="auto"/>
        <w:tabs>
          <w:tab w:leader="none" w:pos="37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netting requirements of ASC 740, $0.5 million and $0.6 million of deferred tax liabilities are presented within Accounts payable, accrued expenses and other liabilities on the Consolidated Statements of Financial Condition as of December 31, 2025 and 2024.</w:t>
      </w:r>
    </w:p>
    <w:p>
      <w:pPr>
        <w:sectPr>
          <w:pgSz w:w="12240" w:h="15840" w:orient="portrait"/>
          <w:cols w:equalWidth="0" w:num="1">
            <w:col w:w="9910"/>
          </w:cols>
          <w:pgMar w:left="1170" w:top="201" w:right="1160" w:bottom="158" w:gutter="0" w:footer="0" w:header="0"/>
        </w:sectPr>
      </w:pPr>
    </w:p>
    <w:p>
      <w:pPr>
        <w:spacing w:after="0" w:line="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910"/>
          </w:cols>
          <w:pgMar w:left="1170" w:top="201" w:right="1160" w:bottom="158"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As of December 31, 2025 the Company has a foreign tax credit carryforward of $0.6 million which expires in 2035 and New York City UBT credits of $1.9 million which expire between 2028 and 2032.</w:t>
      </w:r>
    </w:p>
    <w:p>
      <w:pPr>
        <w:spacing w:after="0" w:line="180" w:lineRule="exact"/>
        <w:rPr>
          <w:sz w:val="20"/>
          <w:szCs w:val="20"/>
          <w:color w:val="auto"/>
        </w:rPr>
      </w:pPr>
    </w:p>
    <w:p>
      <w:pPr>
        <w:jc w:val="both"/>
        <w:ind w:right="20" w:firstLine="360"/>
        <w:spacing w:after="0" w:line="227" w:lineRule="auto"/>
        <w:rPr>
          <w:sz w:val="20"/>
          <w:szCs w:val="20"/>
          <w:color w:val="auto"/>
        </w:rPr>
      </w:pPr>
      <w:r>
        <w:rPr>
          <w:rFonts w:ascii="Times New Roman" w:cs="Times New Roman" w:eastAsia="Times New Roman" w:hAnsi="Times New Roman"/>
          <w:sz w:val="19"/>
          <w:szCs w:val="19"/>
          <w:color w:val="auto"/>
        </w:rPr>
        <w:t>The Company evaluates the realizability of deferred tax assets on a jurisdictional basis at each reporting date. ASC Topic 740 requires that a valuation allowance be established when it is more likely than not that all or a portion of the deferred tax assets will not be realized. As of December 31, 2025 and 2024, the Company recognized a valuation allowance of $3.6 million and $2.0 million, respectively, related to certain deferred tax assets that the Company does not expect to realize, a majority of which is attributable to the New York City UBT credits. No deferred tax asset has been recorded for the excess tax over book outside basis difference related to the Company’s investment in PWP OpCo as the deferred tax asset is not expected to reverse. The Company believes it is more-likely-than-not that the remaining net deferred tax asset recorded as of December 31, 2025 will be recovered in the future based on all available positive and negative evidence.</w:t>
      </w:r>
    </w:p>
    <w:p>
      <w:pPr>
        <w:spacing w:after="0" w:line="187"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For the years ended December 31, 2025, 2024, and 2023, the Company recorded an increase to the deferred tax asset of $35.8 million, $42.3 million, and $9.9 million, respectively, related to the step-up in tax basis of PWP OpCo assets in connection with the exchanges of PWP OpCo units for cash or stock of the Company during the year. In connection with the step-up in tax basis generated from the exchanges, the Company increased the Amount due pursuant to tax receivable agreement on the Consolidated Statements of Financial Condition by $30.5 million, $35.7 million, and $8.4 million for the years ended December 31, 2025, 2024, and 2023, respectively. The remaining tax benefit is allocable to the Company and is recorded within additional paid-in-capital.</w:t>
      </w:r>
    </w:p>
    <w:p>
      <w:pPr>
        <w:spacing w:after="0" w:line="184"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The Company does not have excess book over tax basis in its foreign investments and has therefore not provided a deferred tax liability with respect to an outside basis difference in its investment in foreign subsidiaries.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reconciliation of the changes in tax positions for the years ended December 31, 2025, 2024, and 2023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160020</wp:posOffset>
            </wp:positionV>
            <wp:extent cx="6286500" cy="1498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a:extLst>
                        <a:ext uri="{28A0092B-C50C-407E-A947-70E740481C1C}"/>
                      </a:extLst>
                    </a:blip>
                    <a:srcRect/>
                    <a:stretch>
                      <a:fillRect/>
                    </a:stretch>
                  </pic:blipFill>
                  <pic:spPr bwMode="auto">
                    <a:xfrm>
                      <a:off x="0" y="0"/>
                      <a:ext cx="6286500" cy="1498600"/>
                    </a:xfrm>
                    <a:prstGeom prst="rect">
                      <a:avLst/>
                    </a:prstGeom>
                    <a:noFill/>
                  </pic:spPr>
                </pic:pic>
              </a:graphicData>
            </a:graphic>
          </wp:anchor>
        </w:drawing>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r>
      <w:tr>
        <w:trPr>
          <w:trHeight w:val="263"/>
        </w:trPr>
        <w:tc>
          <w:tcPr>
            <w:tcW w:w="5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Beginning unrecognized tax benefit </w:t>
            </w:r>
            <w:r>
              <w:rPr>
                <w:rFonts w:ascii="Times New Roman" w:cs="Times New Roman" w:eastAsia="Times New Roman" w:hAnsi="Times New Roman"/>
                <w:sz w:val="20"/>
                <w:szCs w:val="20"/>
                <w:color w:val="B4B4B4"/>
                <w:w w:val="99"/>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5,628</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Additions for tax positions of prior years </w:t>
            </w:r>
            <w:r>
              <w:rPr>
                <w:rFonts w:ascii="Times New Roman" w:cs="Times New Roman" w:eastAsia="Times New Roman" w:hAnsi="Times New Roman"/>
                <w:sz w:val="20"/>
                <w:szCs w:val="20"/>
                <w:color w:val="B4B4B4"/>
                <w:w w:val="99"/>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Reductions for tax positions of prior years</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(2,944)</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Additions for tax positions of current year </w:t>
            </w:r>
            <w:r>
              <w:rPr>
                <w:rFonts w:ascii="Times New Roman" w:cs="Times New Roman" w:eastAsia="Times New Roman" w:hAnsi="Times New Roman"/>
                <w:sz w:val="20"/>
                <w:szCs w:val="20"/>
                <w:color w:val="B4B4B4"/>
                <w:w w:val="99"/>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Foreign currency translation </w:t>
            </w:r>
            <w:r>
              <w:rPr>
                <w:rFonts w:ascii="Times New Roman" w:cs="Times New Roman" w:eastAsia="Times New Roman" w:hAnsi="Times New Roman"/>
                <w:sz w:val="20"/>
                <w:szCs w:val="20"/>
                <w:color w:val="B4B4B4"/>
                <w:w w:val="99"/>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48"/>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Ending unrecognized tax benefit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3,704</w:t>
            </w:r>
          </w:p>
        </w:tc>
      </w:tr>
      <w:tr>
        <w:trPr>
          <w:trHeight w:val="20"/>
        </w:trPr>
        <w:tc>
          <w:tcPr>
            <w:tcW w:w="5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The Company classifies interest relating to tax matters and tax penalties as components of Income tax expense (benefit) on its Consolidated Statements of Operations. As of December 31, 2025, 2024, and 2023, there were $3.0 million, $1.0 million, and $2.8 million, respectively, of unrecognized tax benefits that, if recognized, would affect the effective income tax rate. For the years ended December 31, 2025, 2024, and 2023, $0.5 million, $0.3 million, and $0.4 million, respectively, of interest and penalties were recognized with respect to unrecognized tax benefits.</w:t>
      </w:r>
    </w:p>
    <w:p>
      <w:pPr>
        <w:spacing w:after="0" w:line="181"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The Company is subject to taxation in the United States and various state, local and foreign jurisdictions. As of December 31, 2025, the Company is not subject to examination by the tax authorities in these jurisdictions for years before 2018.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10—Debt</w:t>
      </w:r>
    </w:p>
    <w:p>
      <w:pPr>
        <w:spacing w:after="0" w:line="217" w:lineRule="exact"/>
        <w:rPr>
          <w:sz w:val="20"/>
          <w:szCs w:val="20"/>
          <w:color w:val="auto"/>
        </w:rPr>
      </w:pPr>
    </w:p>
    <w:p>
      <w:pPr>
        <w:jc w:val="both"/>
        <w:ind w:right="20" w:firstLine="360"/>
        <w:spacing w:after="0" w:line="215" w:lineRule="auto"/>
        <w:rPr>
          <w:sz w:val="20"/>
          <w:szCs w:val="20"/>
          <w:color w:val="auto"/>
        </w:rPr>
      </w:pPr>
      <w:r>
        <w:rPr>
          <w:rFonts w:ascii="Times New Roman" w:cs="Times New Roman" w:eastAsia="Times New Roman" w:hAnsi="Times New Roman"/>
          <w:sz w:val="20"/>
          <w:szCs w:val="20"/>
          <w:color w:val="auto"/>
        </w:rPr>
        <w:t>As of December 31, 2025 and 2024, the Company had no outstanding debt. The Company has a revolving credit facility (the “Revolving Credit Facility”) through a credit agreement with Cadence Bank (the “Credit Agreement”), with an available line of credit of $50.0 million and with up to $20.0 million of available incremental revolving commitments. Effective December 31, 2024, the maturity date was extended from July 1, 2025 to July 1, 2028. Issuance costs incurred related to the Credit Agreement are amortized as interest expense using the effective interest method over the life of the Revolving Credit Facility. The Company is also charged a quarterly commitment fee of 0.25% on any unused portion of the line of credit, which is recorded as interest expense. Interest expense related to the Revolving Credit Facility was immaterial for the years ended December 31, 2025, 2024, and 2023 and is included within Other income (expense) on the Consolidated Statements of Operations.</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900"/>
          </w:cols>
          <w:pgMar w:left="1180" w:top="201" w:right="1160" w:bottom="169"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6" w:lineRule="exact"/>
        <w:rPr>
          <w:sz w:val="20"/>
          <w:szCs w:val="20"/>
          <w:color w:val="auto"/>
        </w:rPr>
      </w:pPr>
    </w:p>
    <w:p>
      <w:pPr>
        <w:ind w:right="3540"/>
        <w:spacing w:after="0" w:line="462" w:lineRule="auto"/>
        <w:rPr>
          <w:sz w:val="20"/>
          <w:szCs w:val="20"/>
          <w:color w:val="auto"/>
        </w:rPr>
      </w:pPr>
      <w:r>
        <w:rPr>
          <w:rFonts w:ascii="Times New Roman" w:cs="Times New Roman" w:eastAsia="Times New Roman" w:hAnsi="Times New Roman"/>
          <w:sz w:val="20"/>
          <w:szCs w:val="20"/>
          <w:b w:val="1"/>
          <w:bCs w:val="1"/>
          <w:color w:val="auto"/>
        </w:rPr>
        <w:t xml:space="preserve">Note 11—Stockholders’ Equity and Redeemable Non-Controlling Interests </w:t>
      </w:r>
      <w:r>
        <w:rPr>
          <w:rFonts w:ascii="Times New Roman" w:cs="Times New Roman" w:eastAsia="Times New Roman" w:hAnsi="Times New Roman"/>
          <w:sz w:val="20"/>
          <w:szCs w:val="20"/>
          <w:b w:val="1"/>
          <w:bCs w:val="1"/>
          <w:i w:val="1"/>
          <w:iCs w:val="1"/>
          <w:color w:val="auto"/>
        </w:rPr>
        <w:t>Common Stock and Preferred Stock</w:t>
      </w:r>
    </w:p>
    <w:p>
      <w:pPr>
        <w:spacing w:after="0" w:line="2"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Holders of Class A common stock are entitled to one vote for each share on all matters submitted to the stockholders for their vote or approval. Prior to December 31, 2024, the Company had two classes of Class B common stock: Class B-1 common stock and Class B-2 common stock, the latter of which was no longer outstanding as of December 31, 2024. Each share of Class B-1 common stock, held by VoteCo Professionals subsequent to the Division, is entitled to ten votes per share for so long as Professional Partners or its Limited Partners as of the date of Closing or its or their respective successors or assigns maintain, directly or indirectly, ownership of PWP OpCo Units that represent at least 10% of the Company’s issued and outstanding Class A common stock (calculated, without duplication, on the basis that all issued and outstanding PWP OpCo Units not held by the Company or its subsidiaries had been exchanged for Class A common stock) (the “Class B Condition”). After the Class B Condition ceases to be satisfied, each share of Class B-1 common stock is entitled to one vote.</w:t>
      </w:r>
    </w:p>
    <w:p>
      <w:pPr>
        <w:spacing w:after="0" w:line="189"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On March 1, 2024, the Company issued and sold 5,750,000 shares of Class A common stock at a price of $12.00 per share for net proceeds of $66.0 million after deducting underwriting discounts and offering costs.</w:t>
      </w:r>
    </w:p>
    <w:p>
      <w:pPr>
        <w:spacing w:after="0" w:line="180"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The Company currently does not have any preferred stock issued and outstanding, but the Board of Directors maintains the right to establish preferred stock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 and Distributions</w:t>
      </w:r>
    </w:p>
    <w:p>
      <w:pPr>
        <w:spacing w:after="0" w:line="219"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Holders of Class A and Class B common stock are entitled to receive ratably, in proportion to the number of shares held, dividends and other distributions when declared, with holders of Class B common stock entitled to receive an amount equal to such dividends or other distributions as would be made on 0.001 shares of Class A common stock. During the years ended December 31, 2025 and 2024, the Company’s Board of Directors declared cash dividends of $0.28 per share of Class A common stock totaling $23.7 million and $22.6 million, respectively, including dividends paid, accrued dividend equivalents, and dividend equivalent units on unvested PWP Incentive Plan Awards (as defined in Note 12—Equity-Based Compensation). Dividends on Class B common stock (equal to the amount of dividends declared on 0.001 shares of Class A common stock) are included in the aforementioned total dividends declared.</w:t>
      </w:r>
    </w:p>
    <w:p>
      <w:pPr>
        <w:spacing w:after="0" w:line="184"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In accordance with the PWP OpCo LPA, the Company uses best efforts to make sufficient quarterly cash distributions to the holders of the PWP OpCo Units (the “PWP OpCo Unitholders”) to fund their tax obligations in respect of the income of PWP OpCo that is allocated to them.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Repurchases</w:t>
      </w:r>
    </w:p>
    <w:p>
      <w:pPr>
        <w:spacing w:after="0" w:line="219"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On February 16, 2022, the Company’s Board of Directors initially approved a stock repurchase program and the authorized amount under such program was increased on February 8, 2023 such that the Company is authorized to repurchase up to $200.0 million of the Company’s Class A common stock. On June 3, 2024, the Company repurchased 1,000,000 founder shares at a purchase price of $15.00 per share for a total purchase price of $15.0 million. Since inception of the share repurchase program, 14,750,036 shares have been purchased at an average price per share of $9.48 through December 31, 2025 for a total purchase price of $139.8 million. On August 9, 2021, prior to the implementation of the stock repurchase program, the Company repurchased 1,000,000 founder shares at a purchase price of $12.00 per share for a total purchase price of $12.0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Redeemable Non-Controlling Interests</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As a result of the Merger, the Non-controlling interests on the Consolidated Statements of Financial Condition were reclassified to Redeemable non-controlling interests within temporary equity. Redeemable non-controlling interests are presented at their redemption value as of the reporting date and represent the ownership interests in PWP OpCo held by holders other than Perella Weinberg Partners. As of December 31, 2025, the current and former working partners collectively own 22,139,506 PWP OpCo Units, which represents a 24.9% non-controlling ownership interest in PWP OpCo.</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900"/>
          </w:cols>
          <w:pgMar w:left="1180" w:top="201" w:right="1160" w:bottom="169"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Stockholder Agreement</w:t>
      </w:r>
    </w:p>
    <w:p>
      <w:pPr>
        <w:spacing w:after="0" w:line="21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A Stockholders Agreement between PWP and Professional Partners (the “Stockholders Agreement”) allows Professional Partners (including its successors (by merger, division or otherwise) and assigns) to maintain control over the Company’s significant corporate transactions even if it holds less than a majority of the combined total voting power of the Class A and Class B common stock. The Stockholders Agreement was allocated to VoteCo Professionals in connection with the Division, and will terminate once Professional Partners or its limited partners no longer hold PWP OpCo Units that (assuming such units were fully exchanged for Class A common stock) represent at least five percent of the Company’s outstanding Class A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 Rights</w:t>
      </w:r>
    </w:p>
    <w:p>
      <w:pPr>
        <w:spacing w:after="0" w:line="219" w:lineRule="exact"/>
        <w:rPr>
          <w:sz w:val="20"/>
          <w:szCs w:val="20"/>
          <w:color w:val="auto"/>
        </w:rPr>
      </w:pPr>
    </w:p>
    <w:p>
      <w:pPr>
        <w:jc w:val="both"/>
        <w:ind w:firstLine="360"/>
        <w:spacing w:after="0" w:line="212" w:lineRule="auto"/>
        <w:rPr>
          <w:sz w:val="20"/>
          <w:szCs w:val="20"/>
          <w:color w:val="auto"/>
        </w:rPr>
      </w:pPr>
      <w:r>
        <w:rPr>
          <w:rFonts w:ascii="Times New Roman" w:cs="Times New Roman" w:eastAsia="Times New Roman" w:hAnsi="Times New Roman"/>
          <w:sz w:val="20"/>
          <w:szCs w:val="20"/>
          <w:color w:val="auto"/>
        </w:rPr>
        <w:t>PWP OpCo Unitholders (other than the Company) may exchange their units for (i) shares of Class A common stock on a one-for-one basis or (ii) cash from an offering of shares of Class A common stock, and (iii) subsequent to the Merger, cash from any other source. Concurrently with an exchange, such PWP OpCo Unitholder is required to surrender shares of Class B common stock for additional shares of Class A common stock or cash at a conversion rate of 0.001. Whether the exchanging PWP OpCo Unitholder receives cash or Class A common stock in exchange for their PWP OpCo Units and Class B common stock is at the Company’s discretion. Working partners are restricted in their ability to exchange PWP OpCo Units for a period between three to five years after the Business Combination. PWP GP may waive, and in certain cases has waived, the foregoing restrictions for any holder with respect to all or a portion of such holder’s units, with no obligation to do so for any other holder. For the years ended December 31, 2025, 2024, and 2023, the Company settled exchanges of certain PWP OpCo Units and certain shares of Class B common stock for 4,055,056, 4,779,321, and 2,977,506 shares of Class A common stock, respectively. Separately, during the year ended December 31, 2025, the Company elected to settle exchanges of 1,270,086 PWP OpCo Units and corresponding shares of Class B common stock at an average price of $22.65 per PWP OpCo Unit for $28.3 million in cash as well as the non-cash settlement of certain partner promissory notes. Additionally, during the year ended December 31, 2024, the Company elected to settle exchanges of 3,204,979 PWP OpCo Units and corresponding shares of Class B common stock at an average price of $20.98 per PWP OpCo Unit for $63.4 million in cash as well as the non-cash settlement of certain partner promissory notes. Refer to Note 16—Related Party Transactions for more information on the non-cash settlement of partner promissory notes.</w:t>
      </w:r>
    </w:p>
    <w:p>
      <w:pPr>
        <w:spacing w:after="0" w:line="183"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To the extent an exchange creates a step-up in tax basis, the Company records an increase in Deferred tax assets, net, Amounts due pursuant to tax receivable agreement, and Additional paid-in-capital.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12—Equity-Based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PWP Omnibus Incentive Plan Awards</w:t>
      </w:r>
    </w:p>
    <w:p>
      <w:pPr>
        <w:spacing w:after="0" w:line="219"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Concurrent with the Business Combination, the Company adopted the Perella Weinberg Partners 2021 Omnibus Incentive Plan (the “PWP Incentive Plan”), which establishes a plan for the granting of various forms of incentive compensation awards, including RSUs and performance restricted stock units (“PSUs”), measured by reference to PWP Class A common stock (“PWP Incentive Plan Awards”). The PWP Incentive Plan established a reserve for a one-time grant of awards in connection with the Business Combination as well as a reserve for general purpose grants (the “General Share Reserve”). Grantees have rights to dividends declared during the vesting period and receive such dividends only upon vesting in the form of cash or dividend equivalent units. The Company uses newly issued shares of Class A common stock to satisfy vested awards, with the exception of shares issued out of treasury stock for vested awards (and related dividend equivalent units) held by French employees. Pursuant to the PWP Incentive Plan, the number of shares of Class A common stock reserved for issuance from the General Share Reserve increases each year. As of December 31, 2025, 10,657,730 total shares remained reserved and available for future issuance.</w:t>
      </w:r>
    </w:p>
    <w:p>
      <w:pPr>
        <w:spacing w:after="0" w:line="184"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In connection with the Business Combination, the Company granted awards in the form of (a) RSUs that vest upon the achievement of service conditions (“Transaction RSUs”) and (b) PSUs that only vest upon the achievement of both service and market conditions, including certain long-term incentive awards granted to management (“Transaction PSUs”).</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900"/>
          </w:cols>
          <w:pgMar w:left="1180" w:top="201" w:right="1160" w:bottom="169" w:gutter="0" w:footer="0" w:header="0"/>
          <w:type w:val="continuous"/>
        </w:sectPr>
      </w:pPr>
    </w:p>
    <w:bookmarkStart w:id="71" w:name="page72"/>
    <w:bookmarkEnd w:id="71"/>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ind w:left="10" w:right="20" w:firstLine="360"/>
        <w:spacing w:after="0"/>
        <w:rPr>
          <w:sz w:val="20"/>
          <w:szCs w:val="20"/>
          <w:color w:val="auto"/>
        </w:rPr>
      </w:pPr>
      <w:r>
        <w:rPr>
          <w:rFonts w:ascii="Times New Roman" w:cs="Times New Roman" w:eastAsia="Times New Roman" w:hAnsi="Times New Roman"/>
          <w:sz w:val="20"/>
          <w:szCs w:val="20"/>
          <w:color w:val="auto"/>
        </w:rPr>
        <w:t>The following table summarizes the activity related to the Transaction RSUs and Transaction PSUs during the year ended December 31, 2025:</w:t>
      </w:r>
    </w:p>
    <w:p>
      <w:pPr>
        <w:spacing w:after="0" w:line="24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4100" w:type="dxa"/>
            <w:vAlign w:val="bottom"/>
          </w:tcPr>
          <w:p>
            <w:pPr>
              <w:spacing w:after="0"/>
              <w:rPr>
                <w:sz w:val="23"/>
                <w:szCs w:val="23"/>
                <w:color w:val="auto"/>
              </w:rPr>
            </w:pPr>
          </w:p>
        </w:tc>
        <w:tc>
          <w:tcPr>
            <w:tcW w:w="284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Transaction RSUs</w:t>
            </w:r>
          </w:p>
        </w:tc>
        <w:tc>
          <w:tcPr>
            <w:tcW w:w="60" w:type="dxa"/>
            <w:vAlign w:val="bottom"/>
          </w:tcPr>
          <w:p>
            <w:pPr>
              <w:spacing w:after="0"/>
              <w:rPr>
                <w:sz w:val="23"/>
                <w:szCs w:val="23"/>
                <w:color w:val="auto"/>
              </w:rPr>
            </w:pPr>
          </w:p>
        </w:tc>
        <w:tc>
          <w:tcPr>
            <w:tcW w:w="286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Transaction PSUs</w:t>
            </w:r>
          </w:p>
        </w:tc>
        <w:tc>
          <w:tcPr>
            <w:tcW w:w="0" w:type="dxa"/>
            <w:vAlign w:val="bottom"/>
          </w:tcPr>
          <w:p>
            <w:pPr>
              <w:spacing w:after="0"/>
              <w:rPr>
                <w:sz w:val="1"/>
                <w:szCs w:val="1"/>
                <w:color w:val="auto"/>
              </w:rPr>
            </w:pPr>
          </w:p>
        </w:tc>
      </w:tr>
      <w:tr>
        <w:trPr>
          <w:trHeight w:val="182"/>
        </w:trPr>
        <w:tc>
          <w:tcPr>
            <w:tcW w:w="4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00"/>
              <w:spacing w:after="0" w:line="183"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20"/>
              <w:spacing w:after="0" w:line="183"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Average Grant</w:t>
            </w: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Average Grant</w:t>
            </w: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138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rPr>
              <w:t>Date Fair</w:t>
            </w:r>
          </w:p>
        </w:tc>
        <w:tc>
          <w:tcPr>
            <w:tcW w:w="60" w:type="dxa"/>
            <w:vAlign w:val="bottom"/>
          </w:tcPr>
          <w:p>
            <w:pPr>
              <w:spacing w:after="0"/>
              <w:rPr>
                <w:sz w:val="17"/>
                <w:szCs w:val="17"/>
                <w:color w:val="auto"/>
              </w:rPr>
            </w:pPr>
          </w:p>
        </w:tc>
        <w:tc>
          <w:tcPr>
            <w:tcW w:w="14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Date Fair</w:t>
            </w: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w w:val="98"/>
              </w:rPr>
              <w:t>Value Per</w:t>
            </w:r>
          </w:p>
        </w:tc>
        <w:tc>
          <w:tcPr>
            <w:tcW w:w="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Value Per</w:t>
            </w: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2"/>
                <w:szCs w:val="22"/>
                <w:color w:val="auto"/>
              </w:rPr>
            </w:pPr>
          </w:p>
        </w:tc>
        <w:tc>
          <w:tcPr>
            <w:tcW w:w="13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Share</w:t>
            </w:r>
          </w:p>
        </w:tc>
        <w:tc>
          <w:tcPr>
            <w:tcW w:w="60" w:type="dxa"/>
            <w:vAlign w:val="bottom"/>
          </w:tcPr>
          <w:p>
            <w:pPr>
              <w:spacing w:after="0"/>
              <w:rPr>
                <w:sz w:val="22"/>
                <w:szCs w:val="22"/>
                <w:color w:val="auto"/>
              </w:rPr>
            </w:pPr>
          </w:p>
        </w:tc>
        <w:tc>
          <w:tcPr>
            <w:tcW w:w="14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Share</w:t>
            </w:r>
          </w:p>
        </w:tc>
        <w:tc>
          <w:tcPr>
            <w:tcW w:w="0" w:type="dxa"/>
            <w:vAlign w:val="bottom"/>
          </w:tcPr>
          <w:p>
            <w:pPr>
              <w:spacing w:after="0"/>
              <w:rPr>
                <w:sz w:val="1"/>
                <w:szCs w:val="1"/>
                <w:color w:val="auto"/>
              </w:rPr>
            </w:pPr>
          </w:p>
        </w:tc>
      </w:tr>
      <w:tr>
        <w:trPr>
          <w:trHeight w:val="261"/>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Balance at January 1, 2025 </w:t>
            </w:r>
            <w:r>
              <w:rPr>
                <w:rFonts w:ascii="Times New Roman" w:cs="Times New Roman" w:eastAsia="Times New Roman" w:hAnsi="Times New Roman"/>
                <w:sz w:val="20"/>
                <w:szCs w:val="20"/>
                <w:color w:val="B4B4B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1,228,606</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7,365,964</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10.04</w:t>
            </w:r>
          </w:p>
        </w:tc>
        <w:tc>
          <w:tcPr>
            <w:tcW w:w="0" w:type="dxa"/>
            <w:vAlign w:val="bottom"/>
          </w:tcPr>
          <w:p>
            <w:pPr>
              <w:spacing w:after="0"/>
              <w:rPr>
                <w:sz w:val="1"/>
                <w:szCs w:val="1"/>
                <w:color w:val="auto"/>
              </w:rPr>
            </w:pPr>
          </w:p>
        </w:tc>
      </w:tr>
      <w:tr>
        <w:trPr>
          <w:trHeight w:val="31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w w:val="99"/>
              </w:rPr>
              <w:t>Granted</w:t>
            </w:r>
            <w:r>
              <w:rPr>
                <w:rFonts w:ascii="Times New Roman" w:cs="Times New Roman" w:eastAsia="Times New Roman" w:hAnsi="Times New Roman"/>
                <w:sz w:val="26"/>
                <w:szCs w:val="26"/>
                <w:color w:val="auto"/>
                <w:w w:val="99"/>
                <w:vertAlign w:val="superscript"/>
              </w:rPr>
              <w:t>(1)</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color w:val="B4B4B4"/>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1,936</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9,568</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w:t>
            </w:r>
          </w:p>
        </w:tc>
        <w:tc>
          <w:tcPr>
            <w:tcW w:w="0" w:type="dxa"/>
            <w:vAlign w:val="bottom"/>
          </w:tcPr>
          <w:p>
            <w:pPr>
              <w:spacing w:after="0"/>
              <w:rPr>
                <w:sz w:val="1"/>
                <w:szCs w:val="1"/>
                <w:color w:val="auto"/>
              </w:rPr>
            </w:pPr>
          </w:p>
        </w:tc>
      </w:tr>
      <w:tr>
        <w:trPr>
          <w:trHeight w:val="26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Vested </w:t>
            </w:r>
            <w:r>
              <w:rPr>
                <w:rFonts w:ascii="Times New Roman" w:cs="Times New Roman" w:eastAsia="Times New Roman" w:hAnsi="Times New Roman"/>
                <w:sz w:val="20"/>
                <w:szCs w:val="20"/>
                <w:color w:val="B4B4B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(550,000)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(1,902,443)</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10.94</w:t>
            </w:r>
          </w:p>
        </w:tc>
        <w:tc>
          <w:tcPr>
            <w:tcW w:w="0" w:type="dxa"/>
            <w:vAlign w:val="bottom"/>
          </w:tcPr>
          <w:p>
            <w:pPr>
              <w:spacing w:after="0"/>
              <w:rPr>
                <w:sz w:val="1"/>
                <w:szCs w:val="1"/>
                <w:color w:val="auto"/>
              </w:rPr>
            </w:pPr>
          </w:p>
        </w:tc>
      </w:tr>
      <w:tr>
        <w:trPr>
          <w:trHeight w:val="286"/>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r>
              <w:rPr>
                <w:rFonts w:ascii="Times New Roman" w:cs="Times New Roman" w:eastAsia="Times New Roman" w:hAnsi="Times New Roman"/>
                <w:sz w:val="20"/>
                <w:szCs w:val="20"/>
                <w:color w:val="B4B4B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(5,932)</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w:t>
            </w:r>
          </w:p>
        </w:tc>
        <w:tc>
          <w:tcPr>
            <w:tcW w:w="0" w:type="dxa"/>
            <w:vAlign w:val="bottom"/>
          </w:tcPr>
          <w:p>
            <w:pPr>
              <w:spacing w:after="0"/>
              <w:rPr>
                <w:sz w:val="1"/>
                <w:szCs w:val="1"/>
                <w:color w:val="auto"/>
              </w:rPr>
            </w:pPr>
          </w:p>
        </w:tc>
      </w:tr>
      <w:tr>
        <w:trPr>
          <w:trHeight w:val="248"/>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Balance at December 31, 2025 </w:t>
            </w:r>
            <w:r>
              <w:rPr>
                <w:rFonts w:ascii="Times New Roman" w:cs="Times New Roman" w:eastAsia="Times New Roman" w:hAnsi="Times New Roman"/>
                <w:sz w:val="20"/>
                <w:szCs w:val="20"/>
                <w:b w:val="1"/>
                <w:bCs w:val="1"/>
                <w:color w:val="B4B4B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680,542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5,467,157</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311900" cy="9556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a:extLst>
                        <a:ext uri="{28A0092B-C50C-407E-A947-70E740481C1C}"/>
                      </a:extLst>
                    </a:blip>
                    <a:srcRect/>
                    <a:stretch>
                      <a:fillRect/>
                    </a:stretch>
                  </pic:blipFill>
                  <pic:spPr bwMode="auto">
                    <a:xfrm>
                      <a:off x="0" y="0"/>
                      <a:ext cx="6311900" cy="955675"/>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ind w:left="370" w:hanging="370"/>
        <w:spacing w:after="0" w:line="260" w:lineRule="auto"/>
        <w:tabs>
          <w:tab w:leader="none" w:pos="37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Business Combination, grants of Transaction RSUs and Transaction PSUs include only dividend equivalent units that have been awarded in the form of additional units granted from the General Share Reserve.</w:t>
      </w:r>
    </w:p>
    <w:p>
      <w:pPr>
        <w:spacing w:after="0" w:line="197" w:lineRule="exact"/>
        <w:rPr>
          <w:sz w:val="20"/>
          <w:szCs w:val="20"/>
          <w:color w:val="auto"/>
        </w:rPr>
      </w:pPr>
    </w:p>
    <w:p>
      <w:pPr>
        <w:jc w:val="both"/>
        <w:ind w:left="10" w:right="20" w:firstLine="360"/>
        <w:spacing w:after="0" w:line="221" w:lineRule="auto"/>
        <w:rPr>
          <w:sz w:val="20"/>
          <w:szCs w:val="20"/>
          <w:color w:val="auto"/>
        </w:rPr>
      </w:pPr>
      <w:r>
        <w:rPr>
          <w:rFonts w:ascii="Times New Roman" w:cs="Times New Roman" w:eastAsia="Times New Roman" w:hAnsi="Times New Roman"/>
          <w:sz w:val="20"/>
          <w:szCs w:val="20"/>
          <w:color w:val="auto"/>
        </w:rPr>
        <w:t>The Transaction RSUs generally vest in equal annual installments over the requisite service period of three to five years from the date of grant. The total fair value of Transaction RSUs that vested during the years ended December 31, 2025, 2024, and 2023 was $12.2 million, $32.0 million, and $10.9 million, respectively. As of December 31, 2025, total unrecognized compensation expense related to unvested Transaction RSUs was $1.7 million, which is expected to be recognized over a weighted average period of 0.7 years.</w:t>
      </w:r>
    </w:p>
    <w:p>
      <w:pPr>
        <w:spacing w:after="0" w:line="181" w:lineRule="exact"/>
        <w:rPr>
          <w:sz w:val="20"/>
          <w:szCs w:val="20"/>
          <w:color w:val="auto"/>
        </w:rPr>
      </w:pPr>
    </w:p>
    <w:p>
      <w:pPr>
        <w:jc w:val="both"/>
        <w:ind w:left="10" w:right="20" w:firstLine="360"/>
        <w:spacing w:after="0" w:line="224" w:lineRule="auto"/>
        <w:rPr>
          <w:sz w:val="20"/>
          <w:szCs w:val="20"/>
          <w:color w:val="auto"/>
        </w:rPr>
      </w:pPr>
      <w:r>
        <w:rPr>
          <w:rFonts w:ascii="Times New Roman" w:cs="Times New Roman" w:eastAsia="Times New Roman" w:hAnsi="Times New Roman"/>
          <w:sz w:val="20"/>
          <w:szCs w:val="20"/>
          <w:color w:val="auto"/>
        </w:rPr>
        <w:t>The service condition requirement with respect to the Transaction PSUs is generally satisfied over three to five years from the date of grant. The market condition requirement is satisfied in various increments upon the shares of Class A common stock achieving closing prices ranging from $12.00 to $30.00. As of December 31, 2025, the price targets ranging from $12.00 and $20.00 as well as substantially all of the $25.00 price target were met for the Transaction PSUs.</w:t>
      </w:r>
    </w:p>
    <w:p>
      <w:pPr>
        <w:spacing w:after="0" w:line="181" w:lineRule="exact"/>
        <w:rPr>
          <w:sz w:val="20"/>
          <w:szCs w:val="20"/>
          <w:color w:val="auto"/>
        </w:rPr>
      </w:pPr>
    </w:p>
    <w:p>
      <w:pPr>
        <w:jc w:val="both"/>
        <w:ind w:left="10" w:right="20" w:firstLine="360"/>
        <w:spacing w:after="0" w:line="217" w:lineRule="auto"/>
        <w:rPr>
          <w:sz w:val="20"/>
          <w:szCs w:val="20"/>
          <w:color w:val="auto"/>
        </w:rPr>
      </w:pPr>
      <w:r>
        <w:rPr>
          <w:rFonts w:ascii="Times New Roman" w:cs="Times New Roman" w:eastAsia="Times New Roman" w:hAnsi="Times New Roman"/>
          <w:sz w:val="20"/>
          <w:szCs w:val="20"/>
          <w:color w:val="auto"/>
        </w:rPr>
        <w:t>The total fair value of Transaction PSUs that vested during the years ended December 31, 2025, 2024, and 2023 was $44.3 million, $61.8 million, and $0.2 million, respectively. During the year ended December 31, 2023, the Company modified certain Transaction PSUs held by one employee to remove the market conditions, which resulted in a modification of the awards under ASC Topic 718, Compensation—Stock Compensation. Incremental compensation cost of $10.2 million related to the modification is being recognized over the remaining requisite service period. As of December 31, 2025, total unrecognized compensation expense related to unvested Transaction PSUs was $5.8 million, which is expected to be recognized over a weighted average period of 0.7 years.</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General Awards</w:t>
      </w:r>
    </w:p>
    <w:p>
      <w:pPr>
        <w:spacing w:after="0" w:line="210" w:lineRule="exact"/>
        <w:rPr>
          <w:sz w:val="20"/>
          <w:szCs w:val="20"/>
          <w:color w:val="auto"/>
        </w:rPr>
      </w:pPr>
    </w:p>
    <w:p>
      <w:pPr>
        <w:jc w:val="both"/>
        <w:ind w:left="10" w:right="20" w:firstLine="360"/>
        <w:spacing w:after="0" w:line="229" w:lineRule="auto"/>
        <w:rPr>
          <w:sz w:val="20"/>
          <w:szCs w:val="20"/>
          <w:color w:val="auto"/>
        </w:rPr>
      </w:pPr>
      <w:r>
        <w:rPr>
          <w:rFonts w:ascii="Times New Roman" w:cs="Times New Roman" w:eastAsia="Times New Roman" w:hAnsi="Times New Roman"/>
          <w:sz w:val="20"/>
          <w:szCs w:val="20"/>
          <w:color w:val="auto"/>
        </w:rPr>
        <w:t>The Company grants units from the General Share Reserve from time to time in the ordinary course of business in the form of (a) RSUs that vest upon the achievement of service conditions (“General RSUs”) and (b) PSUs that only vest upon the achievement of both service and market conditions (“General PSUs”).</w:t>
      </w:r>
    </w:p>
    <w:p>
      <w:pPr>
        <w:sectPr>
          <w:pgSz w:w="12240" w:h="15840" w:orient="portrait"/>
          <w:cols w:equalWidth="0" w:num="1">
            <w:col w:w="9910"/>
          </w:cols>
          <w:pgMar w:left="117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910"/>
          </w:cols>
          <w:pgMar w:left="1170" w:top="201" w:right="1160" w:bottom="169" w:gutter="0" w:footer="0" w:header="0"/>
          <w:type w:val="continuous"/>
        </w:sectPr>
      </w:pPr>
    </w:p>
    <w:bookmarkStart w:id="72" w:name="page73"/>
    <w:bookmarkEnd w:id="72"/>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5"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The following table summarizes the activity related to the General RSUs and General PSUs during the year ended</w:t>
      </w:r>
    </w:p>
    <w:p>
      <w:pPr>
        <w:ind w:left="10"/>
        <w:spacing w:after="0"/>
        <w:rPr>
          <w:sz w:val="20"/>
          <w:szCs w:val="20"/>
          <w:color w:val="auto"/>
        </w:rPr>
      </w:pPr>
      <w:r>
        <w:rPr>
          <w:rFonts w:ascii="Times New Roman" w:cs="Times New Roman" w:eastAsia="Times New Roman" w:hAnsi="Times New Roman"/>
          <w:sz w:val="20"/>
          <w:szCs w:val="20"/>
          <w:color w:val="auto"/>
        </w:rPr>
        <w:t>December 31, 2025:</w:t>
      </w:r>
    </w:p>
    <w:p>
      <w:pPr>
        <w:spacing w:after="0" w:line="257" w:lineRule="exact"/>
        <w:rPr>
          <w:sz w:val="20"/>
          <w:szCs w:val="20"/>
          <w:color w:val="auto"/>
        </w:rPr>
      </w:pPr>
    </w:p>
    <w:tbl>
      <w:tblPr>
        <w:tblLayout w:type="fixed"/>
        <w:tblInd w:w="50" w:type="dxa"/>
        <w:tblCellMar>
          <w:top w:w="0" w:type="dxa"/>
          <w:left w:w="0" w:type="dxa"/>
          <w:bottom w:w="0" w:type="dxa"/>
          <w:right w:w="0" w:type="dxa"/>
        </w:tblCellMar>
      </w:tblPr>
      <w:tr>
        <w:trPr>
          <w:trHeight w:val="285"/>
        </w:trPr>
        <w:tc>
          <w:tcPr>
            <w:tcW w:w="4100" w:type="dxa"/>
            <w:vAlign w:val="bottom"/>
          </w:tcPr>
          <w:p>
            <w:pPr>
              <w:spacing w:after="0"/>
              <w:rPr>
                <w:sz w:val="24"/>
                <w:szCs w:val="24"/>
                <w:color w:val="auto"/>
              </w:rPr>
            </w:pPr>
          </w:p>
        </w:tc>
        <w:tc>
          <w:tcPr>
            <w:tcW w:w="284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20"/>
                <w:szCs w:val="20"/>
                <w:b w:val="1"/>
                <w:bCs w:val="1"/>
                <w:color w:val="auto"/>
              </w:rPr>
              <w:t>General RSUs</w:t>
            </w:r>
          </w:p>
        </w:tc>
        <w:tc>
          <w:tcPr>
            <w:tcW w:w="60" w:type="dxa"/>
            <w:vAlign w:val="bottom"/>
          </w:tcPr>
          <w:p>
            <w:pPr>
              <w:spacing w:after="0"/>
              <w:rPr>
                <w:sz w:val="24"/>
                <w:szCs w:val="24"/>
                <w:color w:val="auto"/>
              </w:rPr>
            </w:pPr>
          </w:p>
        </w:tc>
        <w:tc>
          <w:tcPr>
            <w:tcW w:w="2860" w:type="dxa"/>
            <w:vAlign w:val="bottom"/>
            <w:tcBorders>
              <w:bottom w:val="single" w:sz="8" w:color="auto"/>
            </w:tcBorders>
            <w:gridSpan w:val="4"/>
          </w:tcPr>
          <w:p>
            <w:pPr>
              <w:jc w:val="right"/>
              <w:ind w:right="741"/>
              <w:spacing w:after="0"/>
              <w:rPr>
                <w:sz w:val="20"/>
                <w:szCs w:val="20"/>
                <w:color w:val="auto"/>
              </w:rPr>
            </w:pPr>
            <w:r>
              <w:rPr>
                <w:rFonts w:ascii="Times New Roman" w:cs="Times New Roman" w:eastAsia="Times New Roman" w:hAnsi="Times New Roman"/>
                <w:sz w:val="20"/>
                <w:szCs w:val="20"/>
                <w:b w:val="1"/>
                <w:bCs w:val="1"/>
                <w:color w:val="auto"/>
              </w:rPr>
              <w:t>General PSUs</w:t>
            </w:r>
          </w:p>
        </w:tc>
        <w:tc>
          <w:tcPr>
            <w:tcW w:w="0" w:type="dxa"/>
            <w:vAlign w:val="bottom"/>
          </w:tcPr>
          <w:p>
            <w:pPr>
              <w:spacing w:after="0"/>
              <w:rPr>
                <w:sz w:val="1"/>
                <w:szCs w:val="1"/>
                <w:color w:val="auto"/>
              </w:rPr>
            </w:pPr>
          </w:p>
        </w:tc>
      </w:tr>
      <w:tr>
        <w:trPr>
          <w:trHeight w:val="164"/>
        </w:trPr>
        <w:tc>
          <w:tcPr>
            <w:tcW w:w="4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01"/>
              <w:spacing w:after="0" w:line="164" w:lineRule="exact"/>
              <w:rPr>
                <w:sz w:val="20"/>
                <w:szCs w:val="20"/>
                <w:color w:val="auto"/>
              </w:rPr>
            </w:pPr>
            <w:r>
              <w:rPr>
                <w:rFonts w:ascii="Times New Roman" w:cs="Times New Roman" w:eastAsia="Times New Roman" w:hAnsi="Times New Roman"/>
                <w:sz w:val="19"/>
                <w:szCs w:val="19"/>
                <w:b w:val="1"/>
                <w:bCs w:val="1"/>
                <w:color w:val="auto"/>
              </w:rPr>
              <w:t>Weighted</w:t>
            </w:r>
          </w:p>
        </w:tc>
        <w:tc>
          <w:tcPr>
            <w:tcW w:w="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1"/>
              <w:spacing w:after="0" w:line="164" w:lineRule="exact"/>
              <w:rPr>
                <w:sz w:val="20"/>
                <w:szCs w:val="20"/>
                <w:color w:val="auto"/>
              </w:rPr>
            </w:pPr>
            <w:r>
              <w:rPr>
                <w:rFonts w:ascii="Times New Roman" w:cs="Times New Roman" w:eastAsia="Times New Roman" w:hAnsi="Times New Roman"/>
                <w:sz w:val="19"/>
                <w:szCs w:val="19"/>
                <w:b w:val="1"/>
                <w:bCs w:val="1"/>
                <w:color w:val="auto"/>
              </w:rPr>
              <w:t>Weighted</w:t>
            </w: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Average Grant</w:t>
            </w: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Average Grant</w:t>
            </w: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138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101"/>
              <w:spacing w:after="0" w:line="200" w:lineRule="exact"/>
              <w:rPr>
                <w:sz w:val="20"/>
                <w:szCs w:val="20"/>
                <w:color w:val="auto"/>
              </w:rPr>
            </w:pPr>
            <w:r>
              <w:rPr>
                <w:rFonts w:ascii="Times New Roman" w:cs="Times New Roman" w:eastAsia="Times New Roman" w:hAnsi="Times New Roman"/>
                <w:sz w:val="20"/>
                <w:szCs w:val="20"/>
                <w:b w:val="1"/>
                <w:bCs w:val="1"/>
                <w:color w:val="auto"/>
              </w:rPr>
              <w:t>Date Fair</w:t>
            </w:r>
          </w:p>
        </w:tc>
        <w:tc>
          <w:tcPr>
            <w:tcW w:w="60" w:type="dxa"/>
            <w:vAlign w:val="bottom"/>
          </w:tcPr>
          <w:p>
            <w:pPr>
              <w:spacing w:after="0"/>
              <w:rPr>
                <w:sz w:val="17"/>
                <w:szCs w:val="17"/>
                <w:color w:val="auto"/>
              </w:rPr>
            </w:pPr>
          </w:p>
        </w:tc>
        <w:tc>
          <w:tcPr>
            <w:tcW w:w="14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21"/>
              <w:spacing w:after="0" w:line="200" w:lineRule="exact"/>
              <w:rPr>
                <w:sz w:val="20"/>
                <w:szCs w:val="20"/>
                <w:color w:val="auto"/>
              </w:rPr>
            </w:pPr>
            <w:r>
              <w:rPr>
                <w:rFonts w:ascii="Times New Roman" w:cs="Times New Roman" w:eastAsia="Times New Roman" w:hAnsi="Times New Roman"/>
                <w:sz w:val="20"/>
                <w:szCs w:val="20"/>
                <w:b w:val="1"/>
                <w:bCs w:val="1"/>
                <w:color w:val="auto"/>
              </w:rPr>
              <w:t>Date Fair</w:t>
            </w: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121"/>
              <w:spacing w:after="0" w:line="200" w:lineRule="exact"/>
              <w:rPr>
                <w:sz w:val="20"/>
                <w:szCs w:val="20"/>
                <w:color w:val="auto"/>
              </w:rPr>
            </w:pPr>
            <w:r>
              <w:rPr>
                <w:rFonts w:ascii="Times New Roman" w:cs="Times New Roman" w:eastAsia="Times New Roman" w:hAnsi="Times New Roman"/>
                <w:sz w:val="20"/>
                <w:szCs w:val="20"/>
                <w:b w:val="1"/>
                <w:bCs w:val="1"/>
                <w:color w:val="auto"/>
                <w:w w:val="98"/>
              </w:rPr>
              <w:t>Value Per</w:t>
            </w:r>
          </w:p>
        </w:tc>
        <w:tc>
          <w:tcPr>
            <w:tcW w:w="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21"/>
              <w:spacing w:after="0" w:line="200" w:lineRule="exact"/>
              <w:rPr>
                <w:sz w:val="20"/>
                <w:szCs w:val="20"/>
                <w:color w:val="auto"/>
              </w:rPr>
            </w:pPr>
            <w:r>
              <w:rPr>
                <w:rFonts w:ascii="Times New Roman" w:cs="Times New Roman" w:eastAsia="Times New Roman" w:hAnsi="Times New Roman"/>
                <w:sz w:val="20"/>
                <w:szCs w:val="20"/>
                <w:b w:val="1"/>
                <w:bCs w:val="1"/>
                <w:color w:val="auto"/>
              </w:rPr>
              <w:t>Value Per</w:t>
            </w: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2"/>
                <w:szCs w:val="22"/>
                <w:color w:val="auto"/>
              </w:rPr>
            </w:pPr>
          </w:p>
        </w:tc>
        <w:tc>
          <w:tcPr>
            <w:tcW w:w="13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9"/>
              </w:rPr>
              <w:t>Share</w:t>
            </w:r>
          </w:p>
        </w:tc>
        <w:tc>
          <w:tcPr>
            <w:tcW w:w="60" w:type="dxa"/>
            <w:vAlign w:val="bottom"/>
          </w:tcPr>
          <w:p>
            <w:pPr>
              <w:spacing w:after="0"/>
              <w:rPr>
                <w:sz w:val="22"/>
                <w:szCs w:val="22"/>
                <w:color w:val="auto"/>
              </w:rPr>
            </w:pPr>
          </w:p>
        </w:tc>
        <w:tc>
          <w:tcPr>
            <w:tcW w:w="14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9"/>
              </w:rPr>
              <w:t>Share</w:t>
            </w:r>
          </w:p>
        </w:tc>
        <w:tc>
          <w:tcPr>
            <w:tcW w:w="0" w:type="dxa"/>
            <w:vAlign w:val="bottom"/>
          </w:tcPr>
          <w:p>
            <w:pPr>
              <w:spacing w:after="0"/>
              <w:rPr>
                <w:sz w:val="1"/>
                <w:szCs w:val="1"/>
                <w:color w:val="auto"/>
              </w:rPr>
            </w:pPr>
          </w:p>
        </w:tc>
      </w:tr>
      <w:tr>
        <w:trPr>
          <w:trHeight w:val="261"/>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Balance at January 1, 2025 </w:t>
            </w:r>
            <w:r>
              <w:rPr>
                <w:rFonts w:ascii="Times New Roman" w:cs="Times New Roman" w:eastAsia="Times New Roman" w:hAnsi="Times New Roman"/>
                <w:sz w:val="20"/>
                <w:szCs w:val="20"/>
                <w:color w:val="B4B4B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14,684,610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6.02</w:t>
            </w:r>
          </w:p>
        </w:tc>
        <w:tc>
          <w:tcPr>
            <w:tcW w:w="0" w:type="dxa"/>
            <w:vAlign w:val="bottom"/>
          </w:tcPr>
          <w:p>
            <w:pPr>
              <w:spacing w:after="0"/>
              <w:rPr>
                <w:sz w:val="1"/>
                <w:szCs w:val="1"/>
                <w:color w:val="auto"/>
              </w:rPr>
            </w:pPr>
          </w:p>
        </w:tc>
      </w:tr>
      <w:tr>
        <w:trPr>
          <w:trHeight w:val="31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w w:val="99"/>
              </w:rPr>
              <w:t>Granted</w:t>
            </w:r>
            <w:r>
              <w:rPr>
                <w:rFonts w:ascii="Times New Roman" w:cs="Times New Roman" w:eastAsia="Times New Roman" w:hAnsi="Times New Roman"/>
                <w:sz w:val="26"/>
                <w:szCs w:val="26"/>
                <w:color w:val="auto"/>
                <w:w w:val="99"/>
                <w:vertAlign w:val="superscript"/>
              </w:rPr>
              <w:t>(1)</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color w:val="B4B4B4"/>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5,612,904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23.43</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Vested </w:t>
            </w:r>
            <w:r>
              <w:rPr>
                <w:rFonts w:ascii="Times New Roman" w:cs="Times New Roman" w:eastAsia="Times New Roman" w:hAnsi="Times New Roman"/>
                <w:sz w:val="20"/>
                <w:szCs w:val="20"/>
                <w:color w:val="B4B4B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(5,925,715)</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11.42</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6"/>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r>
              <w:rPr>
                <w:rFonts w:ascii="Times New Roman" w:cs="Times New Roman" w:eastAsia="Times New Roman" w:hAnsi="Times New Roman"/>
                <w:sz w:val="20"/>
                <w:szCs w:val="20"/>
                <w:color w:val="B4B4B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(277,254)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18.09</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Balance at December 31, 2025 </w:t>
            </w:r>
            <w:r>
              <w:rPr>
                <w:rFonts w:ascii="Times New Roman" w:cs="Times New Roman" w:eastAsia="Times New Roman" w:hAnsi="Times New Roman"/>
                <w:sz w:val="20"/>
                <w:szCs w:val="20"/>
                <w:b w:val="1"/>
                <w:bCs w:val="1"/>
                <w:color w:val="B4B4B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14,094,545</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311900" cy="9556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a:extLst>
                        <a:ext uri="{28A0092B-C50C-407E-A947-70E740481C1C}"/>
                      </a:extLst>
                    </a:blip>
                    <a:srcRect/>
                    <a:stretch>
                      <a:fillRect/>
                    </a:stretch>
                  </pic:blipFill>
                  <pic:spPr bwMode="auto">
                    <a:xfrm>
                      <a:off x="0" y="0"/>
                      <a:ext cx="6311900" cy="955675"/>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ind w:left="370" w:hanging="370"/>
        <w:spacing w:after="0" w:line="260" w:lineRule="auto"/>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dividend equivalent units that have been awarded in the form of additional General RSUs that were granted from the General Share Reserve.</w:t>
      </w:r>
    </w:p>
    <w:p>
      <w:pPr>
        <w:spacing w:after="0" w:line="189"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General RSUs vest over a requisite service period, which is generally one to three years from the date of grant. The</w:t>
      </w:r>
    </w:p>
    <w:p>
      <w:pPr>
        <w:ind w:left="10"/>
        <w:spacing w:after="0" w:line="208" w:lineRule="auto"/>
        <w:rPr>
          <w:sz w:val="20"/>
          <w:szCs w:val="20"/>
          <w:color w:val="auto"/>
        </w:rPr>
      </w:pPr>
      <w:r>
        <w:rPr>
          <w:rFonts w:ascii="Times New Roman" w:cs="Times New Roman" w:eastAsia="Times New Roman" w:hAnsi="Times New Roman"/>
          <w:sz w:val="20"/>
          <w:szCs w:val="20"/>
          <w:color w:val="auto"/>
        </w:rPr>
        <w:t>weighted-average grant date fair value of the General RSUs granted during the years ended December 31, 2025, 2024, and</w:t>
      </w:r>
    </w:p>
    <w:p>
      <w:pPr>
        <w:ind w:left="10"/>
        <w:spacing w:after="0" w:line="209" w:lineRule="auto"/>
        <w:rPr>
          <w:sz w:val="20"/>
          <w:szCs w:val="20"/>
          <w:color w:val="auto"/>
        </w:rPr>
      </w:pPr>
      <w:r>
        <w:rPr>
          <w:rFonts w:ascii="Times New Roman" w:cs="Times New Roman" w:eastAsia="Times New Roman" w:hAnsi="Times New Roman"/>
          <w:sz w:val="20"/>
          <w:szCs w:val="20"/>
          <w:color w:val="auto"/>
        </w:rPr>
        <w:t>2023 was $23.43, $13.91, and $10.23 per award, respectively, which was based on the PWP stock price on the date of</w:t>
      </w:r>
    </w:p>
    <w:p>
      <w:pPr>
        <w:ind w:left="10"/>
        <w:spacing w:after="0" w:line="209" w:lineRule="auto"/>
        <w:rPr>
          <w:sz w:val="20"/>
          <w:szCs w:val="20"/>
          <w:color w:val="auto"/>
        </w:rPr>
      </w:pPr>
      <w:r>
        <w:rPr>
          <w:rFonts w:ascii="Times New Roman" w:cs="Times New Roman" w:eastAsia="Times New Roman" w:hAnsi="Times New Roman"/>
          <w:sz w:val="20"/>
          <w:szCs w:val="20"/>
          <w:color w:val="auto"/>
        </w:rPr>
        <w:t>grant. The total fair value of General RSUs that vested during the years ended December 31, 2025, 2024, and 2023 was</w:t>
      </w:r>
    </w:p>
    <w:p>
      <w:pPr>
        <w:ind w:left="10"/>
        <w:spacing w:after="0" w:line="208" w:lineRule="auto"/>
        <w:rPr>
          <w:sz w:val="20"/>
          <w:szCs w:val="20"/>
          <w:color w:val="auto"/>
        </w:rPr>
      </w:pPr>
      <w:r>
        <w:rPr>
          <w:rFonts w:ascii="Times New Roman" w:cs="Times New Roman" w:eastAsia="Times New Roman" w:hAnsi="Times New Roman"/>
          <w:sz w:val="20"/>
          <w:szCs w:val="20"/>
          <w:color w:val="auto"/>
        </w:rPr>
        <w:t>$134.8 million, $62.0 million, and $28.9 million, respectively. As of December 31, 2025, total unrecognized compensation</w:t>
      </w:r>
    </w:p>
    <w:p>
      <w:pPr>
        <w:ind w:left="10"/>
        <w:spacing w:after="0" w:line="209" w:lineRule="auto"/>
        <w:rPr>
          <w:sz w:val="20"/>
          <w:szCs w:val="20"/>
          <w:color w:val="auto"/>
        </w:rPr>
      </w:pPr>
      <w:r>
        <w:rPr>
          <w:rFonts w:ascii="Times New Roman" w:cs="Times New Roman" w:eastAsia="Times New Roman" w:hAnsi="Times New Roman"/>
          <w:sz w:val="20"/>
          <w:szCs w:val="20"/>
          <w:color w:val="auto"/>
        </w:rPr>
        <w:t>expense related to unvested General RSUs was $129.0 million, which is expected to be recognized over a weighted average</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period of 1.8 years.</w:t>
      </w:r>
    </w:p>
    <w:p>
      <w:pPr>
        <w:spacing w:after="0" w:line="188" w:lineRule="exact"/>
        <w:rPr>
          <w:sz w:val="20"/>
          <w:szCs w:val="20"/>
          <w:color w:val="auto"/>
        </w:rPr>
      </w:pPr>
    </w:p>
    <w:p>
      <w:pPr>
        <w:jc w:val="both"/>
        <w:ind w:left="10" w:firstLine="360"/>
        <w:spacing w:after="0" w:line="215" w:lineRule="auto"/>
        <w:rPr>
          <w:sz w:val="20"/>
          <w:szCs w:val="20"/>
          <w:color w:val="auto"/>
        </w:rPr>
      </w:pPr>
      <w:r>
        <w:rPr>
          <w:rFonts w:ascii="Times New Roman" w:cs="Times New Roman" w:eastAsia="Times New Roman" w:hAnsi="Times New Roman"/>
          <w:sz w:val="20"/>
          <w:szCs w:val="20"/>
          <w:color w:val="auto"/>
        </w:rPr>
        <w:t>During the year ended December 31, 2023, the Company made a grant of General PSUs with a service condition requirement satisfied over three to five years from the date of grant and a market condition requirement satisfied in various increments upon the shares of Class A common stock achieving closing prices ranging from $15.00 to $30.00. No General PSUs vested during the years ended December 31, 2025, 2024 and 2023 and none were granted for the years ended December 31, 2025 and 2024. As of December 31, 2025, the price targets ranging from $15.00 to $20.00 as well as substantially all of the $25.00 price target were met for the General PSUs. As of December 31, 2025, total unrecognized compensation expense related to unvested General PSUs was $1.4 million, which is expected to be recognized over a weighted average period of 1.9 years. The Company estimated the fair value of the General PSUs on the grant date using a Monte-Carlo simulation valuation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144145</wp:posOffset>
            </wp:positionV>
            <wp:extent cx="6311900" cy="5683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1">
                      <a:extLst>
                        <a:ext uri="{28A0092B-C50C-407E-A947-70E740481C1C}"/>
                      </a:extLst>
                    </a:blip>
                    <a:srcRect/>
                    <a:stretch>
                      <a:fillRect/>
                    </a:stretch>
                  </pic:blipFill>
                  <pic:spPr bwMode="auto">
                    <a:xfrm>
                      <a:off x="0" y="0"/>
                      <a:ext cx="6311900" cy="568325"/>
                    </a:xfrm>
                    <a:prstGeom prst="rect">
                      <a:avLst/>
                    </a:prstGeom>
                    <a:noFill/>
                  </pic:spPr>
                </pic:pic>
              </a:graphicData>
            </a:graphic>
          </wp:anchor>
        </w:drawing>
      </w:r>
    </w:p>
    <w:p>
      <w:pPr>
        <w:spacing w:after="0" w:line="239"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Risk-free interest rate </w:t>
            </w:r>
            <w:r>
              <w:rPr>
                <w:rFonts w:ascii="Times New Roman" w:cs="Times New Roman" w:eastAsia="Times New Roman" w:hAnsi="Times New Roman"/>
                <w:sz w:val="20"/>
                <w:szCs w:val="20"/>
                <w:color w:val="B4B4B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Dividend yield </w:t>
            </w:r>
            <w:r>
              <w:rPr>
                <w:rFonts w:ascii="Times New Roman" w:cs="Times New Roman" w:eastAsia="Times New Roman" w:hAnsi="Times New Roman"/>
                <w:sz w:val="20"/>
                <w:szCs w:val="20"/>
                <w:color w:val="B4B4B4"/>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2.72 %</w:t>
            </w:r>
          </w:p>
        </w:tc>
      </w:tr>
      <w:tr>
        <w:trPr>
          <w:trHeight w:val="366"/>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Volatility factor</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4B4B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34.93</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ind w:left="10"/>
        <w:spacing w:after="0"/>
        <w:rPr>
          <w:sz w:val="20"/>
          <w:szCs w:val="20"/>
          <w:color w:val="auto"/>
        </w:rPr>
      </w:pPr>
      <w:r>
        <w:rPr>
          <w:rFonts w:ascii="Times New Roman" w:cs="Times New Roman" w:eastAsia="Times New Roman" w:hAnsi="Times New Roman"/>
          <w:sz w:val="16"/>
          <w:szCs w:val="16"/>
          <w:color w:val="auto"/>
        </w:rPr>
        <w:t>________________</w:t>
      </w:r>
    </w:p>
    <w:p>
      <w:pPr>
        <w:spacing w:after="0" w:line="7" w:lineRule="exact"/>
        <w:rPr>
          <w:sz w:val="20"/>
          <w:szCs w:val="20"/>
          <w:color w:val="auto"/>
        </w:rPr>
      </w:pPr>
    </w:p>
    <w:p>
      <w:pPr>
        <w:ind w:left="370" w:hanging="370"/>
        <w:spacing w:after="0"/>
        <w:tabs>
          <w:tab w:leader="none" w:pos="37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historical peer company volatility.</w:t>
      </w:r>
    </w:p>
    <w:p>
      <w:pPr>
        <w:sectPr>
          <w:pgSz w:w="12240" w:h="15840" w:orient="portrait"/>
          <w:cols w:equalWidth="0" w:num="1">
            <w:col w:w="9910"/>
          </w:cols>
          <w:pgMar w:left="117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910"/>
          </w:cols>
          <w:pgMar w:left="1170" w:top="201" w:right="1160" w:bottom="169"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Legacy Awards and Professional Partners Awards</w:t>
      </w:r>
    </w:p>
    <w:p>
      <w:pPr>
        <w:spacing w:after="0" w:line="219"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Prior to the Business Combination, Professional Partners granted certain equity-based awards to partners providing services to PWP OpCo (the “Legacy Awards”). In connection with the Business Combination and a related internal reorganization of Professional Partners, existing Legacy Awards were canceled and replaced by converting each limited partner’s capital interests in Professional Partners attributable to PWP OpCo into OCUs, VCUs, and/or ACUs. The OCUs were fully vested upon recapitalization. The VCUs and ACUs (collectively, “Professional Partners Awards”) were held by current working partners and required services to be performed on behalf of PWP OpCo. The Professional Partners Awards were generally subject to a service-based graded vesting schedule over a three to five-year requisite service period. Once vested, the Professional Partners Awards became OCUs, other than the cash-settled ACUs referenced below, and are eligible for the same exchange rights as other PWP OpCo Units, subject to certain lock-up periods. Refer to Note 11— Stockholders’ Equity and Redeemable Non-Controlling Interests for more information on exchange rights.</w:t>
      </w:r>
    </w:p>
    <w:p>
      <w:pPr>
        <w:spacing w:after="0" w:line="189"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At the time of the Merger, the Company entered into vesting acceleration agreements with certain holders of Professional Partners Awards (the “Accelerated Units”) to accelerate vesting during the second quarter of 2024 (the “Vesting Acceleration”). The Accelerated Units are generally subject to a lock-up period that is identical to the lockup period applicable to such units prior to the Vesting Acceleration. The Company also provided each holder of Accelerated Units that are ACUs the ability to convert a portion of such holder’s ACUs into cash upon vesting in an aggregate amount up to such holder’s estimated tax liability. The principal purpose of the Vesting Acceleration was to facilitate the payment of taxes associated with ACU vesting to align with the treatment of vested restricted stock units of the Company.</w:t>
      </w:r>
    </w:p>
    <w:p>
      <w:pPr>
        <w:spacing w:after="0" w:line="18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As a result of the Merger and Vesting Acceleration, certain Professional Partners Awards were modified from equity-classified to liability-classified awards with changes in fair value generally recorded as incremental equity-based compensation expense through the date of vesting. During the year ended December 31, 2024, the Company recorded $130.3 million of equity-based compensation expense related to the acceleration of the Professional Partners Awards. Of that amount, $69.5 million was related to liability-classified awards.</w:t>
      </w:r>
    </w:p>
    <w:p>
      <w:pPr>
        <w:spacing w:after="0" w:line="181"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In connection with the Vesting Acceleration, the Company paid or accrued a combined $86.6 million in settlement of 6,149,211 ACUs and corresponding shares of Class B common stock. Of that amount, the Company paid $60.6 million in settlement of liability-classified ACUs and $15.7 million for withholding tax payments on equity-classified ACUs and the settlement of other liabilities. These amounts are included within cash flows from operating activities and financing activities, respectively, on the Consolidated Statement of Cash Flows for the year ended December 31, 2024. As of December 31, 2024, $10.3 million of withholding taxes payable related to the Vesting Acceleration is included in Accounts payable, accrued expenses and other liabilities on the Consolidated Statement of Financial Condition. As of December 31, 2025, the amount was fully settled.</w:t>
      </w:r>
    </w:p>
    <w:p>
      <w:pPr>
        <w:spacing w:after="0" w:line="184" w:lineRule="exact"/>
        <w:rPr>
          <w:sz w:val="20"/>
          <w:szCs w:val="20"/>
          <w:color w:val="auto"/>
        </w:rPr>
      </w:pPr>
    </w:p>
    <w:p>
      <w:pPr>
        <w:jc w:val="both"/>
        <w:ind w:right="20" w:firstLine="360"/>
        <w:spacing w:after="0" w:line="215" w:lineRule="auto"/>
        <w:rPr>
          <w:sz w:val="20"/>
          <w:szCs w:val="20"/>
          <w:color w:val="auto"/>
        </w:rPr>
      </w:pPr>
      <w:r>
        <w:rPr>
          <w:rFonts w:ascii="Times New Roman" w:cs="Times New Roman" w:eastAsia="Times New Roman" w:hAnsi="Times New Roman"/>
          <w:sz w:val="20"/>
          <w:szCs w:val="20"/>
          <w:color w:val="auto"/>
        </w:rPr>
        <w:t>Prior to the Merger, all of the compensation expense and corresponding capital contribution associated with the Legacy Awards and Professional Partners Awards were allocated to Non-controlling interests on the Consolidated Statements of Operations and Consolidated Statements of Financial Condition as the granting of the Professional Partners Awards did not change Professional Partners’ interest in PWP OpCo and did not economically dilute Perella Weinberg Partners shareholders relative to Professional Partners. As a result of the Merger, the Professional Partners Awards are held directly at PWP OpCo and PWP OpCo as a whole bears the cost of the cash settlement feature of the awards. As a result, subsequent to the Merger, the Company allocated the remaining cost associated with the Professional Partners Awards between Perella Weinberg Partners and non-controlling interests in proportion to their ownership interests, which is consistent with the allocation of the other profit and loss activity of PWP OpCo.</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900"/>
          </w:cols>
          <w:pgMar w:left="1180" w:top="201" w:right="1160" w:bottom="169"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The following table presents the expense related to equity-based awards that were recorded in Professional fees and components of Equity-based compensation included on the Consolidated Statements of Operations:</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r>
      <w:tr>
        <w:trPr>
          <w:trHeight w:val="263"/>
        </w:trPr>
        <w:tc>
          <w:tcPr>
            <w:tcW w:w="5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Professional fees</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PWP Incentive Plan Awards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2,089</w:t>
            </w:r>
          </w:p>
        </w:tc>
      </w:tr>
      <w:tr>
        <w:trPr>
          <w:trHeight w:val="570"/>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Equity-based compensation</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PWP Incentive Plan Awards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109,759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114,058</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104,159</w:t>
            </w: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Legacy Awards</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9,674</w:t>
            </w: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Professional Partners Awards (equity-classified)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74,736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68,542</w:t>
            </w:r>
          </w:p>
        </w:tc>
      </w:tr>
      <w:tr>
        <w:trPr>
          <w:trHeight w:val="286"/>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Professional Partners Awards (liability-classified) </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69,502</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8"/>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Equity-based compensation </w:t>
            </w:r>
            <w:r>
              <w:rPr>
                <w:rFonts w:ascii="Times New Roman" w:cs="Times New Roman" w:eastAsia="Times New Roman" w:hAnsi="Times New Roman"/>
                <w:sz w:val="20"/>
                <w:szCs w:val="20"/>
                <w:color w:val="B4B4B4"/>
                <w:w w:val="99"/>
              </w:rPr>
              <w:t>......................................................</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109,759</w:t>
            </w: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258,296</w:t>
            </w:r>
          </w:p>
        </w:tc>
        <w:tc>
          <w:tcPr>
            <w:tcW w:w="60" w:type="dxa"/>
            <w:vAlign w:val="bottom"/>
          </w:tcPr>
          <w:p>
            <w:pPr>
              <w:spacing w:after="0"/>
              <w:rPr>
                <w:sz w:val="21"/>
                <w:szCs w:val="21"/>
                <w:color w:val="auto"/>
              </w:rPr>
            </w:pP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182,375</w:t>
            </w: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27"/>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Income tax benefit of equity-based awards </w:t>
            </w:r>
            <w:r>
              <w:rPr>
                <w:rFonts w:ascii="Times New Roman" w:cs="Times New Roman" w:eastAsia="Times New Roman" w:hAnsi="Times New Roman"/>
                <w:sz w:val="20"/>
                <w:szCs w:val="20"/>
                <w:color w:val="B4B4B4"/>
                <w:w w:val="99"/>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18,645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19,526</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-1813560</wp:posOffset>
            </wp:positionV>
            <wp:extent cx="6286500" cy="18351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2">
                      <a:extLst>
                        <a:ext uri="{28A0092B-C50C-407E-A947-70E740481C1C}"/>
                      </a:extLst>
                    </a:blip>
                    <a:srcRect/>
                    <a:stretch>
                      <a:fillRect/>
                    </a:stretch>
                  </pic:blipFill>
                  <pic:spPr bwMode="auto">
                    <a:xfrm>
                      <a:off x="0" y="0"/>
                      <a:ext cx="6286500" cy="183515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13—Other Compensation and Benefits</w:t>
      </w:r>
    </w:p>
    <w:p>
      <w:pPr>
        <w:spacing w:after="0" w:line="217"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Compensation and benefits expense consists of salaries, bonuses (discretionary awards and guaranteed amounts), severance, as well as payroll and related taxes and benefits for the Company’s employees. In all instances, compensation expense is accrued over the requisite service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Compensation Programs</w:t>
      </w:r>
    </w:p>
    <w:p>
      <w:pPr>
        <w:spacing w:after="0" w:line="219" w:lineRule="exact"/>
        <w:rPr>
          <w:sz w:val="20"/>
          <w:szCs w:val="20"/>
          <w:color w:val="auto"/>
        </w:rPr>
      </w:pPr>
    </w:p>
    <w:p>
      <w:pPr>
        <w:jc w:val="both"/>
        <w:ind w:firstLine="451"/>
        <w:spacing w:after="0" w:line="224" w:lineRule="auto"/>
        <w:rPr>
          <w:sz w:val="20"/>
          <w:szCs w:val="20"/>
          <w:color w:val="auto"/>
        </w:rPr>
      </w:pPr>
      <w:r>
        <w:rPr>
          <w:rFonts w:ascii="Times New Roman" w:cs="Times New Roman" w:eastAsia="Times New Roman" w:hAnsi="Times New Roman"/>
          <w:sz w:val="20"/>
          <w:szCs w:val="20"/>
          <w:color w:val="auto"/>
        </w:rPr>
        <w:t>From time to time, the Company has offered various deferred compensation plans to certain employees. As of December 31, 2025 and 2024, no deferred compensation liabilities remained outstanding. During the year ended December 31, 2023, $2.9 million was settled, of which $1.5 million was settled through a reduction of certain partners’ outstanding promissory notes and interest receivable. Refer to Note 16—Related Party Transactions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Benefit Plans</w:t>
      </w:r>
    </w:p>
    <w:p>
      <w:pPr>
        <w:spacing w:after="0" w:line="219"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Certain employees participate in employee benefit plans, which consist of defined contribution plans including (i) profit-sharing plans qualified under Section 401(k) of the Internal Revenue Code, (ii) a U.K. pension scheme for U.K. employees and (iii) a German pension plan for employees in Germany. Expenses related to the Company’s employee benefit plans were $6.2 million, $7.0 million, and $6.7 million for the years ended December 31, 2025, 2024, and 2023, respectively, and are included in Compensation and benefits on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Realignment</w:t>
      </w:r>
    </w:p>
    <w:p>
      <w:pPr>
        <w:spacing w:after="0" w:line="21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During the second quarter of 2023, the Company began a review of the business, which resulted in headcount reductions in order to improve compensation alignment and to provide greater flexibility to advance strategic opportunities (the “Business Realignment”). In conjunction with the Business Realignment and for the years ended December 31, 2024 and 2023, the Company incurred expenses related to separation and transition benefits of $1.8 million and $22.2 million, respectively, and the acceleration of equity-based compensation amortization (net of forfeitures) of $1.5 million and $15.1 million, respectively. Such amounts are presented in Compensation and benefits and Equity-based compensation on the Consolidated Statements of Operations, respectively. As of December 31, 2024, all of the expected Business Realignment costs were incurred and there were no remaining liabilities outstanding.</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900"/>
          </w:cols>
          <w:pgMar w:left="1180" w:top="201" w:right="1160" w:bottom="169"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14—Net Income (Loss) Per Share Attributable to Class A Common Shareholders</w:t>
      </w:r>
    </w:p>
    <w:p>
      <w:pPr>
        <w:spacing w:after="0" w:line="217"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The calculations of basic and diluted net income (loss) per share attributable to Class A common shareholders are presented below:</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0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4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5480" w:type="dxa"/>
            <w:vAlign w:val="bottom"/>
          </w:tcPr>
          <w:p>
            <w:pPr>
              <w:ind w:left="120"/>
              <w:spacing w:after="0" w:line="205" w:lineRule="exact"/>
              <w:rPr>
                <w:sz w:val="20"/>
                <w:szCs w:val="20"/>
                <w:color w:val="auto"/>
              </w:rPr>
            </w:pPr>
            <w:r>
              <w:rPr>
                <w:rFonts w:ascii="Times New Roman" w:cs="Times New Roman" w:eastAsia="Times New Roman" w:hAnsi="Times New Roman"/>
                <w:sz w:val="20"/>
                <w:szCs w:val="20"/>
                <w:color w:val="auto"/>
              </w:rPr>
              <w:t>Net income (loss) attributable to Perella Weinberg Partners –</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35,477</w:t>
            </w: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(64,728)</w:t>
            </w:r>
          </w:p>
        </w:tc>
        <w:tc>
          <w:tcPr>
            <w:tcW w:w="4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(17,223)</w:t>
            </w:r>
          </w:p>
        </w:tc>
        <w:tc>
          <w:tcPr>
            <w:tcW w:w="0" w:type="dxa"/>
            <w:vAlign w:val="bottom"/>
          </w:tcPr>
          <w:p>
            <w:pPr>
              <w:spacing w:after="0"/>
              <w:rPr>
                <w:sz w:val="1"/>
                <w:szCs w:val="1"/>
                <w:color w:val="auto"/>
              </w:rPr>
            </w:pPr>
          </w:p>
        </w:tc>
      </w:tr>
      <w:tr>
        <w:trPr>
          <w:trHeight w:val="260"/>
        </w:trPr>
        <w:tc>
          <w:tcPr>
            <w:tcW w:w="5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 xml:space="preserve">basic </w:t>
            </w:r>
            <w:r>
              <w:rPr>
                <w:rFonts w:ascii="Times New Roman" w:cs="Times New Roman" w:eastAsia="Times New Roman" w:hAnsi="Times New Roman"/>
                <w:sz w:val="20"/>
                <w:szCs w:val="20"/>
                <w:color w:val="B4B4B4"/>
              </w:rPr>
              <w:t>.................................................................................................</w:t>
            </w:r>
          </w:p>
        </w:tc>
        <w:tc>
          <w:tcPr>
            <w:tcW w:w="24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480" w:type="dxa"/>
            <w:vAlign w:val="bottom"/>
          </w:tcPr>
          <w:p>
            <w:pPr>
              <w:ind w:left="120"/>
              <w:spacing w:after="0" w:line="205" w:lineRule="exact"/>
              <w:rPr>
                <w:sz w:val="20"/>
                <w:szCs w:val="20"/>
                <w:color w:val="auto"/>
              </w:rPr>
            </w:pPr>
            <w:r>
              <w:rPr>
                <w:rFonts w:ascii="Times New Roman" w:cs="Times New Roman" w:eastAsia="Times New Roman" w:hAnsi="Times New Roman"/>
                <w:sz w:val="20"/>
                <w:szCs w:val="20"/>
                <w:color w:val="auto"/>
              </w:rPr>
              <w:t>Dilutive effect from assumed exchange of PWP OpCo Units, net</w:t>
            </w:r>
          </w:p>
        </w:tc>
        <w:tc>
          <w:tcPr>
            <w:tcW w:w="2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9,936</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(97,775)</w:t>
            </w:r>
          </w:p>
        </w:tc>
        <w:tc>
          <w:tcPr>
            <w:tcW w:w="0" w:type="dxa"/>
            <w:vAlign w:val="bottom"/>
          </w:tcPr>
          <w:p>
            <w:pPr>
              <w:spacing w:after="0"/>
              <w:rPr>
                <w:sz w:val="1"/>
                <w:szCs w:val="1"/>
                <w:color w:val="auto"/>
              </w:rPr>
            </w:pPr>
          </w:p>
        </w:tc>
      </w:tr>
      <w:tr>
        <w:trPr>
          <w:trHeight w:val="260"/>
        </w:trPr>
        <w:tc>
          <w:tcPr>
            <w:tcW w:w="5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 xml:space="preserve">of tax </w:t>
            </w:r>
            <w:r>
              <w:rPr>
                <w:rFonts w:ascii="Times New Roman" w:cs="Times New Roman" w:eastAsia="Times New Roman" w:hAnsi="Times New Roman"/>
                <w:sz w:val="20"/>
                <w:szCs w:val="20"/>
                <w:color w:val="B4B4B4"/>
              </w:rPr>
              <w:t>................................................................................................</w:t>
            </w:r>
          </w:p>
        </w:tc>
        <w:tc>
          <w:tcPr>
            <w:tcW w:w="24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480" w:type="dxa"/>
            <w:vAlign w:val="bottom"/>
          </w:tcPr>
          <w:p>
            <w:pPr>
              <w:ind w:left="120"/>
              <w:spacing w:after="0" w:line="205" w:lineRule="exact"/>
              <w:rPr>
                <w:sz w:val="20"/>
                <w:szCs w:val="20"/>
                <w:color w:val="auto"/>
              </w:rPr>
            </w:pPr>
            <w:r>
              <w:rPr>
                <w:rFonts w:ascii="Times New Roman" w:cs="Times New Roman" w:eastAsia="Times New Roman" w:hAnsi="Times New Roman"/>
                <w:sz w:val="20"/>
                <w:szCs w:val="20"/>
                <w:color w:val="auto"/>
              </w:rPr>
              <w:t>Dilutive effect from assumed vesting of PWP Incentive Plan</w:t>
            </w:r>
          </w:p>
        </w:tc>
        <w:tc>
          <w:tcPr>
            <w:tcW w:w="2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1,738</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5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 xml:space="preserve">Awards, net of tax </w:t>
            </w:r>
            <w:r>
              <w:rPr>
                <w:rFonts w:ascii="Times New Roman" w:cs="Times New Roman" w:eastAsia="Times New Roman" w:hAnsi="Times New Roman"/>
                <w:sz w:val="20"/>
                <w:szCs w:val="20"/>
                <w:color w:val="B4B4B4"/>
              </w:rPr>
              <w:t>............................................................................</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5480" w:type="dxa"/>
            <w:vAlign w:val="bottom"/>
          </w:tcPr>
          <w:p>
            <w:pPr>
              <w:spacing w:after="0" w:line="182" w:lineRule="exact"/>
              <w:rPr>
                <w:sz w:val="20"/>
                <w:szCs w:val="20"/>
                <w:color w:val="auto"/>
              </w:rPr>
            </w:pPr>
            <w:r>
              <w:rPr>
                <w:rFonts w:ascii="Times New Roman" w:cs="Times New Roman" w:eastAsia="Times New Roman" w:hAnsi="Times New Roman"/>
                <w:sz w:val="20"/>
                <w:szCs w:val="20"/>
                <w:color w:val="auto"/>
              </w:rPr>
              <w:t>Net income (loss) attributable to Perella Weinberg Partners –</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47,151</w:t>
            </w: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(64,728)</w:t>
            </w:r>
          </w:p>
        </w:tc>
        <w:tc>
          <w:tcPr>
            <w:tcW w:w="4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(114,998)</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diluted </w:t>
            </w:r>
            <w:r>
              <w:rPr>
                <w:rFonts w:ascii="Times New Roman" w:cs="Times New Roman" w:eastAsia="Times New Roman" w:hAnsi="Times New Roman"/>
                <w:sz w:val="20"/>
                <w:szCs w:val="20"/>
                <w:color w:val="B4B4B4"/>
              </w:rPr>
              <w:t>.................................................................................................</w:t>
            </w:r>
          </w:p>
        </w:tc>
        <w:tc>
          <w:tcPr>
            <w:tcW w:w="24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44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4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480" w:type="dxa"/>
            <w:vAlign w:val="bottom"/>
          </w:tcPr>
          <w:p>
            <w:pPr>
              <w:ind w:left="120"/>
              <w:spacing w:after="0" w:line="205" w:lineRule="exact"/>
              <w:rPr>
                <w:sz w:val="20"/>
                <w:szCs w:val="20"/>
                <w:color w:val="auto"/>
              </w:rPr>
            </w:pPr>
            <w:r>
              <w:rPr>
                <w:rFonts w:ascii="Times New Roman" w:cs="Times New Roman" w:eastAsia="Times New Roman" w:hAnsi="Times New Roman"/>
                <w:sz w:val="20"/>
                <w:szCs w:val="20"/>
                <w:color w:val="auto"/>
              </w:rPr>
              <w:t>Weighted average shares of Class A common stock outstanding –</w:t>
            </w:r>
          </w:p>
        </w:tc>
        <w:tc>
          <w:tcPr>
            <w:tcW w:w="2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64,208,733</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53,187,995</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43,273,939</w:t>
            </w:r>
          </w:p>
        </w:tc>
        <w:tc>
          <w:tcPr>
            <w:tcW w:w="0" w:type="dxa"/>
            <w:vAlign w:val="bottom"/>
          </w:tcPr>
          <w:p>
            <w:pPr>
              <w:spacing w:after="0"/>
              <w:rPr>
                <w:sz w:val="1"/>
                <w:szCs w:val="1"/>
                <w:color w:val="auto"/>
              </w:rPr>
            </w:pPr>
          </w:p>
        </w:tc>
      </w:tr>
      <w:tr>
        <w:trPr>
          <w:trHeight w:val="260"/>
        </w:trPr>
        <w:tc>
          <w:tcPr>
            <w:tcW w:w="5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 xml:space="preserve">basic </w:t>
            </w:r>
            <w:r>
              <w:rPr>
                <w:rFonts w:ascii="Times New Roman" w:cs="Times New Roman" w:eastAsia="Times New Roman" w:hAnsi="Times New Roman"/>
                <w:sz w:val="20"/>
                <w:szCs w:val="20"/>
                <w:color w:val="B4B4B4"/>
              </w:rPr>
              <w:t>.................................................................................................</w:t>
            </w:r>
          </w:p>
        </w:tc>
        <w:tc>
          <w:tcPr>
            <w:tcW w:w="24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480" w:type="dxa"/>
            <w:vAlign w:val="bottom"/>
          </w:tcPr>
          <w:p>
            <w:pPr>
              <w:ind w:left="120"/>
              <w:spacing w:after="0" w:line="205" w:lineRule="exact"/>
              <w:rPr>
                <w:sz w:val="20"/>
                <w:szCs w:val="20"/>
                <w:color w:val="auto"/>
              </w:rPr>
            </w:pPr>
            <w:r>
              <w:rPr>
                <w:rFonts w:ascii="Times New Roman" w:cs="Times New Roman" w:eastAsia="Times New Roman" w:hAnsi="Times New Roman"/>
                <w:sz w:val="20"/>
                <w:szCs w:val="20"/>
                <w:color w:val="auto"/>
              </w:rPr>
              <w:t>Weighted average number of incremental shares from assumed</w:t>
            </w:r>
          </w:p>
        </w:tc>
        <w:tc>
          <w:tcPr>
            <w:tcW w:w="2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24,966,231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43,505,113</w:t>
            </w:r>
          </w:p>
        </w:tc>
        <w:tc>
          <w:tcPr>
            <w:tcW w:w="0" w:type="dxa"/>
            <w:vAlign w:val="bottom"/>
          </w:tcPr>
          <w:p>
            <w:pPr>
              <w:spacing w:after="0"/>
              <w:rPr>
                <w:sz w:val="1"/>
                <w:szCs w:val="1"/>
                <w:color w:val="auto"/>
              </w:rPr>
            </w:pPr>
          </w:p>
        </w:tc>
      </w:tr>
      <w:tr>
        <w:trPr>
          <w:trHeight w:val="260"/>
        </w:trPr>
        <w:tc>
          <w:tcPr>
            <w:tcW w:w="54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 xml:space="preserve">exchange of PWP OpCo Units </w:t>
            </w:r>
            <w:r>
              <w:rPr>
                <w:rFonts w:ascii="Times New Roman" w:cs="Times New Roman" w:eastAsia="Times New Roman" w:hAnsi="Times New Roman"/>
                <w:sz w:val="20"/>
                <w:szCs w:val="20"/>
                <w:color w:val="B4B4B4"/>
                <w:w w:val="99"/>
              </w:rPr>
              <w:t>.........................................................</w:t>
            </w:r>
          </w:p>
        </w:tc>
        <w:tc>
          <w:tcPr>
            <w:tcW w:w="24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480" w:type="dxa"/>
            <w:vAlign w:val="bottom"/>
          </w:tcPr>
          <w:p>
            <w:pPr>
              <w:ind w:left="120"/>
              <w:spacing w:after="0" w:line="205" w:lineRule="exact"/>
              <w:rPr>
                <w:sz w:val="20"/>
                <w:szCs w:val="20"/>
                <w:color w:val="auto"/>
              </w:rPr>
            </w:pPr>
            <w:r>
              <w:rPr>
                <w:rFonts w:ascii="Times New Roman" w:cs="Times New Roman" w:eastAsia="Times New Roman" w:hAnsi="Times New Roman"/>
                <w:sz w:val="20"/>
                <w:szCs w:val="20"/>
                <w:color w:val="auto"/>
              </w:rPr>
              <w:t>Weighted average number of incremental shares from assumed</w:t>
            </w:r>
          </w:p>
        </w:tc>
        <w:tc>
          <w:tcPr>
            <w:tcW w:w="2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11,673,973</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5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 xml:space="preserve">vesting of PWP Incentive Plan Awards </w:t>
            </w:r>
            <w:r>
              <w:rPr>
                <w:rFonts w:ascii="Times New Roman" w:cs="Times New Roman" w:eastAsia="Times New Roman" w:hAnsi="Times New Roman"/>
                <w:sz w:val="20"/>
                <w:szCs w:val="20"/>
                <w:color w:val="B4B4B4"/>
              </w:rPr>
              <w:t>...........................................</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5480" w:type="dxa"/>
            <w:vAlign w:val="bottom"/>
          </w:tcPr>
          <w:p>
            <w:pPr>
              <w:spacing w:after="0" w:line="182" w:lineRule="exact"/>
              <w:rPr>
                <w:sz w:val="20"/>
                <w:szCs w:val="20"/>
                <w:color w:val="auto"/>
              </w:rPr>
            </w:pPr>
            <w:r>
              <w:rPr>
                <w:rFonts w:ascii="Times New Roman" w:cs="Times New Roman" w:eastAsia="Times New Roman" w:hAnsi="Times New Roman"/>
                <w:sz w:val="20"/>
                <w:szCs w:val="20"/>
                <w:color w:val="auto"/>
              </w:rPr>
              <w:t>Weighted average shares of Class A common stock outstanding –</w:t>
            </w:r>
          </w:p>
        </w:tc>
        <w:tc>
          <w:tcPr>
            <w:tcW w:w="2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100,848,937</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53,187,995</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86,779,052</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diluted </w:t>
            </w:r>
            <w:r>
              <w:rPr>
                <w:rFonts w:ascii="Times New Roman" w:cs="Times New Roman" w:eastAsia="Times New Roman" w:hAnsi="Times New Roman"/>
                <w:sz w:val="20"/>
                <w:szCs w:val="20"/>
                <w:color w:val="B4B4B4"/>
              </w:rPr>
              <w:t>.................................................................................................</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line="202" w:lineRule="exact"/>
              <w:rPr>
                <w:sz w:val="20"/>
                <w:szCs w:val="20"/>
                <w:color w:val="auto"/>
              </w:rPr>
            </w:pPr>
            <w:r>
              <w:rPr>
                <w:rFonts w:ascii="Times New Roman" w:cs="Times New Roman" w:eastAsia="Times New Roman" w:hAnsi="Times New Roman"/>
                <w:sz w:val="20"/>
                <w:szCs w:val="20"/>
                <w:b w:val="1"/>
                <w:bCs w:val="1"/>
                <w:color w:val="auto"/>
              </w:rPr>
              <w:t>Net income (loss) per share attributable to Class A common</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shareholders</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54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 xml:space="preserve">Basic </w:t>
            </w:r>
            <w:r>
              <w:rPr>
                <w:rFonts w:ascii="Times New Roman" w:cs="Times New Roman" w:eastAsia="Times New Roman" w:hAnsi="Times New Roman"/>
                <w:sz w:val="20"/>
                <w:szCs w:val="20"/>
                <w:color w:val="B4B4B4"/>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(0.40)</w:t>
            </w:r>
          </w:p>
        </w:tc>
        <w:tc>
          <w:tcPr>
            <w:tcW w:w="0" w:type="dxa"/>
            <w:vAlign w:val="bottom"/>
          </w:tcPr>
          <w:p>
            <w:pPr>
              <w:spacing w:after="0"/>
              <w:rPr>
                <w:sz w:val="1"/>
                <w:szCs w:val="1"/>
                <w:color w:val="auto"/>
              </w:rPr>
            </w:pPr>
          </w:p>
        </w:tc>
      </w:tr>
      <w:tr>
        <w:trPr>
          <w:trHeight w:val="285"/>
        </w:trPr>
        <w:tc>
          <w:tcPr>
            <w:tcW w:w="54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 xml:space="preserve">Diluted </w:t>
            </w:r>
            <w:r>
              <w:rPr>
                <w:rFonts w:ascii="Times New Roman" w:cs="Times New Roman" w:eastAsia="Times New Roman" w:hAnsi="Times New Roman"/>
                <w:sz w:val="20"/>
                <w:szCs w:val="20"/>
                <w:color w:val="B4B4B4"/>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-3204210</wp:posOffset>
            </wp:positionV>
            <wp:extent cx="6286500" cy="3225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3">
                      <a:extLst>
                        <a:ext uri="{28A0092B-C50C-407E-A947-70E740481C1C}"/>
                      </a:extLst>
                    </a:blip>
                    <a:srcRect/>
                    <a:stretch>
                      <a:fillRect/>
                    </a:stretch>
                  </pic:blipFill>
                  <pic:spPr bwMode="auto">
                    <a:xfrm>
                      <a:off x="0" y="0"/>
                      <a:ext cx="6286500" cy="3225800"/>
                    </a:xfrm>
                    <a:prstGeom prst="rect">
                      <a:avLst/>
                    </a:prstGeom>
                    <a:noFill/>
                  </pic:spPr>
                </pic:pic>
              </a:graphicData>
            </a:graphic>
          </wp:anchor>
        </w:drawing>
      </w:r>
    </w:p>
    <w:p>
      <w:pPr>
        <w:spacing w:after="0" w:line="271"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Basic and diluted net income (loss) per share attributable to Class B common shareholders has not been presented as these shares are entitled to an insignificant amount of economic participation.</w:t>
      </w:r>
    </w:p>
    <w:p>
      <w:pPr>
        <w:spacing w:after="0" w:line="180"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The Company uses the treasury stock method to determine the potential dilutive effect of unvested PWP Incentive Plan Awards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beginning of the applicable period.</w:t>
      </w:r>
    </w:p>
    <w:p>
      <w:pPr>
        <w:spacing w:after="0" w:line="181"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p>
      <w:pPr>
        <w:spacing w:after="0" w:line="2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3508375</wp:posOffset>
                </wp:positionH>
                <wp:positionV relativeFrom="paragraph">
                  <wp:posOffset>29845</wp:posOffset>
                </wp:positionV>
                <wp:extent cx="273367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367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25pt,2.35pt" to="491.5pt,2.35pt" o:allowincell="f" strokecolor="#000000" strokeweight="0.75pt"/>
            </w:pict>
          </mc:Fallback>
        </mc:AlternateConten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65"/>
        </w:trPr>
        <w:tc>
          <w:tcPr>
            <w:tcW w:w="5480" w:type="dxa"/>
            <w:vAlign w:val="bottom"/>
          </w:tcPr>
          <w:p>
            <w:pPr>
              <w:spacing w:after="0"/>
              <w:rPr>
                <w:sz w:val="23"/>
                <w:szCs w:val="23"/>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3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14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4"/>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PWP OpCo Units </w:t>
            </w:r>
            <w:r>
              <w:rPr>
                <w:rFonts w:ascii="Times New Roman" w:cs="Times New Roman" w:eastAsia="Times New Roman" w:hAnsi="Times New Roman"/>
                <w:sz w:val="20"/>
                <w:szCs w:val="20"/>
                <w:color w:val="B4B4B4"/>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34,588,419</w:t>
            </w:r>
          </w:p>
        </w:tc>
        <w:tc>
          <w:tcPr>
            <w:tcW w:w="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PWP Incentive Plan Awards </w:t>
            </w:r>
            <w:r>
              <w:rPr>
                <w:rFonts w:ascii="Times New Roman" w:cs="Times New Roman" w:eastAsia="Times New Roman" w:hAnsi="Times New Roman"/>
                <w:sz w:val="20"/>
                <w:szCs w:val="20"/>
                <w:color w:val="B4B4B4"/>
              </w:rPr>
              <w:t>..............................................................</w:t>
            </w: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10,941,161</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2,186,189</w:t>
            </w:r>
          </w:p>
        </w:tc>
      </w:tr>
      <w:tr>
        <w:trPr>
          <w:trHeight w:val="245"/>
        </w:trPr>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Total </w:t>
            </w:r>
            <w:r>
              <w:rPr>
                <w:rFonts w:ascii="Times New Roman" w:cs="Times New Roman" w:eastAsia="Times New Roman" w:hAnsi="Times New Roman"/>
                <w:sz w:val="20"/>
                <w:szCs w:val="20"/>
                <w:color w:val="B4B4B4"/>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45,529,580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2,186,189</w:t>
            </w:r>
          </w:p>
        </w:tc>
      </w:tr>
      <w:tr>
        <w:trPr>
          <w:trHeight w:val="20"/>
        </w:trPr>
        <w:tc>
          <w:tcPr>
            <w:tcW w:w="5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286500" cy="593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4">
                      <a:extLst>
                        <a:ext uri="{28A0092B-C50C-407E-A947-70E740481C1C}"/>
                      </a:extLst>
                    </a:blip>
                    <a:srcRect/>
                    <a:stretch>
                      <a:fillRect/>
                    </a:stretch>
                  </pic:blipFill>
                  <pic:spPr bwMode="auto">
                    <a:xfrm>
                      <a:off x="0" y="0"/>
                      <a:ext cx="6286500" cy="593725"/>
                    </a:xfrm>
                    <a:prstGeom prst="rect">
                      <a:avLst/>
                    </a:prstGeom>
                    <a:noFill/>
                  </pic:spPr>
                </pic:pic>
              </a:graphicData>
            </a:graphic>
          </wp:anchor>
        </w:drawing>
      </w:r>
    </w:p>
    <w:p>
      <w:pPr>
        <w:sectPr>
          <w:pgSz w:w="12240" w:h="15840" w:orient="portrait"/>
          <w:cols w:equalWidth="0" w:num="1">
            <w:col w:w="9880"/>
          </w:cols>
          <w:pgMar w:left="1180" w:top="201" w:right="118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880"/>
          </w:cols>
          <w:pgMar w:left="1180" w:top="201" w:right="1180" w:bottom="169"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15—Fair Value Measurements and Investments</w:t>
      </w:r>
    </w:p>
    <w:p>
      <w:pPr>
        <w:spacing w:after="0" w:line="217"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86"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Financial instruments measured and reported at fair value are classified and disclosed in one of the following categories (from highest to lowest) based on inputs:</w:t>
      </w:r>
    </w:p>
    <w:p>
      <w:pPr>
        <w:spacing w:after="0" w:line="180" w:lineRule="exact"/>
        <w:rPr>
          <w:sz w:val="20"/>
          <w:szCs w:val="20"/>
          <w:color w:val="auto"/>
        </w:rPr>
      </w:pPr>
    </w:p>
    <w:p>
      <w:pPr>
        <w:ind w:left="720" w:right="400"/>
        <w:spacing w:after="0"/>
        <w:rPr>
          <w:sz w:val="20"/>
          <w:szCs w:val="20"/>
          <w:color w:val="auto"/>
        </w:rPr>
      </w:pPr>
      <w:r>
        <w:rPr>
          <w:rFonts w:ascii="Times New Roman" w:cs="Times New Roman" w:eastAsia="Times New Roman" w:hAnsi="Times New Roman"/>
          <w:sz w:val="20"/>
          <w:szCs w:val="20"/>
          <w:color w:val="auto"/>
        </w:rPr>
        <w:t>Level 1—Unadjusted quoted prices are available in active markets for identical financial instruments as of the reporting date.</w:t>
      </w:r>
    </w:p>
    <w:p>
      <w:pPr>
        <w:spacing w:after="0" w:line="180" w:lineRule="exact"/>
        <w:rPr>
          <w:sz w:val="20"/>
          <w:szCs w:val="20"/>
          <w:color w:val="auto"/>
        </w:rPr>
      </w:pPr>
    </w:p>
    <w:p>
      <w:pPr>
        <w:ind w:left="720" w:right="140"/>
        <w:spacing w:after="0" w:line="229" w:lineRule="auto"/>
        <w:rPr>
          <w:sz w:val="20"/>
          <w:szCs w:val="20"/>
          <w:color w:val="auto"/>
        </w:rPr>
      </w:pPr>
      <w:r>
        <w:rPr>
          <w:rFonts w:ascii="Times New Roman" w:cs="Times New Roman" w:eastAsia="Times New Roman" w:hAnsi="Times New Roman"/>
          <w:sz w:val="20"/>
          <w:szCs w:val="20"/>
          <w:color w:val="auto"/>
        </w:rPr>
        <w:t>Level 2—Pricing inputs are observable inputs other than quoted prices included in Level 1, such as quoted prices for similar assets or liabilities in active markets or quoted prices for identical assets or liabilities in inactive markets.</w:t>
      </w:r>
    </w:p>
    <w:p>
      <w:pPr>
        <w:spacing w:after="0" w:line="182" w:lineRule="exact"/>
        <w:rPr>
          <w:sz w:val="20"/>
          <w:szCs w:val="20"/>
          <w:color w:val="auto"/>
        </w:rPr>
      </w:pPr>
    </w:p>
    <w:p>
      <w:pPr>
        <w:ind w:left="720" w:right="120"/>
        <w:spacing w:after="0" w:line="229" w:lineRule="auto"/>
        <w:rPr>
          <w:sz w:val="20"/>
          <w:szCs w:val="20"/>
          <w:color w:val="auto"/>
        </w:rPr>
      </w:pPr>
      <w:r>
        <w:rPr>
          <w:rFonts w:ascii="Times New Roman" w:cs="Times New Roman" w:eastAsia="Times New Roman" w:hAnsi="Times New Roman"/>
          <w:sz w:val="20"/>
          <w:szCs w:val="20"/>
          <w:color w:val="auto"/>
        </w:rPr>
        <w:t>Level 3—Pricing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2"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In certain cases, the inputs used to measure fair value may fall into different levels of the fair value hierarchy. In such cases, the determination of which level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81"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As of December 31, 2025 and 2024, the fair values of cash, restricted cash, accounts receivable, due from related parties, accounts payable and certain accrued liabilities approximate their carrying amounts due to the short-term nature of these items.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219"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The following table summarizes the categorization and fair value estimate of the Company’s financial instruments that are measured on a recurring basis pursuant to the above fair value hierarchy levels as of December 31, 2025 and 2024:</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4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1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Financial liabilities</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38"/>
        </w:trPr>
        <w:tc>
          <w:tcPr>
            <w:tcW w:w="41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4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 xml:space="preserve">Earn-out consideration </w:t>
            </w:r>
            <w:r>
              <w:rPr>
                <w:rFonts w:ascii="Times New Roman" w:cs="Times New Roman" w:eastAsia="Times New Roman" w:hAnsi="Times New Roman"/>
                <w:sz w:val="20"/>
                <w:szCs w:val="20"/>
                <w:color w:val="B4B4B4"/>
              </w:rPr>
              <w: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3,140</w:t>
            </w:r>
          </w:p>
        </w:tc>
        <w:tc>
          <w:tcPr>
            <w:tcW w:w="0" w:type="dxa"/>
            <w:vAlign w:val="bottom"/>
          </w:tcPr>
          <w:p>
            <w:pPr>
              <w:spacing w:after="0"/>
              <w:rPr>
                <w:sz w:val="1"/>
                <w:szCs w:val="1"/>
                <w:color w:val="auto"/>
              </w:rPr>
            </w:pPr>
          </w:p>
        </w:tc>
      </w:tr>
      <w:tr>
        <w:trPr>
          <w:trHeight w:val="628"/>
        </w:trPr>
        <w:tc>
          <w:tcPr>
            <w:tcW w:w="4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1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Financial assets</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38"/>
        </w:trPr>
        <w:tc>
          <w:tcPr>
            <w:tcW w:w="41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4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 xml:space="preserve">U.S. Treasury securities </w:t>
            </w:r>
            <w:r>
              <w:rPr>
                <w:rFonts w:ascii="Times New Roman" w:cs="Times New Roman" w:eastAsia="Times New Roman" w:hAnsi="Times New Roman"/>
                <w:sz w:val="20"/>
                <w:szCs w:val="20"/>
                <w:color w:val="B4B4B4"/>
              </w:rPr>
              <w: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95,994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-1124585</wp:posOffset>
            </wp:positionV>
            <wp:extent cx="6311900" cy="2063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5">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6">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had no transfers between fair value levels during each of the years ended December 31, 2025 and 2024.</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900"/>
          </w:cols>
          <w:pgMar w:left="1180" w:top="201" w:right="1160" w:bottom="169"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The fair value of the Earn-out is determined using a discounted cash flow valuation model (the “Valuation Model”). As of December 31, 2025, the Earn-out is classified as Level 3 due to use of significant unobservable inputs in the Valuation Model, including the application of probabilities when assessing when and whether performance thresholds will be met. Additional inputs into the Valuation Model for the Earn-out were as follows:</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7760" w:type="dxa"/>
            <w:vAlign w:val="bottom"/>
          </w:tcPr>
          <w:p>
            <w:pPr>
              <w:spacing w:after="0"/>
              <w:rPr>
                <w:sz w:val="23"/>
                <w:szCs w:val="23"/>
                <w:color w:val="auto"/>
              </w:rPr>
            </w:pPr>
          </w:p>
        </w:tc>
        <w:tc>
          <w:tcPr>
            <w:tcW w:w="1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December 31, 2025</w:t>
            </w:r>
          </w:p>
        </w:tc>
      </w:tr>
      <w:tr>
        <w:trPr>
          <w:trHeight w:val="262"/>
        </w:trPr>
        <w:tc>
          <w:tcPr>
            <w:tcW w:w="776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Discountrate</w:t>
            </w:r>
          </w:p>
        </w:tc>
        <w:tc>
          <w:tcPr>
            <w:tcW w:w="198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3.97 %</w:t>
            </w:r>
          </w:p>
        </w:tc>
      </w:tr>
      <w:tr>
        <w:trPr>
          <w:trHeight w:val="285"/>
        </w:trPr>
        <w:tc>
          <w:tcPr>
            <w:tcW w:w="7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Expected term (years) </w:t>
            </w:r>
            <w:r>
              <w:rPr>
                <w:rFonts w:ascii="Times New Roman" w:cs="Times New Roman" w:eastAsia="Times New Roman" w:hAnsi="Times New Roman"/>
                <w:sz w:val="20"/>
                <w:szCs w:val="20"/>
                <w:color w:val="B4B4B4"/>
                <w:w w:val="99"/>
              </w:rPr>
              <w:t>......................................................................................................................</w:t>
            </w:r>
          </w:p>
        </w:tc>
        <w:tc>
          <w:tcPr>
            <w:tcW w:w="198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-365760</wp:posOffset>
            </wp:positionV>
            <wp:extent cx="6311900" cy="387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7">
                      <a:extLst>
                        <a:ext uri="{28A0092B-C50C-407E-A947-70E740481C1C}"/>
                      </a:extLst>
                    </a:blip>
                    <a:srcRect/>
                    <a:stretch>
                      <a:fillRect/>
                    </a:stretch>
                  </pic:blipFill>
                  <pic:spPr bwMode="auto">
                    <a:xfrm>
                      <a:off x="0" y="0"/>
                      <a:ext cx="6311900" cy="387350"/>
                    </a:xfrm>
                    <a:prstGeom prst="rect">
                      <a:avLst/>
                    </a:prstGeom>
                    <a:noFill/>
                  </pic:spPr>
                </pic:pic>
              </a:graphicData>
            </a:graphic>
          </wp:anchor>
        </w:drawing>
      </w:r>
    </w:p>
    <w:p>
      <w:pPr>
        <w:spacing w:after="0" w:line="27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The Company’s discount rate assumption reflects a blended corporate credit rating representative of comparable entities, considering the expected timing of cash outflows.</w:t>
      </w:r>
    </w:p>
    <w:p>
      <w:pPr>
        <w:spacing w:after="0" w:line="180" w:lineRule="exact"/>
        <w:rPr>
          <w:sz w:val="20"/>
          <w:szCs w:val="20"/>
          <w:color w:val="auto"/>
        </w:rPr>
      </w:pPr>
    </w:p>
    <w:p>
      <w:pPr>
        <w:ind w:firstLine="360"/>
        <w:spacing w:after="0"/>
        <w:rPr>
          <w:sz w:val="20"/>
          <w:szCs w:val="20"/>
          <w:color w:val="auto"/>
        </w:rPr>
      </w:pPr>
      <w:r>
        <w:rPr>
          <w:rFonts w:ascii="Times New Roman" w:cs="Times New Roman" w:eastAsia="Times New Roman" w:hAnsi="Times New Roman"/>
          <w:sz w:val="20"/>
          <w:szCs w:val="20"/>
          <w:color w:val="auto"/>
        </w:rPr>
        <w:t>The following table presents the changes in fair value of the Level 3 financial liabilities for the period from October 1, 2025 to December 31, 2025:</w:t>
      </w:r>
    </w:p>
    <w:p>
      <w:pPr>
        <w:spacing w:after="0" w:line="249"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7620" w:type="dxa"/>
            <w:vAlign w:val="bottom"/>
          </w:tcPr>
          <w:p>
            <w:pPr>
              <w:spacing w:after="0"/>
              <w:rPr>
                <w:sz w:val="23"/>
                <w:szCs w:val="23"/>
                <w:color w:val="auto"/>
              </w:rPr>
            </w:pPr>
          </w:p>
        </w:tc>
        <w:tc>
          <w:tcPr>
            <w:tcW w:w="2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Earn-out consideration</w:t>
            </w:r>
          </w:p>
        </w:tc>
      </w:tr>
      <w:tr>
        <w:trPr>
          <w:trHeight w:val="262"/>
        </w:trPr>
        <w:tc>
          <w:tcPr>
            <w:tcW w:w="762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BalanceatAcquisitionClosing</w:t>
            </w:r>
          </w:p>
        </w:tc>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3,490</w:t>
            </w:r>
          </w:p>
        </w:tc>
      </w:tr>
      <w:tr>
        <w:trPr>
          <w:trHeight w:val="285"/>
        </w:trPr>
        <w:tc>
          <w:tcPr>
            <w:tcW w:w="76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Settlements </w:t>
            </w:r>
            <w:r>
              <w:rPr>
                <w:rFonts w:ascii="Times New Roman" w:cs="Times New Roman" w:eastAsia="Times New Roman" w:hAnsi="Times New Roman"/>
                <w:sz w:val="20"/>
                <w:szCs w:val="20"/>
                <w:color w:val="B4B4B4"/>
                <w:w w:val="99"/>
              </w:rPr>
              <w:t>....................................................................................................................................</w:t>
            </w:r>
          </w:p>
        </w:tc>
        <w:tc>
          <w:tcPr>
            <w:tcW w:w="8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85"/>
        </w:trPr>
        <w:tc>
          <w:tcPr>
            <w:tcW w:w="76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Change in fair value </w:t>
            </w:r>
            <w:r>
              <w:rPr>
                <w:rFonts w:ascii="Times New Roman" w:cs="Times New Roman" w:eastAsia="Times New Roman" w:hAnsi="Times New Roman"/>
                <w:sz w:val="20"/>
                <w:szCs w:val="20"/>
                <w:color w:val="B4B4B4"/>
                <w:w w:val="99"/>
              </w:rPr>
              <w:t>......................................................................................................................</w:t>
            </w:r>
          </w:p>
        </w:tc>
        <w:tc>
          <w:tcPr>
            <w:tcW w:w="8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w:t>
            </w:r>
          </w:p>
        </w:tc>
      </w:tr>
      <w:tr>
        <w:trPr>
          <w:trHeight w:val="248"/>
        </w:trPr>
        <w:tc>
          <w:tcPr>
            <w:tcW w:w="762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Balanceatendofperiod</w:t>
            </w: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3,140</w:t>
            </w:r>
          </w:p>
        </w:tc>
      </w:tr>
      <w:tr>
        <w:trPr>
          <w:trHeight w:val="20"/>
        </w:trPr>
        <w:tc>
          <w:tcPr>
            <w:tcW w:w="7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324600" cy="774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8">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pacing w:after="0" w:line="228"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As of December 31, 2024, the Company held investments in U.S. Treasury securities with original maturities greater than three months from the date of purchase, which are presented at fair value as Investments in short-term marketable debt securities on the Consolidated Statements of Financial Condition. These investments had an aggregate cost basis of $74.9 million as of December 31, 2024. As of December 31, 2024, the Company also held $20.2 million of investments in U.S. Treasury securities with original maturities of three months or less from the date of purchase, which are presented within Cash and cash equivalents on the Consolidated Statements of Financial Condition. The Company had $0.2 million, $1.5 million, and $2.7 million of interest income and net unrealized gains (losses) on U.S Treasury securities for the years ended December 31, 2025, 2024, and 2023, respectively, which is included in Other income (expense) on the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16—Related Party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PWP Capital Holdings LP</w:t>
      </w:r>
    </w:p>
    <w:p>
      <w:pPr>
        <w:spacing w:after="0" w:line="219"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On February 28, 2019, a reorganization of the existing investment banking advisory and asset management businesses of PWP Holdings LP was effected which resulted in the spin-off of its asset management business (the “Separation”). PWP Holdings LP was divided into (i) PWP OpCo, which holds the advisory business and (ii) PWP Capital Holdings LP (“Capital Holdings”), which holds the asset management business. Capital Holdings entered into an arrangement with certain employees of the Company, including members of management, related to services provided directly to Capital Holdings. With respect to services provided to Capital Holdings, the amounts paid and payable to such employees now and in the future are recognized by Capital Holdings. All compensation related to services these employees provide to the Company are included in Compensation and benefits on the Consolidated Statements of Operations. During the year ended December 31, 2023, the Company provided certain administrative services and leased office space to Capital Holdings, generating income that is reflected as Related party income on the Consolidated Statements of Operations. These arrangements were no longer in effect subsequent to December 31, 2023.</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900"/>
          </w:cols>
          <w:pgMar w:left="1180" w:top="201" w:right="1160" w:bottom="169"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19"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In connection with the Business Combination, the Company entered into a tax receivable agreement with PWP OpCo, Professional Partners and Investor Limited Partners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As of December 31, 2025, the Company had a liability of $93.5 million pursuant to the tax receivable agreement, which represents management’s best estimate of the amounts currently expected to be owed in connection with the tax receivable agreement for the Business Combination and subsequent exchanges made to date and is reported within Amount due pursuant to tax receivable agreement on the Consolidated Statements of Financial Condition. The Company expects to make the following payments with respect to the tax receivable agreement, which are exclusive of potential payments in respect of future exchanges and may differ significantly from actual payments made:</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7880" w:type="dxa"/>
            <w:vAlign w:val="bottom"/>
          </w:tcPr>
          <w:p>
            <w:pPr>
              <w:spacing w:after="0"/>
              <w:rPr>
                <w:sz w:val="22"/>
                <w:szCs w:val="22"/>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Estimated Payments</w:t>
            </w:r>
          </w:p>
        </w:tc>
      </w:tr>
      <w:tr>
        <w:trPr>
          <w:trHeight w:val="260"/>
        </w:trPr>
        <w:tc>
          <w:tcPr>
            <w:tcW w:w="7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40" w:type="dxa"/>
            <w:vAlign w:val="bottom"/>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9"/>
              </w:rPr>
              <w:t>Under Tax</w:t>
            </w:r>
          </w:p>
        </w:tc>
      </w:tr>
      <w:tr>
        <w:trPr>
          <w:trHeight w:val="260"/>
        </w:trPr>
        <w:tc>
          <w:tcPr>
            <w:tcW w:w="7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40" w:type="dxa"/>
            <w:vAlign w:val="bottom"/>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9"/>
              </w:rPr>
              <w:t>Receivable</w:t>
            </w:r>
          </w:p>
        </w:tc>
      </w:tr>
      <w:tr>
        <w:trPr>
          <w:trHeight w:val="265"/>
        </w:trPr>
        <w:tc>
          <w:tcPr>
            <w:tcW w:w="7880" w:type="dxa"/>
            <w:vAlign w:val="bottom"/>
          </w:tcPr>
          <w:p>
            <w:pPr>
              <w:jc w:val="right"/>
              <w:ind w:right="6540"/>
              <w:spacing w:after="0"/>
              <w:rPr>
                <w:sz w:val="20"/>
                <w:szCs w:val="20"/>
                <w:color w:val="auto"/>
              </w:rPr>
            </w:pPr>
            <w:r>
              <w:rPr>
                <w:rFonts w:ascii="Times New Roman" w:cs="Times New Roman" w:eastAsia="Times New Roman" w:hAnsi="Times New Roman"/>
                <w:sz w:val="20"/>
                <w:szCs w:val="20"/>
                <w:b w:val="1"/>
                <w:bCs w:val="1"/>
                <w:color w:val="auto"/>
                <w:w w:val="98"/>
              </w:rPr>
              <w:t>Years Ending:</w:t>
            </w:r>
          </w:p>
        </w:tc>
        <w:tc>
          <w:tcPr>
            <w:tcW w:w="3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Agreement</w:t>
            </w:r>
          </w:p>
        </w:tc>
      </w:tr>
      <w:tr>
        <w:trPr>
          <w:trHeight w:val="264"/>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2026</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2,460</w:t>
            </w: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2027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4,373</w:t>
            </w: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2028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5,301</w:t>
            </w: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2029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5,396</w:t>
            </w: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2030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5,516</w:t>
            </w: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Thereafter </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70,415</w:t>
            </w:r>
          </w:p>
        </w:tc>
      </w:tr>
      <w:tr>
        <w:trPr>
          <w:trHeight w:val="248"/>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Totalpayments</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93,461</w:t>
            </w:r>
          </w:p>
        </w:tc>
      </w:tr>
      <w:tr>
        <w:trPr>
          <w:trHeight w:val="20"/>
        </w:trPr>
        <w:tc>
          <w:tcPr>
            <w:tcW w:w="7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324600" cy="1317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9">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Partner Promissory Notes and Other Partner Loans</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Company loaned money pursuant to promissory note agreements (the “Partner Promissory Notes”) to certain partners. The Partner Promissory Notes bear interest at a semi-annual rate equal to the Federal Mid-Term Rate. The Partner Promissory Notes are due on various dates or in the event a partner is terminated or leaves at will and are primarily secured by the partner’s equity interests in PWP OpCo or one of its affiliates. As the Partner Promissory Notes and associated interest receivable related to equity transactions, they were recognized as a reduction of equity. As of December 31, 2025 and 2024, substantially all of the Partner Promissory Notes were settled.</w:t>
      </w:r>
    </w:p>
    <w:p>
      <w:pPr>
        <w:spacing w:after="0" w:line="181"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From time to time, PWP OpCo and certain of its subsidiaries have agreed to provide loans to or make payments on behalf of certain partners. As of December 31, 2025 and 2024, $0.6 million and $1.1 million, respectively, of amounts due from partners are recognized in Due from related parties on the Consolidated Statements of Financial Condition.</w:t>
      </w:r>
    </w:p>
    <w:p>
      <w:pPr>
        <w:spacing w:after="0" w:line="182"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During the years ended December 31, 2025 and 2024, $0.5 million and $3.9 million, respectively, of principal and interest related to Partner Promissory Notes and other partner loans was effectively repaid through the cancellation of PWP OpCo units held by such partners. Additionally, during the year ended December 31, 2024, $1.1 million of principal and interest was repaid with cash. During the year ended December 31, 2023, $1.5 million was effectively repaid by foregoing the amount due to such partners under deferred compensation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Related Party Transactions</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Merger on April 1, 2024 was effected to simplify the structure for the partners in Professional Partners with respect to their indirect interests in PWP OpCo. The purpose of the related Vesting Acceleration was to facilitate the payment of taxes associated with ACU vesting to align with the treatment of vested restricted stock units of the Company. Certain holders of these interests in PWP OpCo, including holders of Accelerated Units, are directors and officers of the Company. Refer to Note 12—Equity-Based Compensation for additional information on the Merger and related transactions.</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900"/>
          </w:cols>
          <w:pgMar w:left="1180" w:top="201" w:right="1160" w:bottom="169"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17—Commitments and Contingencies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Indemnifications</w:t>
      </w:r>
    </w:p>
    <w:p>
      <w:pPr>
        <w:spacing w:after="0" w:line="219"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The Company enters into certain contracts that contain a variety of indemnification provisions. The Company’s maximum exposure under these arrangements is unknown. As of December 31, 2025 and 2024, the Company expects no claims or losses pursuant to these contracts; therefore, no liability has been recorded related to these indemnification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Contingencies</w:t>
      </w:r>
    </w:p>
    <w:p>
      <w:pPr>
        <w:spacing w:after="0" w:line="219"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December 31, 2025 and 2024 and for the years ended December 31, 2025, 2024, and 2023.</w:t>
      </w:r>
    </w:p>
    <w:p>
      <w:pPr>
        <w:spacing w:after="0" w:line="181"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In 2015, the Company filed a complaint against three former partners and one former employee which alleges they entered into a scheme while at PWP to lift out the Company’s restructuring group to secretly form a new competing firm in breach of their contractual and fiduciary duties. The complaint contains 14 causes of action and seeks declaratory relief as well as damages. A bench trial took place from January 24, 2025 through March 14, 2025. The court has yet to issue a decision.</w:t>
      </w:r>
    </w:p>
    <w:p>
      <w:pPr>
        <w:spacing w:after="0" w:line="181"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During the years ended December 31, 2025, 2024, and 2023, the Company incurred $12.8 million, $10.2 million, and $2.1 million, respectively, in legal and professional fees, net of expected insurance reimbursement, related to this litigation. These litigation costs are included in Professional fees on the Consolidated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18—Segment and Geographic Information</w:t>
      </w:r>
    </w:p>
    <w:p>
      <w:pPr>
        <w:spacing w:after="0" w:line="217"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As a global independent advisory firm, the Company provides a range of advisory services depending on the needs of its clients, including advice related to M&amp;A execution, shareholder engagement advisory, financing and capital solutions, capital markets advisory, private funds advisory, private capital placement, as well as underwriting and research services primarily for the energy and related industries. The Company provides advisory services to multiple industry sectors, geographic markets and clients, but the nature, process, delivery and regulatory complexities of advisory services are similar across the business. The Company is organized under an integrated approach to maximize the value of advice to clients by drawing upon the diversified expertise and broad relationships of its senior professionals. As such, the Company is managed on a consolidated basis, which results in one reportable segment: Advisory.</w:t>
      </w:r>
    </w:p>
    <w:p>
      <w:pPr>
        <w:spacing w:after="0" w:line="184"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The Company’s chief operating decision maker (“CODM”), the Chief Executive Officer, evaluates the performance of the Advisory segment and allocates resources based on consolidated net income (loss), as presented on the Consolidated Statements of Operations. The CODM uses consolidated net income (loss) to evaluate the profitability generated by segment assets and personnel and decides whether to reinvest any profits in the Advisory segment, such as through hiring, compensation management, and capital expenditures, or to return value to shareholders and partners, such as through share repurchases, cash-settled exchanges, net-settlement of equity-based awards, distributions, and dividends. The CODM is regularly provided with both actual and budgeted expense information on a consolidated basis that aligns with the expense categories as presented on the Consolidated Statements of Operations.</w:t>
      </w:r>
    </w:p>
    <w:p>
      <w:pPr>
        <w:spacing w:after="0" w:line="184"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CODM does not review assets of the Advisory segment at a different level or category than what is presented as Total assets on the Consolidated Statements of Financial Condition. The accounting policies of the Company’s Advisory segment are the same as those described in Note 2—Summary of Significant Accounting Policies.</w:t>
      </w:r>
    </w:p>
    <w:p>
      <w:pPr>
        <w:spacing w:after="0" w:line="182"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During the year ended December 31, 2024, revenues of $99.9 million from one individual client accounted for more than 10% of aggregate revenues. There was no individual client that accounted for more than 10% of aggregate revenues for the years ended December 31, 2025 and 2023.</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900"/>
          </w:cols>
          <w:pgMar w:left="1180" w:top="201" w:right="1160" w:bottom="169"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r>
      <w:tr>
        <w:trPr>
          <w:trHeight w:val="263"/>
        </w:trPr>
        <w:tc>
          <w:tcPr>
            <w:tcW w:w="5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4"/>
        </w:trPr>
        <w:tc>
          <w:tcPr>
            <w:tcW w:w="5480" w:type="dxa"/>
            <w:vAlign w:val="bottom"/>
          </w:tcPr>
          <w:p>
            <w:pPr>
              <w:jc w:val="right"/>
              <w:ind w:right="4560"/>
              <w:spacing w:after="0"/>
              <w:rPr>
                <w:sz w:val="20"/>
                <w:szCs w:val="20"/>
                <w:color w:val="auto"/>
              </w:rPr>
            </w:pPr>
            <w:r>
              <w:rPr>
                <w:rFonts w:ascii="Times New Roman" w:cs="Times New Roman" w:eastAsia="Times New Roman" w:hAnsi="Times New Roman"/>
                <w:sz w:val="20"/>
                <w:szCs w:val="20"/>
                <w:b w:val="1"/>
                <w:bCs w:val="1"/>
                <w:color w:val="auto"/>
                <w:w w:val="98"/>
              </w:rPr>
              <w:t>Revenues</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United States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563,201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753,486</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530,284</w:t>
            </w: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United Kingdom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100,861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48,800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53,571</w:t>
            </w:r>
          </w:p>
        </w:tc>
      </w:tr>
      <w:tr>
        <w:trPr>
          <w:trHeight w:val="286"/>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international countries </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86,841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75,753</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64,797</w:t>
            </w:r>
          </w:p>
        </w:tc>
      </w:tr>
      <w:tr>
        <w:trPr>
          <w:trHeight w:val="248"/>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B4B4B4"/>
                <w:w w:val="99"/>
              </w:rPr>
              <w:t>....................................................................................................</w:t>
            </w:r>
            <w:r>
              <w:rPr>
                <w:rFonts w:ascii="Times New Roman" w:cs="Times New Roman" w:eastAsia="Times New Roman" w:hAnsi="Times New Roman"/>
                <w:sz w:val="20"/>
                <w:szCs w:val="20"/>
                <w:color w:val="000000"/>
                <w:w w:val="99"/>
              </w:rPr>
              <w:t>Total</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750,903</w:t>
            </w: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878,039</w:t>
            </w:r>
          </w:p>
        </w:tc>
        <w:tc>
          <w:tcPr>
            <w:tcW w:w="60" w:type="dxa"/>
            <w:vAlign w:val="bottom"/>
          </w:tcPr>
          <w:p>
            <w:pPr>
              <w:spacing w:after="0"/>
              <w:rPr>
                <w:sz w:val="21"/>
                <w:szCs w:val="21"/>
                <w:color w:val="auto"/>
              </w:rPr>
            </w:pP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648,652</w:t>
            </w: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286500" cy="774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0">
                      <a:extLst>
                        <a:ext uri="{28A0092B-C50C-407E-A947-70E740481C1C}"/>
                      </a:extLst>
                    </a:blip>
                    <a:srcRect/>
                    <a:stretch>
                      <a:fillRect/>
                    </a:stretch>
                  </pic:blipFill>
                  <pic:spPr bwMode="auto">
                    <a:xfrm>
                      <a:off x="0" y="0"/>
                      <a:ext cx="6286500" cy="774700"/>
                    </a:xfrm>
                    <a:prstGeom prst="rect">
                      <a:avLst/>
                    </a:prstGeom>
                    <a:noFill/>
                  </pic:spPr>
                </pic:pic>
              </a:graphicData>
            </a:graphic>
          </wp:anchor>
        </w:drawing>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0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54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70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64"/>
        </w:trPr>
        <w:tc>
          <w:tcPr>
            <w:tcW w:w="7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United States</w:t>
            </w:r>
            <w:r>
              <w:rPr>
                <w:rFonts w:ascii="Times New Roman" w:cs="Times New Roman" w:eastAsia="Times New Roman" w:hAnsi="Times New Roman"/>
                <w:sz w:val="20"/>
                <w:szCs w:val="20"/>
                <w:color w:val="B4B4B4"/>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588,736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687,784</w:t>
            </w:r>
          </w:p>
        </w:tc>
        <w:tc>
          <w:tcPr>
            <w:tcW w:w="0" w:type="dxa"/>
            <w:vAlign w:val="bottom"/>
          </w:tcPr>
          <w:p>
            <w:pPr>
              <w:spacing w:after="0"/>
              <w:rPr>
                <w:sz w:val="1"/>
                <w:szCs w:val="1"/>
                <w:color w:val="auto"/>
              </w:rPr>
            </w:pP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United Kingdom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149,365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138,216</w:t>
            </w:r>
          </w:p>
        </w:tc>
        <w:tc>
          <w:tcPr>
            <w:tcW w:w="0" w:type="dxa"/>
            <w:vAlign w:val="bottom"/>
          </w:tcPr>
          <w:p>
            <w:pPr>
              <w:spacing w:after="0"/>
              <w:rPr>
                <w:sz w:val="1"/>
                <w:szCs w:val="1"/>
                <w:color w:val="auto"/>
              </w:rPr>
            </w:pPr>
          </w:p>
        </w:tc>
      </w:tr>
      <w:tr>
        <w:trPr>
          <w:trHeight w:val="264"/>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international countries </w:t>
            </w:r>
            <w:r>
              <w:rPr>
                <w:rFonts w:ascii="Times New Roman" w:cs="Times New Roman" w:eastAsia="Times New Roman" w:hAnsi="Times New Roman"/>
                <w:sz w:val="20"/>
                <w:szCs w:val="20"/>
                <w:color w:val="B4B4B4"/>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59,536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50,751</w:t>
            </w:r>
          </w:p>
        </w:tc>
        <w:tc>
          <w:tcPr>
            <w:tcW w:w="0" w:type="dxa"/>
            <w:vAlign w:val="bottom"/>
          </w:tcPr>
          <w:p>
            <w:pPr>
              <w:spacing w:after="0"/>
              <w:rPr>
                <w:sz w:val="1"/>
                <w:szCs w:val="1"/>
                <w:color w:val="auto"/>
              </w:rPr>
            </w:pPr>
          </w:p>
        </w:tc>
      </w:tr>
      <w:tr>
        <w:trPr>
          <w:trHeight w:val="26"/>
        </w:trPr>
        <w:tc>
          <w:tcPr>
            <w:tcW w:w="7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0" w:type="dxa"/>
            <w:vAlign w:val="bottom"/>
            <w:vMerge w:val="continue"/>
          </w:tcPr>
          <w:p>
            <w:pPr>
              <w:jc w:val="right"/>
              <w:spacing w:after="0" w:line="179" w:lineRule="exact"/>
              <w:rPr>
                <w:sz w:val="20"/>
                <w:szCs w:val="20"/>
                <w:color w:val="auto"/>
              </w:rPr>
            </w:pP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797,637</w:t>
            </w:r>
          </w:p>
        </w:tc>
        <w:tc>
          <w:tcPr>
            <w:tcW w:w="60" w:type="dxa"/>
            <w:vAlign w:val="bottom"/>
            <w:vMerge w:val="continue"/>
          </w:tcPr>
          <w:p>
            <w:pPr>
              <w:spacing w:after="0"/>
              <w:rPr>
                <w:sz w:val="21"/>
                <w:szCs w:val="21"/>
                <w:color w:val="auto"/>
              </w:rPr>
            </w:pP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876,751</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324600" cy="774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1">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19—Subsequent Events</w:t>
      </w: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has evaluated subsequent events through the issuance date of these consolidated financial statements.</w:t>
      </w:r>
    </w:p>
    <w:p>
      <w:pPr>
        <w:spacing w:after="0" w:line="210"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On January 1, 2026, the total shares reserved and available for future issuance under the PWP Incentive Plan increased to 13,331,873 in accordance with the terms of such plan, and on February 13, 2026, the Company granted 5,012,956 RSUs to certain employees and executive officers pursuant to such plan.</w:t>
      </w:r>
    </w:p>
    <w:p>
      <w:pPr>
        <w:spacing w:after="0" w:line="182"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On February 4, 2026, the Company’s Board of Directors declared a cash dividend of $0.07 per outstanding share of Class A common stock. This dividend will be paid on March 9, 2026 to Class A common stockholders of record on February 17, 2026. Holders of Class B common stock will also receive dividends equal to the amount of dividends made on 0.001 shares of Class A common stock.</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900"/>
          </w:cols>
          <w:pgMar w:left="1180" w:top="201" w:right="1160" w:bottom="169"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 with Accountants on Accounting and Financial Disclosure</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7"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This Item 9A includes information concerning the controls and controls evaluation referred to in the certifications of our Chief Executive Officer and Chief Financial Officer required by Rule 13a-14 of the Exchange Act included in this Annual Report on Form 10-K as Exhibits 31.1 and 31.2.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Evaluation of Disclosure Controls and Procedures</w:t>
      </w:r>
    </w:p>
    <w:p>
      <w:pPr>
        <w:spacing w:after="0" w:line="219"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w:t>
      </w:r>
    </w:p>
    <w:p>
      <w:pPr>
        <w:spacing w:after="0" w:line="181"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In connection with the preparation of this Annual Report on Form 10-K, our management, under the supervision and with the participation of our principal executive officer and principal financial officer, evaluated the effectiveness of the design and operation of our disclosure controls and procedures as of December 31, 2025.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w:t>
      </w:r>
    </w:p>
    <w:p>
      <w:pPr>
        <w:spacing w:after="0" w:line="21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Management is responsible for designing, implementing and maintaining adequate internal control over financial reporting, as such term is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no matter how well designed, has inherent limitations. Therefore, even those systems determined to be effective can provide only reasonable assurance with respect to financial statement preparation and presentation. Further, because of changes in conditions, the effectiveness of internal control over financial reporting may vary over time.</w:t>
      </w:r>
    </w:p>
    <w:p>
      <w:pPr>
        <w:spacing w:after="0" w:line="184"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 xml:space="preserve">Management has assessed the effectiveness of its internal control over financial reporting as of December 31, 2025 based on criteria established in </w:t>
      </w:r>
      <w:r>
        <w:rPr>
          <w:rFonts w:ascii="Times New Roman" w:cs="Times New Roman" w:eastAsia="Times New Roman" w:hAnsi="Times New Roman"/>
          <w:sz w:val="20"/>
          <w:szCs w:val="20"/>
          <w:b w:val="1"/>
          <w:bCs w:val="1"/>
          <w:i w:val="1"/>
          <w:iCs w:val="1"/>
          <w:color w:val="auto"/>
        </w:rPr>
        <w:t>Internal Control-Integrated Framework (2013) issued by the Committee of Sponsoring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Organizations of the Treadway Commission</w:t>
      </w:r>
      <w:r>
        <w:rPr>
          <w:rFonts w:ascii="Times New Roman" w:cs="Times New Roman" w:eastAsia="Times New Roman" w:hAnsi="Times New Roman"/>
          <w:sz w:val="20"/>
          <w:szCs w:val="20"/>
          <w:color w:val="auto"/>
        </w:rPr>
        <w:t>. Based on that assessment, management believes that, as of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2025, the Company’s internal control over financial reporting was effective. The Company’s independent registered public accounting firm has issued an audit report on the effectiveness of the Company’s internal control over financial reporting. That report is included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19"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defined in Exchange Act Rules 13a-15(f) and 15d-15(f)) during the three months ended December 31, 2025 that materially affected, or are reasonably likely to materially affect, our internal control over financial reporting.</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900"/>
          </w:cols>
          <w:pgMar w:left="1180" w:top="1371" w:right="1160" w:bottom="169" w:gutter="0" w:footer="0" w:header="0"/>
          <w:type w:val="continuous"/>
        </w:sectPr>
      </w:pPr>
    </w:p>
    <w:bookmarkStart w:id="82" w:name="page83"/>
    <w:bookmarkEnd w:id="82"/>
    <w:p>
      <w:pPr>
        <w:ind w:right="2460" w:firstLine="2447"/>
        <w:spacing w:after="0" w:line="461"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Shareholders and the Board of Directors of Perella Weinberg Partners </w:t>
      </w:r>
      <w:r>
        <w:rPr>
          <w:rFonts w:ascii="Times New Roman" w:cs="Times New Roman" w:eastAsia="Times New Roman" w:hAnsi="Times New Roman"/>
          <w:sz w:val="20"/>
          <w:szCs w:val="20"/>
          <w:b w:val="1"/>
          <w:bCs w:val="1"/>
          <w:color w:val="auto"/>
        </w:rPr>
        <w:t>Opinion on Internal Control Over Financial Reporting</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We have audited Perella Weinberg Partners' internal control over financial reporting as of December 31, 2025, based on criteria established in Internal Control—Integrated Framework issued by the Committee of Sponsoring Organizations of the Treadway Commission (2013 framework) (the COSO criteria). In our opinion, Perella Weinberg Partners (the Company) maintained, in all material respects, effective internal control over financial reporting as of December 31, 2025, based on the COSO criteria.</w:t>
      </w:r>
    </w:p>
    <w:p>
      <w:pPr>
        <w:spacing w:after="0" w:line="18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statements of financial condition of the Company as of December 31, 2025 and 2024, the related consolidated statements of operations, comprehensive income (loss), changes in equity and redeemable non-controlling interests and cash flows for each of the three years in the period ended December 31, 2025, and the related notes, and our report dated February 27, 2026 expressed an unqualified opinion thereon.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17"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2"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17"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8" w:lineRule="auto"/>
        <w:rPr>
          <w:sz w:val="20"/>
          <w:szCs w:val="20"/>
          <w:color w:val="auto"/>
        </w:rPr>
      </w:pPr>
      <w:r>
        <w:rPr>
          <w:rFonts w:ascii="Times New Roman" w:cs="Times New Roman" w:eastAsia="Times New Roman" w:hAnsi="Times New Roman"/>
          <w:sz w:val="20"/>
          <w:szCs w:val="20"/>
          <w:color w:val="auto"/>
        </w:rPr>
        <w:t>New York, New York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2026</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900"/>
          </w:cols>
          <w:pgMar w:left="1180" w:top="1371" w:right="1160" w:bottom="169"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Insider Trading Arrangements and Policies</w:t>
      </w:r>
    </w:p>
    <w:p>
      <w:pPr>
        <w:spacing w:after="0" w:line="219"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During the three months ended December 31, 2025, no director or officer of the Company adopted, modified, or terminated a “Rule 10b5-1 trading arrangement” or “non-Rule 10b5-1 trading arrangement,” as each term is defined in Item 408(a) of Regulation 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880"/>
          </w:cols>
          <w:pgMar w:left="1180" w:top="1371" w:right="118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880"/>
          </w:cols>
          <w:pgMar w:left="1180" w:top="1371" w:right="1180" w:bottom="169" w:gutter="0" w:footer="0" w:header="0"/>
          <w:type w:val="continuous"/>
        </w:sectPr>
      </w:pPr>
    </w:p>
    <w:bookmarkStart w:id="84" w:name="page85"/>
    <w:bookmarkEnd w:id="84"/>
    <w:p>
      <w:pPr>
        <w:ind w:left="45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17"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information regarding directors and executive officers set forth under the caption “Proposal 1—Election of Directors” and “Executive Officers” in our definitive proxy statement to be filed in connection with our 2026 Annual Meeting of Stockholders (the “Proxy Statement”) is incorporated herein by reference.</w:t>
      </w:r>
    </w:p>
    <w:p>
      <w:pPr>
        <w:spacing w:after="0" w:line="182"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The information regarding our Code of Business Conduct and Ethics, our audit committee and our audit committee financial expert under the caption “Corporate Governance” in the Proxy Statement is incorporated herein by reference.</w:t>
      </w:r>
    </w:p>
    <w:p>
      <w:pPr>
        <w:spacing w:after="0" w:line="180"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We post our Code of Business Conduct and Ethics on our corporate website at www.pwpartners.com under the “Investor Relations/Corporate Governance/Documents &amp; Charters” section. Our Code of Business Conduct and Ethics applies to all directors, officers and employees, including our chief executive and senior financial officers. We will post any amendments to the Code of Business Conduct and Ethics, and any waivers that are required to be disclosed by the rules of either the SEC or Nasdaq, on our website within the required periods.</w:t>
      </w:r>
    </w:p>
    <w:p>
      <w:pPr>
        <w:spacing w:after="0" w:line="181"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The Company has insider trading policies and procedures that govern the purchase, sale and other dispositions of its securities by directors, officers and employees, as well as by the Company itself. We believe these policies and procedures are reasonably designed to promote compliance with insider trading laws, rules and regulations and applicable listing standards. A copy of our Insider Trading Policy is incorporated by reference to Exhibit 19.1 to our Annual Report on Form 10-K for the year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17"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sections captioned “Executive Compensation” and “Director Compensation” in the Proxy Statement.</w:t>
      </w:r>
    </w:p>
    <w:p>
      <w:pPr>
        <w:spacing w:after="0" w:line="180"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Information regarding our compensation committee and compensation committee interlocks under the caption “Corporate Governance—Board Committees” and “Corporate Governance—Compensation Committee Interlocks and Insider Participation” in the Proxy Statement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17"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sections captioned “Executive Compensation —Equity Compensation Plan Information” and “Stock Ownership of Certain Beneficial Owners and Management” in the Proxy Statement.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17"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sections captioned “Certain Relationships and Related Person Transactions” and “Corporate Governance—Director Independence” in the Proxy Statement.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17"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section captioned “Ratification of Independent Auditor Appointment” in the Proxy Statement.</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900"/>
          </w:cols>
          <w:pgMar w:left="1180" w:top="1371" w:right="1160" w:bottom="169" w:gutter="0" w:footer="0" w:header="0"/>
          <w:type w:val="continuous"/>
        </w:sectPr>
      </w:pPr>
    </w:p>
    <w:bookmarkStart w:id="85" w:name="page86"/>
    <w:bookmarkEnd w:id="85"/>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17" w:lineRule="exact"/>
        <w:rPr>
          <w:sz w:val="20"/>
          <w:szCs w:val="20"/>
          <w:color w:val="auto"/>
        </w:rPr>
      </w:pPr>
    </w:p>
    <w:p>
      <w:pPr>
        <w:ind w:left="270" w:hanging="270"/>
        <w:spacing w:after="0"/>
        <w:tabs>
          <w:tab w:leader="none" w:pos="27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Report:</w:t>
      </w:r>
    </w:p>
    <w:p>
      <w:pPr>
        <w:spacing w:after="0" w:line="210" w:lineRule="exact"/>
        <w:rPr>
          <w:rFonts w:ascii="Times New Roman" w:cs="Times New Roman" w:eastAsia="Times New Roman" w:hAnsi="Times New Roman"/>
          <w:sz w:val="20"/>
          <w:szCs w:val="20"/>
          <w:color w:val="auto"/>
        </w:rPr>
      </w:pPr>
    </w:p>
    <w:p>
      <w:pPr>
        <w:ind w:left="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Financial Statements</w:t>
      </w:r>
    </w:p>
    <w:p>
      <w:pPr>
        <w:spacing w:after="0" w:line="210" w:lineRule="exact"/>
        <w:rPr>
          <w:sz w:val="20"/>
          <w:szCs w:val="20"/>
          <w:color w:val="auto"/>
        </w:rPr>
      </w:pPr>
    </w:p>
    <w:p>
      <w:pPr>
        <w:jc w:val="both"/>
        <w:ind w:left="10" w:firstLine="360"/>
        <w:spacing w:after="0"/>
        <w:rPr>
          <w:sz w:val="20"/>
          <w:szCs w:val="20"/>
          <w:color w:val="auto"/>
        </w:rPr>
      </w:pPr>
      <w:r>
        <w:rPr>
          <w:rFonts w:ascii="Times New Roman" w:cs="Times New Roman" w:eastAsia="Times New Roman" w:hAnsi="Times New Roman"/>
          <w:sz w:val="20"/>
          <w:szCs w:val="20"/>
          <w:color w:val="auto"/>
        </w:rPr>
        <w:t>The consolidated financial statements filed as part of this report are listed on the Index to Consolidated Financial Statements of this Annual Report on Form 10-K.</w:t>
      </w:r>
    </w:p>
    <w:p>
      <w:pPr>
        <w:spacing w:after="0" w:line="1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(2) Financial Statement Schedules</w:t>
      </w:r>
    </w:p>
    <w:p>
      <w:pPr>
        <w:spacing w:after="0" w:line="210" w:lineRule="exact"/>
        <w:rPr>
          <w:sz w:val="20"/>
          <w:szCs w:val="20"/>
          <w:color w:val="auto"/>
        </w:rPr>
      </w:pPr>
    </w:p>
    <w:p>
      <w:pPr>
        <w:jc w:val="both"/>
        <w:ind w:left="10" w:firstLine="360"/>
        <w:spacing w:after="0" w:line="229" w:lineRule="auto"/>
        <w:rPr>
          <w:sz w:val="20"/>
          <w:szCs w:val="20"/>
          <w:color w:val="auto"/>
        </w:rPr>
      </w:pPr>
      <w:r>
        <w:rPr>
          <w:rFonts w:ascii="Times New Roman" w:cs="Times New Roman" w:eastAsia="Times New Roman" w:hAnsi="Times New Roman"/>
          <w:sz w:val="20"/>
          <w:szCs w:val="20"/>
          <w:color w:val="auto"/>
        </w:rPr>
        <w:t>All other financial statement schedules are omitted because they are not applicable or the amounts are immaterial and not required, or the required information is presented in the consolidated financial statements and notes thereto in Item 8 of Part II above.</w:t>
      </w:r>
    </w:p>
    <w:p>
      <w:pPr>
        <w:spacing w:after="0" w:line="1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(3) Exhibits</w:t>
      </w:r>
    </w:p>
    <w:p>
      <w:pPr>
        <w:spacing w:after="0" w:line="210" w:lineRule="exact"/>
        <w:rPr>
          <w:sz w:val="20"/>
          <w:szCs w:val="20"/>
          <w:color w:val="auto"/>
        </w:rPr>
      </w:pPr>
    </w:p>
    <w:p>
      <w:pPr>
        <w:jc w:val="both"/>
        <w:ind w:left="10" w:firstLine="360"/>
        <w:spacing w:after="0" w:line="229" w:lineRule="auto"/>
        <w:rPr>
          <w:sz w:val="20"/>
          <w:szCs w:val="20"/>
          <w:color w:val="auto"/>
        </w:rPr>
      </w:pPr>
      <w:r>
        <w:rPr>
          <w:rFonts w:ascii="Times New Roman" w:cs="Times New Roman" w:eastAsia="Times New Roman" w:hAnsi="Times New Roman"/>
          <w:sz w:val="20"/>
          <w:szCs w:val="20"/>
          <w:color w:val="auto"/>
        </w:rPr>
        <w:t xml:space="preserve">We hereby file as part of this report the exhibits listed in the attached Exhibit Index. Exhibits which are incorporated herein by reference can be inspected and copied as the public reference facilities maintained by the SEC, 100 F Street, N.E., Room 1580, Washington, D.C. 20549 at prescribed rates or on the SEC website as </w:t>
      </w:r>
      <w:r>
        <w:rPr>
          <w:rFonts w:ascii="Times New Roman" w:cs="Times New Roman" w:eastAsia="Times New Roman" w:hAnsi="Times New Roman"/>
          <w:sz w:val="20"/>
          <w:szCs w:val="20"/>
          <w:b w:val="1"/>
          <w:bCs w:val="1"/>
          <w:color w:val="auto"/>
        </w:rPr>
        <w:t>www.sec.gov.</w:t>
      </w:r>
    </w:p>
    <w:p>
      <w:pPr>
        <w:spacing w:after="0" w:line="200" w:lineRule="exact"/>
        <w:rPr>
          <w:sz w:val="20"/>
          <w:szCs w:val="20"/>
          <w:color w:val="auto"/>
        </w:rPr>
      </w:pPr>
    </w:p>
    <w:p>
      <w:pPr>
        <w:spacing w:after="0" w:line="264" w:lineRule="exact"/>
        <w:rPr>
          <w:sz w:val="20"/>
          <w:szCs w:val="20"/>
          <w:color w:val="auto"/>
        </w:rPr>
      </w:pPr>
    </w:p>
    <w:tbl>
      <w:tblPr>
        <w:tblLayout w:type="fixed"/>
        <w:tblInd w:w="270" w:type="dxa"/>
        <w:tblCellMar>
          <w:top w:w="0" w:type="dxa"/>
          <w:left w:w="0" w:type="dxa"/>
          <w:bottom w:w="0" w:type="dxa"/>
          <w:right w:w="0" w:type="dxa"/>
        </w:tblCellMar>
      </w:tblPr>
      <w:tr>
        <w:trPr>
          <w:trHeight w:val="184"/>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160" w:type="dxa"/>
            <w:vAlign w:val="bottom"/>
            <w:gridSpan w:val="16"/>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160" w:type="dxa"/>
            <w:vAlign w:val="bottom"/>
            <w:gridSpan w:val="1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9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w:t>
            </w:r>
          </w:p>
        </w:tc>
        <w:tc>
          <w:tcPr>
            <w:tcW w:w="2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160" w:type="dxa"/>
            <w:vAlign w:val="bottom"/>
            <w:tcBorders>
              <w:top w:val="single" w:sz="8" w:color="auto"/>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Restated Certificate of Incorporation of Perella Weinberg Partners (incorporated by reference to</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60" w:type="dxa"/>
            <w:vAlign w:val="bottom"/>
            <w:tcBorders>
              <w:bottom w:val="single" w:sz="8" w:color="0000FF"/>
            </w:tcBorders>
            <w:gridSpan w:val="16"/>
          </w:tcPr>
          <w:p>
            <w:pPr>
              <w:spacing w:after="0" w:line="180" w:lineRule="exact"/>
              <w:rPr>
                <w:sz w:val="20"/>
                <w:szCs w:val="20"/>
                <w:color w:val="auto"/>
              </w:rPr>
            </w:pPr>
            <w:r>
              <w:rPr>
                <w:rFonts w:ascii="Times New Roman" w:cs="Times New Roman" w:eastAsia="Times New Roman" w:hAnsi="Times New Roman"/>
                <w:sz w:val="20"/>
                <w:szCs w:val="20"/>
                <w:color w:val="0000FF"/>
              </w:rPr>
              <w:t>Exhibit 3.1 to Amendment No. 1 to the Company's Registration Statement on Form S-1 filed with</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320" w:type="dxa"/>
            <w:vAlign w:val="bottom"/>
            <w:tcBorders>
              <w:bottom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w w:val="99"/>
              </w:rPr>
              <w:t>the SEC on January 13, 2022 (File No. 333-261785)).</w:t>
            </w:r>
          </w:p>
        </w:tc>
        <w:tc>
          <w:tcPr>
            <w:tcW w:w="384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3.2</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Certificate of Amendment to the Restated Certificate of Incorporation of Perella Weinberg Partners</w:t>
            </w:r>
          </w:p>
        </w:tc>
        <w:tc>
          <w:tcPr>
            <w:tcW w:w="0" w:type="dxa"/>
            <w:vAlign w:val="bottom"/>
          </w:tcPr>
          <w:p>
            <w:pPr>
              <w:spacing w:after="0"/>
              <w:rPr>
                <w:sz w:val="1"/>
                <w:szCs w:val="1"/>
                <w:color w:val="auto"/>
              </w:rPr>
            </w:pPr>
          </w:p>
        </w:tc>
      </w:tr>
      <w:tr>
        <w:trPr>
          <w:trHeight w:val="180"/>
        </w:trPr>
        <w:tc>
          <w:tcPr>
            <w:tcW w:w="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0" w:type="dxa"/>
            <w:vAlign w:val="bottom"/>
            <w:tcBorders>
              <w:top w:val="single" w:sz="8" w:color="0000FF"/>
            </w:tcBorders>
            <w:gridSpan w:val="12"/>
          </w:tcPr>
          <w:p>
            <w:pPr>
              <w:spacing w:after="0" w:line="180" w:lineRule="exact"/>
              <w:rPr>
                <w:sz w:val="20"/>
                <w:szCs w:val="20"/>
                <w:color w:val="auto"/>
              </w:rPr>
            </w:pPr>
            <w:r>
              <w:rPr>
                <w:rFonts w:ascii="Times New Roman" w:cs="Times New Roman" w:eastAsia="Times New Roman" w:hAnsi="Times New Roman"/>
                <w:sz w:val="20"/>
                <w:szCs w:val="20"/>
                <w:color w:val="0000FF"/>
              </w:rPr>
              <w:t>(incorporated by reference to Exhibit 3.1 to the Company’s Quarterly Report on Form 10-Q, filed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20" w:type="dxa"/>
            <w:vAlign w:val="bottom"/>
            <w:tcBorders>
              <w:top w:val="single" w:sz="8" w:color="0000FF"/>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w w:val="99"/>
              </w:rPr>
              <w:t>with the SEC on August 2, 2024).</w:t>
            </w:r>
          </w:p>
        </w:tc>
        <w:tc>
          <w:tcPr>
            <w:tcW w:w="5460" w:type="dxa"/>
            <w:vAlign w:val="bottom"/>
            <w:tcBorders>
              <w:top w:val="single" w:sz="8" w:color="0000FF"/>
            </w:tcBorders>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3.3</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Amended and Restated Bylaws of Perella Weinberg Partners (incorporated by reference to Exhibit</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0" w:type="dxa"/>
            <w:vAlign w:val="bottom"/>
            <w:tcBorders>
              <w:bottom w:val="single" w:sz="8" w:color="0000FF"/>
            </w:tcBorders>
            <w:gridSpan w:val="9"/>
          </w:tcPr>
          <w:p>
            <w:pPr>
              <w:spacing w:after="0" w:line="180" w:lineRule="exact"/>
              <w:rPr>
                <w:sz w:val="20"/>
                <w:szCs w:val="20"/>
                <w:color w:val="auto"/>
              </w:rPr>
            </w:pPr>
            <w:r>
              <w:rPr>
                <w:rFonts w:ascii="Times New Roman" w:cs="Times New Roman" w:eastAsia="Times New Roman" w:hAnsi="Times New Roman"/>
                <w:sz w:val="20"/>
                <w:szCs w:val="20"/>
                <w:color w:val="0000FF"/>
                <w:w w:val="99"/>
              </w:rPr>
              <w:t>3.</w:t>
            </w:r>
            <w:r>
              <w:rPr>
                <w:rFonts w:ascii="Times New Roman" w:cs="Times New Roman" w:eastAsia="Times New Roman" w:hAnsi="Times New Roman"/>
                <w:sz w:val="20"/>
                <w:szCs w:val="20"/>
                <w:u w:val="single" w:color="auto"/>
                <w:color w:val="0000FF"/>
                <w:w w:val="99"/>
              </w:rPr>
              <w:t>2</w:t>
            </w:r>
            <w:r>
              <w:rPr>
                <w:rFonts w:ascii="Times New Roman" w:cs="Times New Roman" w:eastAsia="Times New Roman" w:hAnsi="Times New Roman"/>
                <w:sz w:val="20"/>
                <w:szCs w:val="20"/>
                <w:color w:val="0000FF"/>
                <w:w w:val="99"/>
              </w:rPr>
              <w:t xml:space="preserve"> to the Company’s Current Report on Form 8-K, filed with the SEC on June 30, 2021).</w:t>
            </w:r>
          </w:p>
        </w:tc>
        <w:tc>
          <w:tcPr>
            <w:tcW w:w="9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4.1</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Specimen Class A Common Stock Certificate (incorporated by reference to Exhibit 4.1 to the</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40" w:type="dxa"/>
            <w:vAlign w:val="bottom"/>
            <w:tcBorders>
              <w:top w:val="single" w:sz="8" w:color="0000FF"/>
              <w:bottom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rPr>
              <w:t>Company’s Current Report on Form 8-K, filed with the SEC on June 30, 2021).</w:t>
            </w:r>
          </w:p>
        </w:tc>
        <w:tc>
          <w:tcPr>
            <w:tcW w:w="178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19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4.2*</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Description of Securities</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9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10.1†</w:t>
            </w:r>
          </w:p>
        </w:tc>
        <w:tc>
          <w:tcPr>
            <w:tcW w:w="81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Employment Agreement, effective as of January 1, 2023, by and between Perella Weinberg Partners,</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80" w:type="dxa"/>
            <w:vAlign w:val="bottom"/>
            <w:tcBorders>
              <w:top w:val="single" w:sz="8" w:color="0000FF"/>
              <w:bottom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rPr>
              <w:t>PWP Employer LP and Peter A. Weinberg (incorporated by reference to Exhibit 10.1 to the</w:t>
            </w:r>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29496719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60" w:type="dxa"/>
            <w:vAlign w:val="bottom"/>
            <w:gridSpan w:val="15"/>
          </w:tcPr>
          <w:p>
            <w:pPr>
              <w:spacing w:after="0" w:line="180" w:lineRule="exact"/>
              <w:rPr>
                <w:sz w:val="20"/>
                <w:szCs w:val="20"/>
                <w:color w:val="auto"/>
              </w:rPr>
            </w:pPr>
            <w:r>
              <w:rPr>
                <w:rFonts w:ascii="Times New Roman" w:cs="Times New Roman" w:eastAsia="Times New Roman" w:hAnsi="Times New Roman"/>
                <w:sz w:val="20"/>
                <w:szCs w:val="20"/>
                <w:color w:val="0000FF"/>
              </w:rPr>
              <w:t>Company's Annual Report on Form 10-K filed with the SEC on February 28, 2023)</w:t>
            </w:r>
            <w:r>
              <w:rPr>
                <w:rFonts w:ascii="Times New Roman" w:cs="Times New Roman" w:eastAsia="Times New Roman" w:hAnsi="Times New Roman"/>
                <w:sz w:val="20"/>
                <w:szCs w:val="20"/>
                <w:color w:val="000000"/>
              </w:rPr>
              <w:t>.</w:t>
            </w:r>
          </w:p>
        </w:tc>
        <w:tc>
          <w:tcPr>
            <w:tcW w:w="429496719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7217"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10.2†</w:t>
            </w:r>
          </w:p>
        </w:tc>
        <w:tc>
          <w:tcPr>
            <w:tcW w:w="81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Employment Agreement, effective as of January 1, 2023, by and between Perella Weinberg Partners,</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80" w:type="dxa"/>
            <w:vAlign w:val="bottom"/>
            <w:tcBorders>
              <w:top w:val="single" w:sz="8" w:color="0000FF"/>
              <w:bottom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rPr>
              <w:t>PWP Employer LP and Andrew Bednar (incorporated by reference to Exhibit 10.2 to the Company's</w:t>
            </w:r>
          </w:p>
        </w:tc>
        <w:tc>
          <w:tcPr>
            <w:tcW w:w="60" w:type="dxa"/>
            <w:vAlign w:val="bottom"/>
            <w:tcBorders>
              <w:bottom w:val="single" w:sz="8" w:color="0000FF"/>
            </w:tcBorders>
            <w:gridSpan w:val="3"/>
          </w:tcPr>
          <w:p>
            <w:pPr>
              <w:spacing w:after="0"/>
              <w:rPr>
                <w:sz w:val="15"/>
                <w:szCs w:val="15"/>
                <w:color w:val="auto"/>
              </w:rPr>
            </w:pPr>
          </w:p>
        </w:tc>
        <w:tc>
          <w:tcPr>
            <w:tcW w:w="4294967217"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40" w:type="dxa"/>
            <w:vAlign w:val="bottom"/>
            <w:gridSpan w:val="14"/>
          </w:tcPr>
          <w:p>
            <w:pPr>
              <w:spacing w:after="0" w:line="180" w:lineRule="exact"/>
              <w:rPr>
                <w:sz w:val="20"/>
                <w:szCs w:val="20"/>
                <w:color w:val="auto"/>
              </w:rPr>
            </w:pPr>
            <w:r>
              <w:rPr>
                <w:rFonts w:ascii="Times New Roman" w:cs="Times New Roman" w:eastAsia="Times New Roman" w:hAnsi="Times New Roman"/>
                <w:sz w:val="20"/>
                <w:szCs w:val="20"/>
                <w:color w:val="0000FF"/>
              </w:rPr>
              <w:t>Annual Report on Form 10-K filed with the SEC on February 28, 2023)</w:t>
            </w:r>
            <w:r>
              <w:rPr>
                <w:rFonts w:ascii="Times New Roman" w:cs="Times New Roman" w:eastAsia="Times New Roman" w:hAnsi="Times New Roman"/>
                <w:sz w:val="20"/>
                <w:szCs w:val="20"/>
                <w:color w:val="000000"/>
              </w:rPr>
              <w:t>.</w:t>
            </w:r>
          </w:p>
        </w:tc>
        <w:tc>
          <w:tcPr>
            <w:tcW w:w="4294967217"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10.3†</w:t>
            </w:r>
          </w:p>
        </w:tc>
        <w:tc>
          <w:tcPr>
            <w:tcW w:w="81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Employment Agreement, effective as of January 1, 2023, by and between Perella Weinberg Partners,</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80" w:type="dxa"/>
            <w:vAlign w:val="bottom"/>
            <w:tcBorders>
              <w:top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rPr>
              <w:t>PWP Employer LP and Dietrich Becker (incorporated by reference to Exhibit 10.3 to the Company's</w:t>
            </w:r>
          </w:p>
        </w:tc>
        <w:tc>
          <w:tcPr>
            <w:tcW w:w="4294967277"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60" w:type="dxa"/>
            <w:vAlign w:val="bottom"/>
            <w:tcBorders>
              <w:top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rPr>
              <w:t>Annual Report on Form 10-K filed with the SEC on February 28, 2023)</w:t>
            </w:r>
            <w:r>
              <w:rPr>
                <w:rFonts w:ascii="Times New Roman" w:cs="Times New Roman" w:eastAsia="Times New Roman" w:hAnsi="Times New Roman"/>
                <w:sz w:val="20"/>
                <w:szCs w:val="20"/>
                <w:color w:val="000000"/>
              </w:rPr>
              <w:t>.</w:t>
            </w:r>
          </w:p>
        </w:tc>
        <w:tc>
          <w:tcPr>
            <w:tcW w:w="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24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10.4†</w:t>
            </w:r>
          </w:p>
        </w:tc>
        <w:tc>
          <w:tcPr>
            <w:tcW w:w="81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Form of Director Restricted Stock Unit Award Agreement (One-Time Award) (incorporated by</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60" w:type="dxa"/>
            <w:vAlign w:val="bottom"/>
            <w:gridSpan w:val="16"/>
          </w:tcPr>
          <w:p>
            <w:pPr>
              <w:spacing w:after="0" w:line="180" w:lineRule="exact"/>
              <w:rPr>
                <w:sz w:val="20"/>
                <w:szCs w:val="20"/>
                <w:color w:val="auto"/>
              </w:rPr>
            </w:pPr>
            <w:r>
              <w:rPr>
                <w:rFonts w:ascii="Times New Roman" w:cs="Times New Roman" w:eastAsia="Times New Roman" w:hAnsi="Times New Roman"/>
                <w:sz w:val="20"/>
                <w:szCs w:val="20"/>
                <w:color w:val="0000FF"/>
              </w:rPr>
              <w:t>reference to Exhibit 10.4 of the Company's Quarterly Report on Form 10-Q filed with the SEC on</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6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rPr>
              <w:t>November 5, 2021).</w:t>
            </w:r>
          </w:p>
        </w:tc>
        <w:tc>
          <w:tcPr>
            <w:tcW w:w="6600" w:type="dxa"/>
            <w:vAlign w:val="bottom"/>
            <w:tcBorders>
              <w:top w:val="single" w:sz="8" w:color="0000FF"/>
            </w:tcBorders>
            <w:gridSpan w:val="14"/>
          </w:tcPr>
          <w:p>
            <w:pPr>
              <w:spacing w:after="0"/>
              <w:rPr>
                <w:sz w:val="15"/>
                <w:szCs w:val="15"/>
                <w:color w:val="auto"/>
              </w:rPr>
            </w:pPr>
          </w:p>
        </w:tc>
        <w:tc>
          <w:tcPr>
            <w:tcW w:w="429496719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10.5†</w:t>
            </w:r>
          </w:p>
        </w:tc>
        <w:tc>
          <w:tcPr>
            <w:tcW w:w="81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Form  of  Director  Restricted  Stock  Unit  Award  Agreement  (Annual  Base  Retainer  Award)</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60" w:type="dxa"/>
            <w:vAlign w:val="bottom"/>
            <w:gridSpan w:val="16"/>
          </w:tcPr>
          <w:p>
            <w:pPr>
              <w:spacing w:after="0" w:line="180" w:lineRule="exact"/>
              <w:rPr>
                <w:sz w:val="20"/>
                <w:szCs w:val="20"/>
                <w:color w:val="auto"/>
              </w:rPr>
            </w:pPr>
            <w:r>
              <w:rPr>
                <w:rFonts w:ascii="Times New Roman" w:cs="Times New Roman" w:eastAsia="Times New Roman" w:hAnsi="Times New Roman"/>
                <w:sz w:val="20"/>
                <w:szCs w:val="20"/>
                <w:color w:val="0000FF"/>
              </w:rPr>
              <w:t>(incorporated by reference to Exhibit 10.5 of the Company's Quarterly Report on Form 10-Q filed</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60" w:type="dxa"/>
            <w:vAlign w:val="bottom"/>
            <w:tcBorders>
              <w:top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rPr>
              <w:t>with the SEC on November 5, 2021).</w:t>
            </w:r>
          </w:p>
        </w:tc>
        <w:tc>
          <w:tcPr>
            <w:tcW w:w="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9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890"/>
          </w:cols>
          <w:pgMar w:left="1170" w:top="1371" w:right="1180" w:bottom="169"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890"/>
          </w:cols>
          <w:pgMar w:left="1170" w:top="1371" w:right="1180" w:bottom="169" w:gutter="0" w:footer="0" w:header="0"/>
          <w:type w:val="continuous"/>
        </w:sectPr>
      </w:pPr>
    </w:p>
    <w:bookmarkStart w:id="86" w:name="page87"/>
    <w:bookmarkEnd w:id="86"/>
    <w:tbl>
      <w:tblPr>
        <w:tblLayout w:type="fixed"/>
        <w:tblInd w:w="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834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20"/>
                <w:szCs w:val="20"/>
                <w:color w:val="0000FF"/>
              </w:rPr>
              <w:t>Stockholders Agreement, dated June 24, 2021, by and between the Company and PWP Professional</w:t>
            </w:r>
          </w:p>
        </w:tc>
      </w:tr>
      <w:tr>
        <w:trPr>
          <w:trHeight w:val="180"/>
        </w:trPr>
        <w:tc>
          <w:tcPr>
            <w:tcW w:w="1140" w:type="dxa"/>
            <w:vAlign w:val="bottom"/>
          </w:tcPr>
          <w:p>
            <w:pPr>
              <w:spacing w:after="0"/>
              <w:rPr>
                <w:sz w:val="15"/>
                <w:szCs w:val="15"/>
                <w:color w:val="auto"/>
              </w:rPr>
            </w:pPr>
          </w:p>
        </w:tc>
        <w:tc>
          <w:tcPr>
            <w:tcW w:w="8340" w:type="dxa"/>
            <w:vAlign w:val="bottom"/>
            <w:gridSpan w:val="28"/>
          </w:tcPr>
          <w:p>
            <w:pPr>
              <w:spacing w:after="0" w:line="180" w:lineRule="exact"/>
              <w:rPr>
                <w:sz w:val="20"/>
                <w:szCs w:val="20"/>
                <w:color w:val="auto"/>
              </w:rPr>
            </w:pPr>
            <w:r>
              <w:rPr>
                <w:rFonts w:ascii="Times New Roman" w:cs="Times New Roman" w:eastAsia="Times New Roman" w:hAnsi="Times New Roman"/>
                <w:sz w:val="20"/>
                <w:szCs w:val="20"/>
                <w:color w:val="0000FF"/>
              </w:rPr>
              <w:t>Partners LP (incorporated by reference to Exhibit 10.3 to the Company's Current Report on Form 8-</w:t>
            </w:r>
          </w:p>
        </w:tc>
      </w:tr>
      <w:tr>
        <w:trPr>
          <w:trHeight w:val="180"/>
        </w:trPr>
        <w:tc>
          <w:tcPr>
            <w:tcW w:w="1140" w:type="dxa"/>
            <w:vAlign w:val="bottom"/>
          </w:tcPr>
          <w:p>
            <w:pPr>
              <w:spacing w:after="0"/>
              <w:rPr>
                <w:sz w:val="15"/>
                <w:szCs w:val="15"/>
                <w:color w:val="auto"/>
              </w:rPr>
            </w:pPr>
          </w:p>
        </w:tc>
        <w:tc>
          <w:tcPr>
            <w:tcW w:w="8100" w:type="dxa"/>
            <w:vAlign w:val="bottom"/>
            <w:tcBorders>
              <w:top w:val="single" w:sz="8" w:color="0000FF"/>
            </w:tcBorders>
            <w:gridSpan w:val="18"/>
          </w:tcPr>
          <w:p>
            <w:pPr>
              <w:spacing w:after="0" w:line="180" w:lineRule="exact"/>
              <w:rPr>
                <w:sz w:val="20"/>
                <w:szCs w:val="20"/>
                <w:color w:val="auto"/>
              </w:rPr>
            </w:pPr>
            <w:r>
              <w:rPr>
                <w:rFonts w:ascii="Times New Roman" w:cs="Times New Roman" w:eastAsia="Times New Roman" w:hAnsi="Times New Roman"/>
                <w:sz w:val="20"/>
                <w:szCs w:val="20"/>
                <w:color w:val="0000FF"/>
              </w:rPr>
              <w:t>K, filed with the SEC on June 30, 2021).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834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Tax Receivable Agreement, dated June 24, 2021, by and between the Company, PWP Holdings LP,</w:t>
            </w:r>
          </w:p>
        </w:tc>
      </w:tr>
      <w:tr>
        <w:trPr>
          <w:trHeight w:val="180"/>
        </w:trPr>
        <w:tc>
          <w:tcPr>
            <w:tcW w:w="1140" w:type="dxa"/>
            <w:vAlign w:val="bottom"/>
          </w:tcPr>
          <w:p>
            <w:pPr>
              <w:spacing w:after="0"/>
              <w:rPr>
                <w:sz w:val="15"/>
                <w:szCs w:val="15"/>
                <w:color w:val="auto"/>
              </w:rPr>
            </w:pPr>
          </w:p>
        </w:tc>
        <w:tc>
          <w:tcPr>
            <w:tcW w:w="8260" w:type="dxa"/>
            <w:vAlign w:val="bottom"/>
            <w:tcBorders>
              <w:top w:val="single" w:sz="8" w:color="0000FF"/>
              <w:bottom w:val="single" w:sz="8" w:color="0000FF"/>
            </w:tcBorders>
            <w:gridSpan w:val="24"/>
          </w:tcPr>
          <w:p>
            <w:pPr>
              <w:spacing w:after="0" w:line="180" w:lineRule="exact"/>
              <w:rPr>
                <w:sz w:val="20"/>
                <w:szCs w:val="20"/>
                <w:color w:val="auto"/>
              </w:rPr>
            </w:pPr>
            <w:r>
              <w:rPr>
                <w:rFonts w:ascii="Times New Roman" w:cs="Times New Roman" w:eastAsia="Times New Roman" w:hAnsi="Times New Roman"/>
                <w:sz w:val="20"/>
                <w:szCs w:val="20"/>
                <w:color w:val="0000FF"/>
              </w:rPr>
              <w:t>PWP Professional Partners LP and certain partners party thereto (incorporated by reference to</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7900" w:type="dxa"/>
            <w:vAlign w:val="bottom"/>
            <w:tcBorders>
              <w:bottom w:val="single" w:sz="8" w:color="0000FF"/>
            </w:tcBorders>
            <w:gridSpan w:val="17"/>
          </w:tcPr>
          <w:p>
            <w:pPr>
              <w:spacing w:after="0" w:line="180" w:lineRule="exact"/>
              <w:rPr>
                <w:sz w:val="20"/>
                <w:szCs w:val="20"/>
                <w:color w:val="auto"/>
              </w:rPr>
            </w:pPr>
            <w:r>
              <w:rPr>
                <w:rFonts w:ascii="Times New Roman" w:cs="Times New Roman" w:eastAsia="Times New Roman" w:hAnsi="Times New Roman"/>
                <w:sz w:val="20"/>
                <w:szCs w:val="20"/>
                <w:color w:val="0000FF"/>
                <w:w w:val="99"/>
              </w:rPr>
              <w:t>Exhibit 10.2 to the Company's Current Report on Form 8-K, filed with the SEC on June 30, 2021).</w:t>
            </w:r>
          </w:p>
        </w:tc>
        <w:tc>
          <w:tcPr>
            <w:tcW w:w="440" w:type="dxa"/>
            <w:vAlign w:val="bottom"/>
            <w:gridSpan w:val="11"/>
          </w:tcPr>
          <w:p>
            <w:pPr>
              <w:spacing w:after="0"/>
              <w:rPr>
                <w:sz w:val="15"/>
                <w:szCs w:val="15"/>
                <w:color w:val="auto"/>
              </w:rPr>
            </w:pPr>
          </w:p>
        </w:tc>
      </w:tr>
      <w:tr>
        <w:trPr>
          <w:trHeight w:val="37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834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Third Amended and Restated Agreement of Limited Partnership of PWP Holdings LP, dated as of</w:t>
            </w:r>
          </w:p>
        </w:tc>
      </w:tr>
      <w:tr>
        <w:trPr>
          <w:trHeight w:val="180"/>
        </w:trPr>
        <w:tc>
          <w:tcPr>
            <w:tcW w:w="1140" w:type="dxa"/>
            <w:vAlign w:val="bottom"/>
          </w:tcPr>
          <w:p>
            <w:pPr>
              <w:spacing w:after="0"/>
              <w:rPr>
                <w:sz w:val="15"/>
                <w:szCs w:val="15"/>
                <w:color w:val="auto"/>
              </w:rPr>
            </w:pPr>
          </w:p>
        </w:tc>
        <w:tc>
          <w:tcPr>
            <w:tcW w:w="8320" w:type="dxa"/>
            <w:vAlign w:val="bottom"/>
            <w:tcBorders>
              <w:top w:val="single" w:sz="8" w:color="0000FF"/>
              <w:bottom w:val="single" w:sz="8" w:color="0000FF"/>
            </w:tcBorders>
            <w:gridSpan w:val="27"/>
          </w:tcPr>
          <w:p>
            <w:pPr>
              <w:spacing w:after="0" w:line="180" w:lineRule="exact"/>
              <w:rPr>
                <w:sz w:val="20"/>
                <w:szCs w:val="20"/>
                <w:color w:val="auto"/>
              </w:rPr>
            </w:pPr>
            <w:r>
              <w:rPr>
                <w:rFonts w:ascii="Times New Roman" w:cs="Times New Roman" w:eastAsia="Times New Roman" w:hAnsi="Times New Roman"/>
                <w:sz w:val="20"/>
                <w:szCs w:val="20"/>
                <w:color w:val="0000FF"/>
              </w:rPr>
              <w:t>February 5, 2025, by and among PWP GP LLC, the Company, and the other limited partners party</w:t>
            </w:r>
          </w:p>
        </w:tc>
        <w:tc>
          <w:tcPr>
            <w:tcW w:w="20" w:type="dxa"/>
            <w:vAlign w:val="bottom"/>
            <w:tcBorders>
              <w:bottom w:val="single" w:sz="8" w:color="0000FF"/>
            </w:tcBorders>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8340" w:type="dxa"/>
            <w:vAlign w:val="bottom"/>
            <w:gridSpan w:val="28"/>
          </w:tcPr>
          <w:p>
            <w:pPr>
              <w:spacing w:after="0" w:line="180" w:lineRule="exact"/>
              <w:rPr>
                <w:sz w:val="20"/>
                <w:szCs w:val="20"/>
                <w:color w:val="auto"/>
              </w:rPr>
            </w:pPr>
            <w:r>
              <w:rPr>
                <w:rFonts w:ascii="Times New Roman" w:cs="Times New Roman" w:eastAsia="Times New Roman" w:hAnsi="Times New Roman"/>
                <w:sz w:val="20"/>
                <w:szCs w:val="20"/>
                <w:color w:val="0000FF"/>
              </w:rPr>
              <w:t>thereto (incorporated by reference to Exhibit 10.8 to the Company’s Annual Report on Form 10-K,</w:t>
            </w:r>
          </w:p>
        </w:tc>
      </w:tr>
      <w:tr>
        <w:trPr>
          <w:trHeight w:val="180"/>
        </w:trPr>
        <w:tc>
          <w:tcPr>
            <w:tcW w:w="1140" w:type="dxa"/>
            <w:vAlign w:val="bottom"/>
          </w:tcPr>
          <w:p>
            <w:pPr>
              <w:spacing w:after="0"/>
              <w:rPr>
                <w:sz w:val="15"/>
                <w:szCs w:val="15"/>
                <w:color w:val="auto"/>
              </w:rPr>
            </w:pPr>
          </w:p>
        </w:tc>
        <w:tc>
          <w:tcPr>
            <w:tcW w:w="8320" w:type="dxa"/>
            <w:vAlign w:val="bottom"/>
            <w:tcBorders>
              <w:top w:val="single" w:sz="8" w:color="0000FF"/>
            </w:tcBorders>
            <w:gridSpan w:val="27"/>
          </w:tcPr>
          <w:p>
            <w:pPr>
              <w:spacing w:after="0" w:line="180" w:lineRule="exact"/>
              <w:rPr>
                <w:sz w:val="20"/>
                <w:szCs w:val="20"/>
                <w:color w:val="auto"/>
              </w:rPr>
            </w:pPr>
            <w:r>
              <w:rPr>
                <w:rFonts w:ascii="Times New Roman" w:cs="Times New Roman" w:eastAsia="Times New Roman" w:hAnsi="Times New Roman"/>
                <w:sz w:val="20"/>
                <w:szCs w:val="20"/>
                <w:color w:val="0000FF"/>
              </w:rPr>
              <w:t>filed with the SEC on February 27, 2025)</w:t>
            </w:r>
            <w:r>
              <w:rPr>
                <w:rFonts w:ascii="Times New Roman" w:cs="Times New Roman" w:eastAsia="Times New Roman" w:hAnsi="Times New Roman"/>
                <w:sz w:val="20"/>
                <w:szCs w:val="20"/>
                <w:color w:val="000000"/>
              </w:rPr>
              <w:t>.</w:t>
            </w: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834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Amended and Restated Limited Liability Company Agreement of PWP GP LLC, dated June 24,</w:t>
            </w:r>
          </w:p>
        </w:tc>
      </w:tr>
      <w:tr>
        <w:trPr>
          <w:trHeight w:val="180"/>
        </w:trPr>
        <w:tc>
          <w:tcPr>
            <w:tcW w:w="1140" w:type="dxa"/>
            <w:vAlign w:val="bottom"/>
          </w:tcPr>
          <w:p>
            <w:pPr>
              <w:spacing w:after="0"/>
              <w:rPr>
                <w:sz w:val="15"/>
                <w:szCs w:val="15"/>
                <w:color w:val="auto"/>
              </w:rPr>
            </w:pPr>
          </w:p>
        </w:tc>
        <w:tc>
          <w:tcPr>
            <w:tcW w:w="8160" w:type="dxa"/>
            <w:vAlign w:val="bottom"/>
            <w:tcBorders>
              <w:top w:val="single" w:sz="8" w:color="0000FF"/>
              <w:bottom w:val="single" w:sz="8" w:color="0000FF"/>
            </w:tcBorders>
            <w:gridSpan w:val="19"/>
          </w:tcPr>
          <w:p>
            <w:pPr>
              <w:spacing w:after="0" w:line="180" w:lineRule="exact"/>
              <w:rPr>
                <w:sz w:val="20"/>
                <w:szCs w:val="20"/>
                <w:color w:val="auto"/>
              </w:rPr>
            </w:pPr>
            <w:r>
              <w:rPr>
                <w:rFonts w:ascii="Times New Roman" w:cs="Times New Roman" w:eastAsia="Times New Roman" w:hAnsi="Times New Roman"/>
                <w:sz w:val="20"/>
                <w:szCs w:val="20"/>
                <w:color w:val="0000FF"/>
              </w:rPr>
              <w:t>2021 (incorporated by reference to Exhibit 10.5 to the Company's Current Report on Form 8-K, filed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8160" w:type="dxa"/>
            <w:vAlign w:val="bottom"/>
            <w:gridSpan w:val="19"/>
          </w:tcPr>
          <w:p>
            <w:pPr>
              <w:spacing w:after="0" w:line="180" w:lineRule="exact"/>
              <w:rPr>
                <w:sz w:val="20"/>
                <w:szCs w:val="20"/>
                <w:color w:val="auto"/>
              </w:rPr>
            </w:pPr>
            <w:r>
              <w:rPr>
                <w:rFonts w:ascii="Times New Roman" w:cs="Times New Roman" w:eastAsia="Times New Roman" w:hAnsi="Times New Roman"/>
                <w:sz w:val="20"/>
                <w:szCs w:val="20"/>
                <w:color w:val="0000FF"/>
              </w:rPr>
              <w:t>with the SEC on June 30, 2021).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834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Perella Weinberg Partners 2021 Omnibus Incentive Plan (incorporated by reference to Exhibit 10.6</w:t>
            </w:r>
          </w:p>
        </w:tc>
      </w:tr>
      <w:tr>
        <w:trPr>
          <w:trHeight w:val="180"/>
        </w:trPr>
        <w:tc>
          <w:tcPr>
            <w:tcW w:w="1140" w:type="dxa"/>
            <w:vAlign w:val="bottom"/>
          </w:tcPr>
          <w:p>
            <w:pPr>
              <w:spacing w:after="0"/>
              <w:rPr>
                <w:sz w:val="15"/>
                <w:szCs w:val="15"/>
                <w:color w:val="auto"/>
              </w:rPr>
            </w:pPr>
          </w:p>
        </w:tc>
        <w:tc>
          <w:tcPr>
            <w:tcW w:w="8320" w:type="dxa"/>
            <w:vAlign w:val="bottom"/>
            <w:tcBorders>
              <w:top w:val="single" w:sz="8" w:color="0000FF"/>
            </w:tcBorders>
            <w:gridSpan w:val="27"/>
          </w:tcPr>
          <w:p>
            <w:pPr>
              <w:spacing w:after="0" w:line="180" w:lineRule="exact"/>
              <w:rPr>
                <w:sz w:val="20"/>
                <w:szCs w:val="20"/>
                <w:color w:val="auto"/>
              </w:rPr>
            </w:pPr>
            <w:r>
              <w:rPr>
                <w:rFonts w:ascii="Times New Roman" w:cs="Times New Roman" w:eastAsia="Times New Roman" w:hAnsi="Times New Roman"/>
                <w:sz w:val="20"/>
                <w:szCs w:val="20"/>
                <w:color w:val="0000FF"/>
              </w:rPr>
              <w:t>to the Company's Current Report on Form 8-K, filed with the SEC on June 30, 2021)</w:t>
            </w:r>
            <w:r>
              <w:rPr>
                <w:rFonts w:ascii="Times New Roman" w:cs="Times New Roman" w:eastAsia="Times New Roman" w:hAnsi="Times New Roman"/>
                <w:sz w:val="20"/>
                <w:szCs w:val="20"/>
                <w:color w:val="000000"/>
              </w:rPr>
              <w:t>.</w:t>
            </w: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834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French Sub-Plan Under the Perella Weinberg Partners 2021 Omnibus Equity Incentive Plan</w:t>
            </w:r>
          </w:p>
        </w:tc>
      </w:tr>
      <w:tr>
        <w:trPr>
          <w:trHeight w:val="180"/>
        </w:trPr>
        <w:tc>
          <w:tcPr>
            <w:tcW w:w="1140" w:type="dxa"/>
            <w:vAlign w:val="bottom"/>
          </w:tcPr>
          <w:p>
            <w:pPr>
              <w:spacing w:after="0"/>
              <w:rPr>
                <w:sz w:val="15"/>
                <w:szCs w:val="15"/>
                <w:color w:val="auto"/>
              </w:rPr>
            </w:pPr>
          </w:p>
        </w:tc>
        <w:tc>
          <w:tcPr>
            <w:tcW w:w="8320" w:type="dxa"/>
            <w:vAlign w:val="bottom"/>
            <w:tcBorders>
              <w:top w:val="single" w:sz="8" w:color="0000FF"/>
            </w:tcBorders>
            <w:gridSpan w:val="27"/>
          </w:tcPr>
          <w:p>
            <w:pPr>
              <w:spacing w:after="0" w:line="180" w:lineRule="exact"/>
              <w:rPr>
                <w:sz w:val="20"/>
                <w:szCs w:val="20"/>
                <w:color w:val="auto"/>
              </w:rPr>
            </w:pPr>
            <w:r>
              <w:rPr>
                <w:rFonts w:ascii="Times New Roman" w:cs="Times New Roman" w:eastAsia="Times New Roman" w:hAnsi="Times New Roman"/>
                <w:sz w:val="20"/>
                <w:szCs w:val="20"/>
                <w:color w:val="0000FF"/>
              </w:rPr>
              <w:t>(incorporated by reference to Exhibit 10.7 to the Company's Current Report on Form 8-K, filed with</w:t>
            </w: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8180" w:type="dxa"/>
            <w:vAlign w:val="bottom"/>
            <w:tcBorders>
              <w:top w:val="single" w:sz="8" w:color="0000FF"/>
            </w:tcBorders>
            <w:gridSpan w:val="20"/>
          </w:tcPr>
          <w:p>
            <w:pPr>
              <w:spacing w:after="0" w:line="180" w:lineRule="exact"/>
              <w:rPr>
                <w:sz w:val="20"/>
                <w:szCs w:val="20"/>
                <w:color w:val="auto"/>
              </w:rPr>
            </w:pPr>
            <w:r>
              <w:rPr>
                <w:rFonts w:ascii="Times New Roman" w:cs="Times New Roman" w:eastAsia="Times New Roman" w:hAnsi="Times New Roman"/>
                <w:sz w:val="20"/>
                <w:szCs w:val="20"/>
                <w:color w:val="0000FF"/>
              </w:rPr>
              <w:t>the SEC on June 30, 2021).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834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Form of Indemnification Agreement (incorporated by reference to Exhibit 10.8 to the Company's</w:t>
            </w:r>
          </w:p>
        </w:tc>
      </w:tr>
      <w:tr>
        <w:trPr>
          <w:trHeight w:val="180"/>
        </w:trPr>
        <w:tc>
          <w:tcPr>
            <w:tcW w:w="1140" w:type="dxa"/>
            <w:vAlign w:val="bottom"/>
          </w:tcPr>
          <w:p>
            <w:pPr>
              <w:spacing w:after="0"/>
              <w:rPr>
                <w:sz w:val="15"/>
                <w:szCs w:val="15"/>
                <w:color w:val="auto"/>
              </w:rPr>
            </w:pPr>
          </w:p>
        </w:tc>
        <w:tc>
          <w:tcPr>
            <w:tcW w:w="8180" w:type="dxa"/>
            <w:vAlign w:val="bottom"/>
            <w:tcBorders>
              <w:top w:val="single" w:sz="8" w:color="0000FF"/>
            </w:tcBorders>
            <w:gridSpan w:val="20"/>
          </w:tcPr>
          <w:p>
            <w:pPr>
              <w:spacing w:after="0" w:line="180" w:lineRule="exact"/>
              <w:rPr>
                <w:sz w:val="20"/>
                <w:szCs w:val="20"/>
                <w:color w:val="auto"/>
              </w:rPr>
            </w:pPr>
            <w:r>
              <w:rPr>
                <w:rFonts w:ascii="Times New Roman" w:cs="Times New Roman" w:eastAsia="Times New Roman" w:hAnsi="Times New Roman"/>
                <w:sz w:val="20"/>
                <w:szCs w:val="20"/>
                <w:color w:val="0000FF"/>
              </w:rPr>
              <w:t>Current Report on Form 8-K, filed with the SEC on June 30, 2021).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834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Amendment Agreement, dated as of June 30, 2023, by and among Perella Weinberg Partners Group</w:t>
            </w:r>
          </w:p>
        </w:tc>
      </w:tr>
      <w:tr>
        <w:trPr>
          <w:trHeight w:val="180"/>
        </w:trPr>
        <w:tc>
          <w:tcPr>
            <w:tcW w:w="1140" w:type="dxa"/>
            <w:vAlign w:val="bottom"/>
          </w:tcPr>
          <w:p>
            <w:pPr>
              <w:spacing w:after="0"/>
              <w:rPr>
                <w:sz w:val="15"/>
                <w:szCs w:val="15"/>
                <w:color w:val="auto"/>
              </w:rPr>
            </w:pPr>
          </w:p>
        </w:tc>
        <w:tc>
          <w:tcPr>
            <w:tcW w:w="8260" w:type="dxa"/>
            <w:vAlign w:val="bottom"/>
            <w:tcBorders>
              <w:top w:val="single" w:sz="8" w:color="0000FF"/>
              <w:bottom w:val="single" w:sz="8" w:color="0000FF"/>
            </w:tcBorders>
            <w:gridSpan w:val="24"/>
          </w:tcPr>
          <w:p>
            <w:pPr>
              <w:spacing w:after="0" w:line="180" w:lineRule="exact"/>
              <w:rPr>
                <w:sz w:val="20"/>
                <w:szCs w:val="20"/>
                <w:color w:val="auto"/>
              </w:rPr>
            </w:pPr>
            <w:r>
              <w:rPr>
                <w:rFonts w:ascii="Times New Roman" w:cs="Times New Roman" w:eastAsia="Times New Roman" w:hAnsi="Times New Roman"/>
                <w:sz w:val="20"/>
                <w:szCs w:val="20"/>
                <w:color w:val="0000FF"/>
              </w:rPr>
              <w:t>LP, as Borrower, and each Lender under the Credit Agreement and Cadence Bank, as administrative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8260" w:type="dxa"/>
            <w:vAlign w:val="bottom"/>
            <w:tcBorders>
              <w:bottom w:val="single" w:sz="8" w:color="0000FF"/>
            </w:tcBorders>
            <w:gridSpan w:val="24"/>
          </w:tcPr>
          <w:p>
            <w:pPr>
              <w:spacing w:after="0" w:line="180" w:lineRule="exact"/>
              <w:rPr>
                <w:sz w:val="20"/>
                <w:szCs w:val="20"/>
                <w:color w:val="auto"/>
              </w:rPr>
            </w:pPr>
            <w:r>
              <w:rPr>
                <w:rFonts w:ascii="Times New Roman" w:cs="Times New Roman" w:eastAsia="Times New Roman" w:hAnsi="Times New Roman"/>
                <w:sz w:val="20"/>
                <w:szCs w:val="20"/>
                <w:color w:val="0000FF"/>
              </w:rPr>
              <w:t>agent (incorporated by reference to Exhibit 10.1 to the Company's Quarterly Report on Form 10-Q,</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3140" w:type="dxa"/>
            <w:vAlign w:val="bottom"/>
            <w:tcBorders>
              <w:bottom w:val="single" w:sz="8" w:color="0000FF"/>
            </w:tcBorders>
            <w:gridSpan w:val="6"/>
          </w:tcPr>
          <w:p>
            <w:pPr>
              <w:spacing w:after="0" w:line="180" w:lineRule="exact"/>
              <w:rPr>
                <w:sz w:val="20"/>
                <w:szCs w:val="20"/>
                <w:color w:val="auto"/>
              </w:rPr>
            </w:pPr>
            <w:r>
              <w:rPr>
                <w:rFonts w:ascii="Times New Roman" w:cs="Times New Roman" w:eastAsia="Times New Roman" w:hAnsi="Times New Roman"/>
                <w:sz w:val="20"/>
                <w:szCs w:val="20"/>
                <w:color w:val="0000FF"/>
                <w:w w:val="99"/>
              </w:rPr>
              <w:t>filed with the SEC on August 4, 2023).</w:t>
            </w:r>
          </w:p>
        </w:tc>
        <w:tc>
          <w:tcPr>
            <w:tcW w:w="5140" w:type="dxa"/>
            <w:vAlign w:val="bottom"/>
            <w:gridSpan w:val="1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834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Amendment No. 4 to Credit Agreement, dated as of January 24, 2025, by and among Perella</w:t>
            </w:r>
          </w:p>
        </w:tc>
      </w:tr>
      <w:tr>
        <w:trPr>
          <w:trHeight w:val="180"/>
        </w:trPr>
        <w:tc>
          <w:tcPr>
            <w:tcW w:w="1140" w:type="dxa"/>
            <w:vAlign w:val="bottom"/>
          </w:tcPr>
          <w:p>
            <w:pPr>
              <w:spacing w:after="0"/>
              <w:rPr>
                <w:sz w:val="15"/>
                <w:szCs w:val="15"/>
                <w:color w:val="auto"/>
              </w:rPr>
            </w:pPr>
          </w:p>
        </w:tc>
        <w:tc>
          <w:tcPr>
            <w:tcW w:w="8160" w:type="dxa"/>
            <w:vAlign w:val="bottom"/>
            <w:tcBorders>
              <w:top w:val="single" w:sz="8" w:color="0000FF"/>
              <w:bottom w:val="single" w:sz="8" w:color="0000FF"/>
            </w:tcBorders>
            <w:gridSpan w:val="19"/>
          </w:tcPr>
          <w:p>
            <w:pPr>
              <w:spacing w:after="0" w:line="180" w:lineRule="exact"/>
              <w:rPr>
                <w:sz w:val="20"/>
                <w:szCs w:val="20"/>
                <w:color w:val="auto"/>
              </w:rPr>
            </w:pPr>
            <w:r>
              <w:rPr>
                <w:rFonts w:ascii="Times New Roman" w:cs="Times New Roman" w:eastAsia="Times New Roman" w:hAnsi="Times New Roman"/>
                <w:sz w:val="20"/>
                <w:szCs w:val="20"/>
                <w:color w:val="0000FF"/>
              </w:rPr>
              <w:t>Weinberg Partners Group LP, PWP Holdings LP, the subsidiary guarantors and lenders party</w:t>
            </w: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8340" w:type="dxa"/>
            <w:vAlign w:val="bottom"/>
            <w:gridSpan w:val="28"/>
          </w:tcPr>
          <w:p>
            <w:pPr>
              <w:spacing w:after="0" w:line="180" w:lineRule="exact"/>
              <w:rPr>
                <w:sz w:val="20"/>
                <w:szCs w:val="20"/>
                <w:color w:val="auto"/>
              </w:rPr>
            </w:pPr>
            <w:r>
              <w:rPr>
                <w:rFonts w:ascii="Times New Roman" w:cs="Times New Roman" w:eastAsia="Times New Roman" w:hAnsi="Times New Roman"/>
                <w:sz w:val="20"/>
                <w:szCs w:val="20"/>
                <w:color w:val="0000FF"/>
              </w:rPr>
              <w:t>thereto, and Cadence Bank, as administrative agent (incorporated by reference to Exhibit 10.14 to</w:t>
            </w:r>
          </w:p>
        </w:tc>
      </w:tr>
      <w:tr>
        <w:trPr>
          <w:trHeight w:val="180"/>
        </w:trPr>
        <w:tc>
          <w:tcPr>
            <w:tcW w:w="1140" w:type="dxa"/>
            <w:vAlign w:val="bottom"/>
          </w:tcPr>
          <w:p>
            <w:pPr>
              <w:spacing w:after="0"/>
              <w:rPr>
                <w:sz w:val="15"/>
                <w:szCs w:val="15"/>
                <w:color w:val="auto"/>
              </w:rPr>
            </w:pPr>
          </w:p>
        </w:tc>
        <w:tc>
          <w:tcPr>
            <w:tcW w:w="8240" w:type="dxa"/>
            <w:vAlign w:val="bottom"/>
            <w:tcBorders>
              <w:top w:val="single" w:sz="8" w:color="0000FF"/>
            </w:tcBorders>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the Company’s Annual Report on Form 10-K filed with the SEC on February 27, 2025).</w:t>
            </w: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834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Form of Management Performance Restricted Stock Unit Award Agreement (incorporated by</w:t>
            </w:r>
          </w:p>
        </w:tc>
      </w:tr>
      <w:tr>
        <w:trPr>
          <w:trHeight w:val="180"/>
        </w:trPr>
        <w:tc>
          <w:tcPr>
            <w:tcW w:w="1140" w:type="dxa"/>
            <w:vAlign w:val="bottom"/>
          </w:tcPr>
          <w:p>
            <w:pPr>
              <w:spacing w:after="0"/>
              <w:rPr>
                <w:sz w:val="15"/>
                <w:szCs w:val="15"/>
                <w:color w:val="auto"/>
              </w:rPr>
            </w:pPr>
          </w:p>
        </w:tc>
        <w:tc>
          <w:tcPr>
            <w:tcW w:w="8320" w:type="dxa"/>
            <w:vAlign w:val="bottom"/>
            <w:tcBorders>
              <w:top w:val="single" w:sz="8" w:color="0000FF"/>
              <w:bottom w:val="single" w:sz="8" w:color="0000FF"/>
            </w:tcBorders>
            <w:gridSpan w:val="27"/>
          </w:tcPr>
          <w:p>
            <w:pPr>
              <w:spacing w:after="0" w:line="180" w:lineRule="exact"/>
              <w:rPr>
                <w:sz w:val="20"/>
                <w:szCs w:val="20"/>
                <w:color w:val="auto"/>
              </w:rPr>
            </w:pPr>
            <w:r>
              <w:rPr>
                <w:rFonts w:ascii="Times New Roman" w:cs="Times New Roman" w:eastAsia="Times New Roman" w:hAnsi="Times New Roman"/>
                <w:sz w:val="20"/>
                <w:szCs w:val="20"/>
                <w:color w:val="0000FF"/>
              </w:rPr>
              <w:t>reference to Exhibit 10.13 to the Company's Quarterly Report on Form 10-Q, filed with the SEC on</w:t>
            </w: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1460" w:type="dxa"/>
            <w:vAlign w:val="bottom"/>
            <w:tcBorders>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9"/>
              </w:rPr>
              <w:t>August 12, 2021).</w:t>
            </w:r>
          </w:p>
        </w:tc>
        <w:tc>
          <w:tcPr>
            <w:tcW w:w="6860" w:type="dxa"/>
            <w:vAlign w:val="bottom"/>
            <w:gridSpan w:val="25"/>
          </w:tcPr>
          <w:p>
            <w:pPr>
              <w:spacing w:after="0"/>
              <w:rPr>
                <w:sz w:val="15"/>
                <w:szCs w:val="15"/>
                <w:color w:val="auto"/>
              </w:rPr>
            </w:pPr>
          </w:p>
        </w:tc>
        <w:tc>
          <w:tcPr>
            <w:tcW w:w="20" w:type="dxa"/>
            <w:vAlign w:val="bottom"/>
          </w:tcPr>
          <w:p>
            <w:pPr>
              <w:spacing w:after="0"/>
              <w:rPr>
                <w:sz w:val="15"/>
                <w:szCs w:val="15"/>
                <w:color w:val="auto"/>
              </w:rPr>
            </w:pPr>
          </w:p>
        </w:tc>
      </w:tr>
      <w:tr>
        <w:trPr>
          <w:trHeight w:val="37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834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Form of Series A PI Unit Award Agreement.</w:t>
            </w: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834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Perella Weinberg Partners Insider Trading Policy (incorporated by reference to Exhibit 19.1 to the</w:t>
            </w:r>
          </w:p>
        </w:tc>
      </w:tr>
      <w:tr>
        <w:trPr>
          <w:trHeight w:val="180"/>
        </w:trPr>
        <w:tc>
          <w:tcPr>
            <w:tcW w:w="1140" w:type="dxa"/>
            <w:vAlign w:val="bottom"/>
          </w:tcPr>
          <w:p>
            <w:pPr>
              <w:spacing w:after="0"/>
              <w:rPr>
                <w:sz w:val="15"/>
                <w:szCs w:val="15"/>
                <w:color w:val="auto"/>
              </w:rPr>
            </w:pPr>
          </w:p>
        </w:tc>
        <w:tc>
          <w:tcPr>
            <w:tcW w:w="8300" w:type="dxa"/>
            <w:vAlign w:val="bottom"/>
            <w:tcBorders>
              <w:top w:val="single" w:sz="8" w:color="0000FF"/>
            </w:tcBorders>
            <w:gridSpan w:val="26"/>
          </w:tcPr>
          <w:p>
            <w:pPr>
              <w:spacing w:after="0" w:line="180" w:lineRule="exact"/>
              <w:rPr>
                <w:sz w:val="20"/>
                <w:szCs w:val="20"/>
                <w:color w:val="auto"/>
              </w:rPr>
            </w:pPr>
            <w:r>
              <w:rPr>
                <w:rFonts w:ascii="Times New Roman" w:cs="Times New Roman" w:eastAsia="Times New Roman" w:hAnsi="Times New Roman"/>
                <w:sz w:val="20"/>
                <w:szCs w:val="20"/>
                <w:color w:val="0000FF"/>
              </w:rPr>
              <w:t>Company’s Annual Report on Form 10-K, filed with the SEC on February 27, 2025).</w:t>
            </w:r>
          </w:p>
        </w:tc>
        <w:tc>
          <w:tcPr>
            <w:tcW w:w="40" w:type="dxa"/>
            <w:vAlign w:val="bottom"/>
            <w:gridSpan w:val="2"/>
          </w:tcPr>
          <w:p>
            <w:pPr>
              <w:spacing w:after="0"/>
              <w:rPr>
                <w:sz w:val="15"/>
                <w:szCs w:val="15"/>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68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List of Subsidiaries</w:t>
            </w:r>
            <w:r>
              <w:rPr>
                <w:rFonts w:ascii="Times New Roman" w:cs="Times New Roman" w:eastAsia="Times New Roman" w:hAnsi="Times New Roman"/>
                <w:sz w:val="20"/>
                <w:szCs w:val="20"/>
                <w:color w:val="000000"/>
              </w:rPr>
              <w:t>.</w:t>
            </w:r>
          </w:p>
        </w:tc>
        <w:tc>
          <w:tcPr>
            <w:tcW w:w="1520" w:type="dxa"/>
            <w:vAlign w:val="bottom"/>
            <w:gridSpan w:val="13"/>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64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9"/>
              </w:rPr>
              <w:t>Consent of Ernst &amp; Young LLP, independent registered public accounting firm.</w:t>
            </w:r>
          </w:p>
        </w:tc>
        <w:tc>
          <w:tcPr>
            <w:tcW w:w="1940" w:type="dxa"/>
            <w:vAlign w:val="bottom"/>
            <w:gridSpan w:val="14"/>
          </w:tcPr>
          <w:p>
            <w:pPr>
              <w:spacing w:after="0"/>
              <w:rPr>
                <w:sz w:val="24"/>
                <w:szCs w:val="24"/>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4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Powers of Attorney (included on signature page).</w:t>
            </w:r>
          </w:p>
        </w:tc>
        <w:tc>
          <w:tcPr>
            <w:tcW w:w="4340" w:type="dxa"/>
            <w:vAlign w:val="bottom"/>
            <w:gridSpan w:val="18"/>
          </w:tcPr>
          <w:p>
            <w:pPr>
              <w:spacing w:after="0"/>
              <w:rPr>
                <w:sz w:val="24"/>
                <w:szCs w:val="24"/>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34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Certification of Principal Executive Officer Pursuant to Rules 13a-14(a) and 15d-14(a) under the</w:t>
            </w:r>
          </w:p>
        </w:tc>
      </w:tr>
      <w:tr>
        <w:trPr>
          <w:trHeight w:val="180"/>
        </w:trPr>
        <w:tc>
          <w:tcPr>
            <w:tcW w:w="1140" w:type="dxa"/>
            <w:vAlign w:val="bottom"/>
          </w:tcPr>
          <w:p>
            <w:pPr>
              <w:spacing w:after="0"/>
              <w:rPr>
                <w:sz w:val="15"/>
                <w:szCs w:val="15"/>
                <w:color w:val="auto"/>
              </w:rPr>
            </w:pPr>
          </w:p>
        </w:tc>
        <w:tc>
          <w:tcPr>
            <w:tcW w:w="8200" w:type="dxa"/>
            <w:vAlign w:val="bottom"/>
            <w:tcBorders>
              <w:top w:val="single" w:sz="8" w:color="0000FF"/>
            </w:tcBorders>
            <w:gridSpan w:val="21"/>
          </w:tcPr>
          <w:p>
            <w:pPr>
              <w:spacing w:after="0" w:line="180" w:lineRule="exact"/>
              <w:rPr>
                <w:sz w:val="20"/>
                <w:szCs w:val="20"/>
                <w:color w:val="auto"/>
              </w:rPr>
            </w:pPr>
            <w:r>
              <w:rPr>
                <w:rFonts w:ascii="Times New Roman" w:cs="Times New Roman" w:eastAsia="Times New Roman" w:hAnsi="Times New Roman"/>
                <w:sz w:val="20"/>
                <w:szCs w:val="20"/>
                <w:color w:val="0000FF"/>
              </w:rPr>
              <w:t>Securities Exchange Act of 1934, as Adopted Pursuant to Section 302 of the Sarbanes-Oxley Act of</w:t>
            </w: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7"/>
              </w:rPr>
              <w:t>2002.</w:t>
            </w:r>
          </w:p>
        </w:tc>
        <w:tc>
          <w:tcPr>
            <w:tcW w:w="10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7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34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Certification of Principal Financial Officer Pursuant to Rules 13a-14(a) and 15d-14(a) under the</w:t>
            </w:r>
          </w:p>
        </w:tc>
      </w:tr>
      <w:tr>
        <w:trPr>
          <w:trHeight w:val="180"/>
        </w:trPr>
        <w:tc>
          <w:tcPr>
            <w:tcW w:w="1140" w:type="dxa"/>
            <w:vAlign w:val="bottom"/>
          </w:tcPr>
          <w:p>
            <w:pPr>
              <w:spacing w:after="0"/>
              <w:rPr>
                <w:sz w:val="15"/>
                <w:szCs w:val="15"/>
                <w:color w:val="auto"/>
              </w:rPr>
            </w:pPr>
          </w:p>
        </w:tc>
        <w:tc>
          <w:tcPr>
            <w:tcW w:w="8180" w:type="dxa"/>
            <w:vAlign w:val="bottom"/>
            <w:tcBorders>
              <w:top w:val="single" w:sz="8" w:color="0000FF"/>
            </w:tcBorders>
            <w:gridSpan w:val="20"/>
          </w:tcPr>
          <w:p>
            <w:pPr>
              <w:spacing w:after="0" w:line="180" w:lineRule="exact"/>
              <w:rPr>
                <w:sz w:val="20"/>
                <w:szCs w:val="20"/>
                <w:color w:val="auto"/>
              </w:rPr>
            </w:pPr>
            <w:r>
              <w:rPr>
                <w:rFonts w:ascii="Times New Roman" w:cs="Times New Roman" w:eastAsia="Times New Roman" w:hAnsi="Times New Roman"/>
                <w:sz w:val="20"/>
                <w:szCs w:val="20"/>
                <w:color w:val="0000FF"/>
              </w:rPr>
              <w:t>Securities Exchange Act of 1934, as Adopted Pursuant to Section 302 of the Sarbanes-Oxley Act of</w:t>
            </w:r>
          </w:p>
        </w:tc>
        <w:tc>
          <w:tcPr>
            <w:tcW w:w="40" w:type="dxa"/>
            <w:vAlign w:val="bottom"/>
            <w:gridSpan w:val="2"/>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7"/>
              </w:rPr>
              <w:t>2002.</w:t>
            </w:r>
          </w:p>
        </w:tc>
        <w:tc>
          <w:tcPr>
            <w:tcW w:w="10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7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834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20"/>
                <w:szCs w:val="20"/>
                <w:color w:val="0000FF"/>
              </w:rPr>
              <w:t>Certification of Principal Executive Officer Pursuant to 18 U.S.C. Section 1350, as Adopted</w:t>
            </w:r>
          </w:p>
        </w:tc>
      </w:tr>
      <w:tr>
        <w:trPr>
          <w:trHeight w:val="180"/>
        </w:trPr>
        <w:tc>
          <w:tcPr>
            <w:tcW w:w="1140" w:type="dxa"/>
            <w:vAlign w:val="bottom"/>
          </w:tcPr>
          <w:p>
            <w:pPr>
              <w:spacing w:after="0"/>
              <w:rPr>
                <w:sz w:val="15"/>
                <w:szCs w:val="15"/>
                <w:color w:val="auto"/>
              </w:rPr>
            </w:pPr>
          </w:p>
        </w:tc>
        <w:tc>
          <w:tcPr>
            <w:tcW w:w="8340" w:type="dxa"/>
            <w:vAlign w:val="bottom"/>
            <w:gridSpan w:val="28"/>
          </w:tcPr>
          <w:p>
            <w:pPr>
              <w:spacing w:after="0" w:line="180" w:lineRule="exact"/>
              <w:rPr>
                <w:sz w:val="20"/>
                <w:szCs w:val="20"/>
                <w:color w:val="auto"/>
              </w:rPr>
            </w:pPr>
            <w:r>
              <w:rPr>
                <w:rFonts w:ascii="Times New Roman" w:cs="Times New Roman" w:eastAsia="Times New Roman" w:hAnsi="Times New Roman"/>
                <w:sz w:val="20"/>
                <w:szCs w:val="20"/>
                <w:color w:val="0000FF"/>
              </w:rPr>
              <w:t>Pursuant to Section 906 of the Sarbanes-Oxley Act of 2002.</w:t>
            </w:r>
          </w:p>
        </w:tc>
      </w:tr>
      <w:tr>
        <w:trPr>
          <w:trHeight w:val="20"/>
        </w:trPr>
        <w:tc>
          <w:tcPr>
            <w:tcW w:w="1140" w:type="dxa"/>
            <w:vAlign w:val="bottom"/>
          </w:tcPr>
          <w:p>
            <w:pPr>
              <w:spacing w:after="0" w:line="20" w:lineRule="exact"/>
              <w:rPr>
                <w:sz w:val="1"/>
                <w:szCs w:val="1"/>
                <w:color w:val="auto"/>
              </w:rPr>
            </w:pPr>
          </w:p>
        </w:tc>
        <w:tc>
          <w:tcPr>
            <w:tcW w:w="4060" w:type="dxa"/>
            <w:vAlign w:val="bottom"/>
            <w:gridSpan w:val="11"/>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20" w:type="dxa"/>
            <w:vAlign w:val="bottom"/>
            <w:gridSpan w:val="10"/>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834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Certification of Principal Financial Officer Pursuant to 18 U.S.C. Section 1350, as Adopted Pursuant</w:t>
            </w:r>
          </w:p>
        </w:tc>
      </w:tr>
      <w:tr>
        <w:trPr>
          <w:trHeight w:val="180"/>
        </w:trPr>
        <w:tc>
          <w:tcPr>
            <w:tcW w:w="1140" w:type="dxa"/>
            <w:vAlign w:val="bottom"/>
          </w:tcPr>
          <w:p>
            <w:pPr>
              <w:spacing w:after="0"/>
              <w:rPr>
                <w:sz w:val="15"/>
                <w:szCs w:val="15"/>
                <w:color w:val="auto"/>
              </w:rPr>
            </w:pPr>
          </w:p>
        </w:tc>
        <w:tc>
          <w:tcPr>
            <w:tcW w:w="4060" w:type="dxa"/>
            <w:vAlign w:val="bottom"/>
            <w:tcBorders>
              <w:top w:val="single" w:sz="8" w:color="0000FF"/>
              <w:bottom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w w:val="99"/>
              </w:rPr>
              <w:t>to Section 906 of the Sarbanes-Oxley Act of 2002.</w:t>
            </w:r>
          </w:p>
        </w:tc>
        <w:tc>
          <w:tcPr>
            <w:tcW w:w="4160" w:type="dxa"/>
            <w:vAlign w:val="bottom"/>
            <w:tcBorders>
              <w:top w:val="single" w:sz="8" w:color="0000FF"/>
            </w:tcBorders>
            <w:gridSpan w:val="11"/>
          </w:tcPr>
          <w:p>
            <w:pPr>
              <w:spacing w:after="0"/>
              <w:rPr>
                <w:sz w:val="15"/>
                <w:szCs w:val="15"/>
                <w:color w:val="auto"/>
              </w:rPr>
            </w:pPr>
          </w:p>
        </w:tc>
        <w:tc>
          <w:tcPr>
            <w:tcW w:w="120" w:type="dxa"/>
            <w:vAlign w:val="bottom"/>
            <w:gridSpan w:val="6"/>
          </w:tcPr>
          <w:p>
            <w:pPr>
              <w:spacing w:after="0"/>
              <w:rPr>
                <w:sz w:val="15"/>
                <w:szCs w:val="15"/>
                <w:color w:val="auto"/>
              </w:rPr>
            </w:pPr>
          </w:p>
        </w:tc>
      </w:tr>
    </w:tbl>
    <w:p>
      <w:pPr>
        <w:spacing w:after="0" w:line="200" w:lineRule="exact"/>
        <w:rPr>
          <w:sz w:val="20"/>
          <w:szCs w:val="20"/>
          <w:color w:val="auto"/>
        </w:rPr>
      </w:pPr>
    </w:p>
    <w:p>
      <w:pPr>
        <w:sectPr>
          <w:pgSz w:w="12240" w:h="15840" w:orient="portrait"/>
          <w:cols w:equalWidth="0" w:num="1">
            <w:col w:w="9360"/>
          </w:cols>
          <w:pgMar w:left="1440" w:top="1417" w:right="1440" w:bottom="169" w:gutter="0" w:footer="0" w:header="0"/>
        </w:sect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360"/>
          </w:cols>
          <w:pgMar w:left="1440" w:top="1417" w:right="1440" w:bottom="169" w:gutter="0" w:footer="0" w:header="0"/>
          <w:type w:val="continuous"/>
        </w:sectPr>
      </w:pPr>
    </w:p>
    <w:bookmarkStart w:id="87" w:name="page88"/>
    <w:bookmarkEnd w:id="87"/>
    <w:tbl>
      <w:tblPr>
        <w:tblLayout w:type="fixed"/>
        <w:tblInd w:w="10" w:type="dxa"/>
        <w:tblCellMar>
          <w:top w:w="0" w:type="dxa"/>
          <w:left w:w="0" w:type="dxa"/>
          <w:bottom w:w="0" w:type="dxa"/>
          <w:right w:w="0" w:type="dxa"/>
        </w:tblCellMar>
      </w:tblPr>
      <w:tr>
        <w:trPr>
          <w:trHeight w:val="230"/>
        </w:trPr>
        <w:tc>
          <w:tcPr>
            <w:tcW w:w="1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97.1</w:t>
            </w:r>
          </w:p>
        </w:tc>
        <w:tc>
          <w:tcPr>
            <w:tcW w:w="8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rPr>
              <w:t>Perella Weinberg Partners Clawback Policy (incorporated by reference to Exhibit 97.1 to the</w:t>
            </w:r>
          </w:p>
        </w:tc>
      </w:tr>
      <w:tr>
        <w:trPr>
          <w:trHeight w:val="180"/>
        </w:trPr>
        <w:tc>
          <w:tcPr>
            <w:tcW w:w="1460" w:type="dxa"/>
            <w:vAlign w:val="bottom"/>
          </w:tcPr>
          <w:p>
            <w:pPr>
              <w:spacing w:after="0"/>
              <w:rPr>
                <w:sz w:val="15"/>
                <w:szCs w:val="15"/>
                <w:color w:val="auto"/>
              </w:rPr>
            </w:pPr>
          </w:p>
        </w:tc>
        <w:tc>
          <w:tcPr>
            <w:tcW w:w="8160" w:type="dxa"/>
            <w:vAlign w:val="bottom"/>
            <w:gridSpan w:val="2"/>
          </w:tcPr>
          <w:p>
            <w:pPr>
              <w:spacing w:after="0" w:line="180" w:lineRule="exact"/>
              <w:rPr>
                <w:sz w:val="20"/>
                <w:szCs w:val="20"/>
                <w:color w:val="auto"/>
              </w:rPr>
            </w:pPr>
            <w:r>
              <w:rPr>
                <w:rFonts w:ascii="Times New Roman" w:cs="Times New Roman" w:eastAsia="Times New Roman" w:hAnsi="Times New Roman"/>
                <w:sz w:val="20"/>
                <w:szCs w:val="20"/>
                <w:color w:val="0000FF"/>
              </w:rPr>
              <w:t>Company’s Annual Report on Form 10-K, filed with the SEC on February 23, 2024).</w:t>
            </w:r>
          </w:p>
        </w:tc>
      </w:tr>
      <w:tr>
        <w:trPr>
          <w:trHeight w:val="20"/>
        </w:trPr>
        <w:tc>
          <w:tcPr>
            <w:tcW w:w="1460" w:type="dxa"/>
            <w:vAlign w:val="bottom"/>
          </w:tcPr>
          <w:p>
            <w:pPr>
              <w:spacing w:after="0" w:line="20" w:lineRule="exact"/>
              <w:rPr>
                <w:sz w:val="1"/>
                <w:szCs w:val="1"/>
                <w:color w:val="auto"/>
              </w:rPr>
            </w:pPr>
          </w:p>
        </w:tc>
        <w:tc>
          <w:tcPr>
            <w:tcW w:w="68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48"/>
        </w:trPr>
        <w:tc>
          <w:tcPr>
            <w:tcW w:w="1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101.INS*</w:t>
            </w: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Instance Document - the instance document does not appear in the Interactive Data File</w:t>
            </w:r>
          </w:p>
        </w:tc>
      </w:tr>
      <w:tr>
        <w:trPr>
          <w:trHeight w:val="260"/>
        </w:trPr>
        <w:tc>
          <w:tcPr>
            <w:tcW w:w="1460" w:type="dxa"/>
            <w:vAlign w:val="bottom"/>
          </w:tcPr>
          <w:p>
            <w:pPr>
              <w:spacing w:after="0"/>
              <w:rPr>
                <w:sz w:val="22"/>
                <w:szCs w:val="22"/>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because its XBRL tags are embedded within the Inline XBRL document.</w:t>
            </w:r>
          </w:p>
        </w:tc>
      </w:tr>
      <w:tr>
        <w:trPr>
          <w:trHeight w:val="265"/>
        </w:trPr>
        <w:tc>
          <w:tcPr>
            <w:tcW w:w="1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101.SCH*</w:t>
            </w: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85"/>
        </w:trPr>
        <w:tc>
          <w:tcPr>
            <w:tcW w:w="1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101.CAL*</w:t>
            </w: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285"/>
        </w:trPr>
        <w:tc>
          <w:tcPr>
            <w:tcW w:w="1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101.DEF*</w:t>
            </w: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Definitions Linkbase Document.</w:t>
            </w:r>
          </w:p>
        </w:tc>
      </w:tr>
      <w:tr>
        <w:trPr>
          <w:trHeight w:val="285"/>
        </w:trPr>
        <w:tc>
          <w:tcPr>
            <w:tcW w:w="1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101.LAB*</w:t>
            </w: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285"/>
        </w:trPr>
        <w:tc>
          <w:tcPr>
            <w:tcW w:w="1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101.PRE*</w:t>
            </w: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285"/>
        </w:trPr>
        <w:tc>
          <w:tcPr>
            <w:tcW w:w="14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104*</w:t>
            </w: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tc>
      </w:tr>
      <w:tr>
        <w:trPr>
          <w:trHeight w:val="276"/>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w w:val="99"/>
              </w:rPr>
              <w:t>__________________</w:t>
            </w:r>
          </w:p>
        </w:tc>
        <w:tc>
          <w:tcPr>
            <w:tcW w:w="6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9"/>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    Filed herewith.</w:t>
            </w:r>
          </w:p>
        </w:tc>
        <w:tc>
          <w:tcPr>
            <w:tcW w:w="682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ind w:left="370" w:hanging="370"/>
        <w:spacing w:after="0"/>
        <w:tabs>
          <w:tab w:leader="none" w:pos="37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ind w:left="370" w:hanging="370"/>
        <w:spacing w:after="0" w:line="237" w:lineRule="auto"/>
        <w:tabs>
          <w:tab w:leader="none" w:pos="37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Indicates a management or compensatory plan.</w:t>
      </w:r>
    </w:p>
    <w:p>
      <w:pPr>
        <w:spacing w:after="0" w:line="13" w:lineRule="exact"/>
        <w:rPr>
          <w:sz w:val="20"/>
          <w:szCs w:val="20"/>
          <w:color w:val="auto"/>
        </w:rPr>
      </w:pPr>
    </w:p>
    <w:p>
      <w:pPr>
        <w:ind w:left="370" w:hanging="370"/>
        <w:spacing w:after="0" w:line="271" w:lineRule="auto"/>
        <w:tabs>
          <w:tab w:leader="none" w:pos="37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schedules to this Exhibit have been omitted in accordance with Item 601(b)(2) of Regulation S-K. The Company hereby agrees to hereby furnish supplementally a copy of all omitted schedules to the SEC upon request.</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57"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910"/>
          </w:cols>
          <w:pgMar w:left="1170" w:top="1417"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910"/>
          </w:cols>
          <w:pgMar w:left="1170" w:top="1417" w:right="1160" w:bottom="169"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ind w:right="20" w:firstLine="360"/>
        <w:spacing w:after="0"/>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 in New York, New York.</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3500" w:type="dxa"/>
            <w:vAlign w:val="bottom"/>
          </w:tcPr>
          <w:p>
            <w:pPr>
              <w:spacing w:after="0"/>
              <w:rPr>
                <w:sz w:val="22"/>
                <w:szCs w:val="22"/>
                <w:color w:val="auto"/>
              </w:rPr>
            </w:pPr>
          </w:p>
        </w:tc>
        <w:tc>
          <w:tcPr>
            <w:tcW w:w="6360" w:type="dxa"/>
            <w:vAlign w:val="bottom"/>
            <w:gridSpan w:val="2"/>
          </w:tcPr>
          <w:p>
            <w:pPr>
              <w:ind w:left="1480"/>
              <w:spacing w:after="0"/>
              <w:rPr>
                <w:sz w:val="20"/>
                <w:szCs w:val="20"/>
                <w:color w:val="auto"/>
              </w:rPr>
            </w:pPr>
            <w:r>
              <w:rPr>
                <w:rFonts w:ascii="Times New Roman" w:cs="Times New Roman" w:eastAsia="Times New Roman" w:hAnsi="Times New Roman"/>
                <w:sz w:val="20"/>
                <w:szCs w:val="20"/>
                <w:color w:val="auto"/>
              </w:rPr>
              <w:t>PERELLA WEINBERG PARTNERS</w:t>
            </w:r>
          </w:p>
        </w:tc>
      </w:tr>
      <w:tr>
        <w:trPr>
          <w:trHeight w:val="603"/>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27, 2026</w:t>
            </w:r>
          </w:p>
        </w:tc>
        <w:tc>
          <w:tcPr>
            <w:tcW w:w="192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By:</w:t>
            </w:r>
          </w:p>
        </w:tc>
        <w:tc>
          <w:tcPr>
            <w:tcW w:w="4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ANDREW BEDNAR</w:t>
            </w:r>
          </w:p>
        </w:tc>
      </w:tr>
      <w:tr>
        <w:trPr>
          <w:trHeight w:val="264"/>
        </w:trPr>
        <w:tc>
          <w:tcPr>
            <w:tcW w:w="35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Andrew Bednar</w:t>
            </w:r>
          </w:p>
        </w:tc>
      </w:tr>
      <w:tr>
        <w:trPr>
          <w:trHeight w:val="283"/>
        </w:trPr>
        <w:tc>
          <w:tcPr>
            <w:tcW w:w="3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Chief Executive Officer</w:t>
            </w:r>
          </w:p>
        </w:tc>
      </w:tr>
      <w:tr>
        <w:trPr>
          <w:trHeight w:val="558"/>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27, 2026</w:t>
            </w:r>
          </w:p>
        </w:tc>
        <w:tc>
          <w:tcPr>
            <w:tcW w:w="192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By:</w:t>
            </w:r>
          </w:p>
        </w:tc>
        <w:tc>
          <w:tcPr>
            <w:tcW w:w="4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ALEXANDRA GOTTSCHALK</w:t>
            </w:r>
          </w:p>
        </w:tc>
      </w:tr>
      <w:tr>
        <w:trPr>
          <w:trHeight w:val="264"/>
        </w:trPr>
        <w:tc>
          <w:tcPr>
            <w:tcW w:w="35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Alexandra Gottschalk</w:t>
            </w:r>
          </w:p>
        </w:tc>
      </w:tr>
      <w:tr>
        <w:trPr>
          <w:trHeight w:val="283"/>
        </w:trPr>
        <w:tc>
          <w:tcPr>
            <w:tcW w:w="3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Chief Financial Officer</w:t>
            </w:r>
          </w:p>
        </w:tc>
      </w:tr>
    </w:tbl>
    <w:p>
      <w:pPr>
        <w:spacing w:after="0" w:line="200" w:lineRule="exact"/>
        <w:rPr>
          <w:sz w:val="20"/>
          <w:szCs w:val="20"/>
          <w:color w:val="auto"/>
        </w:rPr>
      </w:pP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900"/>
          </w:cols>
          <w:pgMar w:left="1180" w:top="1371" w:right="1160" w:bottom="169" w:gutter="0" w:footer="0" w:header="0"/>
          <w:type w:val="continuous"/>
        </w:sectPr>
      </w:pPr>
    </w:p>
    <w:bookmarkStart w:id="89" w:name="page90"/>
    <w:bookmarkEnd w:id="8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7"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KNOW BY ALL PERSONS BY THESE PRESENTS, that each person whose signature appears below constitutes and appoints Andrew Bednar and Alexandra Gottschalk, and each of them, his or her true and lawful attorney-in-fact and agents with full and several power of substitution, for him or her and his or her name, place and stead, in any and all capacities, to sign any and all amendments to this annual report,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w:t>
      </w:r>
    </w:p>
    <w:p>
      <w:pPr>
        <w:spacing w:after="0" w:line="186"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Pursuant to the requirements of the Securities Act of 1934, this report has been signed below by the following persons on behalf of the registrant and in the capacities indicated on February 27, 2026.</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60" w:type="dxa"/>
            <w:vAlign w:val="bottom"/>
          </w:tcPr>
          <w:p>
            <w:pPr>
              <w:spacing w:after="0"/>
              <w:rPr>
                <w:sz w:val="18"/>
                <w:szCs w:val="18"/>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r>
      <w:tr>
        <w:trPr>
          <w:trHeight w:val="490"/>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ANDREW BEDNAR</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Executive Officer</w:t>
            </w:r>
          </w:p>
        </w:tc>
      </w:tr>
      <w:tr>
        <w:trPr>
          <w:trHeight w:val="260"/>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Andrew Bednar</w:t>
            </w:r>
          </w:p>
        </w:tc>
        <w:tc>
          <w:tcPr>
            <w:tcW w:w="60" w:type="dxa"/>
            <w:vAlign w:val="bottom"/>
          </w:tcPr>
          <w:p>
            <w:pPr>
              <w:spacing w:after="0"/>
              <w:rPr>
                <w:sz w:val="22"/>
                <w:szCs w:val="22"/>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Executive Officer)</w:t>
            </w:r>
          </w:p>
        </w:tc>
      </w:tr>
      <w:tr>
        <w:trPr>
          <w:trHeight w:val="485"/>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ALEXANDRA GOTTSCHALK</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r>
      <w:tr>
        <w:trPr>
          <w:trHeight w:val="182"/>
        </w:trPr>
        <w:tc>
          <w:tcPr>
            <w:tcW w:w="48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Alexandra Gottschalk</w:t>
            </w:r>
          </w:p>
        </w:tc>
        <w:tc>
          <w:tcPr>
            <w:tcW w:w="60" w:type="dxa"/>
            <w:vAlign w:val="bottom"/>
          </w:tcPr>
          <w:p>
            <w:pPr>
              <w:spacing w:after="0"/>
              <w:rPr>
                <w:sz w:val="15"/>
                <w:szCs w:val="15"/>
                <w:color w:val="auto"/>
              </w:rPr>
            </w:pPr>
          </w:p>
        </w:tc>
        <w:tc>
          <w:tcPr>
            <w:tcW w:w="504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9"/>
              </w:rPr>
              <w:t>(Principal Financial Officer and Principal Accounting</w:t>
            </w:r>
          </w:p>
        </w:tc>
      </w:tr>
      <w:tr>
        <w:trPr>
          <w:trHeight w:val="260"/>
        </w:trPr>
        <w:tc>
          <w:tcPr>
            <w:tcW w:w="4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Officer)</w:t>
            </w:r>
          </w:p>
        </w:tc>
      </w:tr>
      <w:tr>
        <w:trPr>
          <w:trHeight w:val="543"/>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PETER A. WEINBERG</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Chairman</w:t>
            </w:r>
          </w:p>
        </w:tc>
      </w:tr>
      <w:tr>
        <w:trPr>
          <w:trHeight w:val="262"/>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Peter A. Weinberg</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513"/>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JOSEPH R. PERELLA</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Chairman Emeritus</w:t>
            </w:r>
          </w:p>
        </w:tc>
      </w:tr>
      <w:tr>
        <w:trPr>
          <w:trHeight w:val="260"/>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Joseph R. Perella</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485"/>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ROBERT K. STEEL</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Vice Chairman</w:t>
            </w:r>
          </w:p>
        </w:tc>
      </w:tr>
      <w:tr>
        <w:trPr>
          <w:trHeight w:val="260"/>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Robert K. Steel</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485"/>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DIETRICH BECKER</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r>
      <w:tr>
        <w:trPr>
          <w:trHeight w:val="260"/>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Dietrich Becker</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515"/>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EDWIN BENNETT</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Edwin Bennett</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543"/>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HOUDA DABBOUSSI</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Houda Dabboussi</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573"/>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ELIZABETH COGAN FASCITELLI</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Elizabeth Cogan Fascitelli</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543"/>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KRISTIN W. MUGFORD</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Kristin W. Mugford</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513"/>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JORMA OLLILA</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r>
      <w:tr>
        <w:trPr>
          <w:trHeight w:val="260"/>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Jorma Ollila</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485"/>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JANE C. SHERBURNE</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r>
      <w:tr>
        <w:trPr>
          <w:trHeight w:val="260"/>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Jane C. Sherburne</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900"/>
          </w:cols>
          <w:pgMar w:left="1180" w:top="1371" w:right="1160" w:bottom="169" w:gutter="0" w:footer="0" w:header="0"/>
        </w:sectPr>
      </w:pPr>
    </w:p>
    <w:p>
      <w:pPr>
        <w:spacing w:after="0" w:line="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900"/>
          </w:cols>
          <w:pgMar w:left="1180" w:top="1371" w:right="1160" w:bottom="169" w:gutter="0" w:footer="0" w:header="0"/>
          <w:type w:val="continuous"/>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3143250</wp:posOffset>
            </wp:positionH>
            <wp:positionV relativeFrom="page">
              <wp:posOffset>914400</wp:posOffset>
            </wp:positionV>
            <wp:extent cx="1704975" cy="8439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704975" cy="843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2960" w:type="dxa"/>
            <w:vAlign w:val="bottom"/>
          </w:tcPr>
          <w:p>
            <w:pPr>
              <w:spacing w:after="0"/>
              <w:rPr>
                <w:sz w:val="24"/>
                <w:szCs w:val="24"/>
                <w:color w:val="auto"/>
              </w:rPr>
            </w:pPr>
          </w:p>
        </w:tc>
        <w:tc>
          <w:tcPr>
            <w:tcW w:w="3160" w:type="dxa"/>
            <w:vAlign w:val="bottom"/>
          </w:tcPr>
          <w:p>
            <w:pPr>
              <w:ind w:left="560"/>
              <w:spacing w:after="0"/>
              <w:rPr>
                <w:sz w:val="20"/>
                <w:szCs w:val="20"/>
                <w:color w:val="auto"/>
              </w:rPr>
            </w:pPr>
            <w:r>
              <w:rPr>
                <w:rFonts w:ascii="Arial" w:cs="Arial" w:eastAsia="Arial" w:hAnsi="Arial"/>
                <w:sz w:val="22"/>
                <w:szCs w:val="22"/>
                <w:b w:val="1"/>
                <w:bCs w:val="1"/>
                <w:color w:val="503C64"/>
              </w:rPr>
              <w:t>Corporate Information</w:t>
            </w:r>
          </w:p>
        </w:tc>
        <w:tc>
          <w:tcPr>
            <w:tcW w:w="2980" w:type="dxa"/>
            <w:vAlign w:val="bottom"/>
          </w:tcPr>
          <w:p>
            <w:pPr>
              <w:spacing w:after="0"/>
              <w:rPr>
                <w:sz w:val="24"/>
                <w:szCs w:val="24"/>
                <w:color w:val="auto"/>
              </w:rPr>
            </w:pPr>
          </w:p>
        </w:tc>
      </w:tr>
      <w:tr>
        <w:trPr>
          <w:trHeight w:val="758"/>
        </w:trPr>
        <w:tc>
          <w:tcPr>
            <w:tcW w:w="2960" w:type="dxa"/>
            <w:vAlign w:val="bottom"/>
          </w:tcPr>
          <w:p>
            <w:pPr>
              <w:spacing w:after="0"/>
              <w:rPr>
                <w:sz w:val="20"/>
                <w:szCs w:val="20"/>
                <w:color w:val="auto"/>
              </w:rPr>
            </w:pPr>
            <w:r>
              <w:rPr>
                <w:rFonts w:ascii="Arial" w:cs="Arial" w:eastAsia="Arial" w:hAnsi="Arial"/>
                <w:sz w:val="22"/>
                <w:szCs w:val="22"/>
                <w:b w:val="1"/>
                <w:bCs w:val="1"/>
                <w:color w:val="503C64"/>
              </w:rPr>
              <w:t>Board of Directors</w:t>
            </w:r>
          </w:p>
        </w:tc>
        <w:tc>
          <w:tcPr>
            <w:tcW w:w="3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69"/>
        </w:trPr>
        <w:tc>
          <w:tcPr>
            <w:tcW w:w="2960" w:type="dxa"/>
            <w:vAlign w:val="bottom"/>
          </w:tcPr>
          <w:p>
            <w:pPr>
              <w:ind w:left="100"/>
              <w:spacing w:after="0"/>
              <w:rPr>
                <w:sz w:val="20"/>
                <w:szCs w:val="20"/>
                <w:color w:val="auto"/>
              </w:rPr>
            </w:pPr>
            <w:r>
              <w:rPr>
                <w:rFonts w:ascii="Arial" w:cs="Arial" w:eastAsia="Arial" w:hAnsi="Arial"/>
                <w:sz w:val="22"/>
                <w:szCs w:val="22"/>
                <w:b w:val="1"/>
                <w:bCs w:val="1"/>
                <w:color w:val="auto"/>
              </w:rPr>
              <w:t>Peter A. Weinberg</w:t>
            </w:r>
          </w:p>
        </w:tc>
        <w:tc>
          <w:tcPr>
            <w:tcW w:w="3160" w:type="dxa"/>
            <w:vAlign w:val="bottom"/>
          </w:tcPr>
          <w:p>
            <w:pPr>
              <w:ind w:left="260"/>
              <w:spacing w:after="0"/>
              <w:rPr>
                <w:sz w:val="20"/>
                <w:szCs w:val="20"/>
                <w:color w:val="auto"/>
              </w:rPr>
            </w:pPr>
            <w:r>
              <w:rPr>
                <w:rFonts w:ascii="Arial" w:cs="Arial" w:eastAsia="Arial" w:hAnsi="Arial"/>
                <w:sz w:val="22"/>
                <w:szCs w:val="22"/>
                <w:b w:val="1"/>
                <w:bCs w:val="1"/>
                <w:color w:val="auto"/>
              </w:rPr>
              <w:t>Joseph R. Perella</w:t>
            </w:r>
          </w:p>
        </w:tc>
        <w:tc>
          <w:tcPr>
            <w:tcW w:w="2980" w:type="dxa"/>
            <w:vAlign w:val="bottom"/>
          </w:tcPr>
          <w:p>
            <w:pPr>
              <w:ind w:left="220"/>
              <w:spacing w:after="0"/>
              <w:rPr>
                <w:sz w:val="20"/>
                <w:szCs w:val="20"/>
                <w:color w:val="auto"/>
              </w:rPr>
            </w:pPr>
            <w:r>
              <w:rPr>
                <w:rFonts w:ascii="Arial" w:cs="Arial" w:eastAsia="Arial" w:hAnsi="Arial"/>
                <w:sz w:val="22"/>
                <w:szCs w:val="22"/>
                <w:b w:val="1"/>
                <w:bCs w:val="1"/>
                <w:color w:val="auto"/>
              </w:rPr>
              <w:t>Robert K. Steel</w:t>
            </w:r>
          </w:p>
        </w:tc>
      </w:tr>
      <w:tr>
        <w:trPr>
          <w:trHeight w:val="252"/>
        </w:trPr>
        <w:tc>
          <w:tcPr>
            <w:tcW w:w="2960" w:type="dxa"/>
            <w:vAlign w:val="bottom"/>
          </w:tcPr>
          <w:p>
            <w:pPr>
              <w:ind w:left="100"/>
              <w:spacing w:after="0" w:line="252" w:lineRule="exact"/>
              <w:rPr>
                <w:sz w:val="20"/>
                <w:szCs w:val="20"/>
                <w:color w:val="auto"/>
              </w:rPr>
            </w:pPr>
            <w:r>
              <w:rPr>
                <w:rFonts w:ascii="Arial" w:cs="Arial" w:eastAsia="Arial" w:hAnsi="Arial"/>
                <w:sz w:val="22"/>
                <w:szCs w:val="22"/>
                <w:color w:val="auto"/>
              </w:rPr>
              <w:t>Chairman and Founding</w:t>
            </w:r>
          </w:p>
        </w:tc>
        <w:tc>
          <w:tcPr>
            <w:tcW w:w="3160" w:type="dxa"/>
            <w:vAlign w:val="bottom"/>
          </w:tcPr>
          <w:p>
            <w:pPr>
              <w:ind w:left="260"/>
              <w:spacing w:after="0" w:line="252" w:lineRule="exact"/>
              <w:rPr>
                <w:sz w:val="20"/>
                <w:szCs w:val="20"/>
                <w:color w:val="auto"/>
              </w:rPr>
            </w:pPr>
            <w:r>
              <w:rPr>
                <w:rFonts w:ascii="Arial" w:cs="Arial" w:eastAsia="Arial" w:hAnsi="Arial"/>
                <w:sz w:val="22"/>
                <w:szCs w:val="22"/>
                <w:color w:val="auto"/>
              </w:rPr>
              <w:t>Chairman Emeritus and</w:t>
            </w:r>
          </w:p>
        </w:tc>
        <w:tc>
          <w:tcPr>
            <w:tcW w:w="2980" w:type="dxa"/>
            <w:vAlign w:val="bottom"/>
          </w:tcPr>
          <w:p>
            <w:pPr>
              <w:ind w:left="220"/>
              <w:spacing w:after="0" w:line="252" w:lineRule="exact"/>
              <w:rPr>
                <w:sz w:val="20"/>
                <w:szCs w:val="20"/>
                <w:color w:val="auto"/>
              </w:rPr>
            </w:pPr>
            <w:r>
              <w:rPr>
                <w:rFonts w:ascii="Arial" w:cs="Arial" w:eastAsia="Arial" w:hAnsi="Arial"/>
                <w:sz w:val="22"/>
                <w:szCs w:val="22"/>
                <w:color w:val="auto"/>
              </w:rPr>
              <w:t>Vice Chairman and Partner,</w:t>
            </w:r>
          </w:p>
        </w:tc>
      </w:tr>
      <w:tr>
        <w:trPr>
          <w:trHeight w:val="254"/>
        </w:trPr>
        <w:tc>
          <w:tcPr>
            <w:tcW w:w="2960" w:type="dxa"/>
            <w:vAlign w:val="bottom"/>
          </w:tcPr>
          <w:p>
            <w:pPr>
              <w:ind w:left="100"/>
              <w:spacing w:after="0"/>
              <w:rPr>
                <w:sz w:val="20"/>
                <w:szCs w:val="20"/>
                <w:color w:val="auto"/>
              </w:rPr>
            </w:pPr>
            <w:r>
              <w:rPr>
                <w:rFonts w:ascii="Arial" w:cs="Arial" w:eastAsia="Arial" w:hAnsi="Arial"/>
                <w:sz w:val="22"/>
                <w:szCs w:val="22"/>
                <w:color w:val="auto"/>
              </w:rPr>
              <w:t>Partner,</w:t>
            </w:r>
          </w:p>
        </w:tc>
        <w:tc>
          <w:tcPr>
            <w:tcW w:w="3160" w:type="dxa"/>
            <w:vAlign w:val="bottom"/>
          </w:tcPr>
          <w:p>
            <w:pPr>
              <w:ind w:left="260"/>
              <w:spacing w:after="0"/>
              <w:rPr>
                <w:sz w:val="20"/>
                <w:szCs w:val="20"/>
                <w:color w:val="auto"/>
              </w:rPr>
            </w:pPr>
            <w:r>
              <w:rPr>
                <w:rFonts w:ascii="Arial" w:cs="Arial" w:eastAsia="Arial" w:hAnsi="Arial"/>
                <w:sz w:val="22"/>
                <w:szCs w:val="22"/>
                <w:color w:val="auto"/>
              </w:rPr>
              <w:t>Founding Partner,</w:t>
            </w:r>
          </w:p>
        </w:tc>
        <w:tc>
          <w:tcPr>
            <w:tcW w:w="2980" w:type="dxa"/>
            <w:vAlign w:val="bottom"/>
          </w:tcPr>
          <w:p>
            <w:pPr>
              <w:ind w:left="220"/>
              <w:spacing w:after="0"/>
              <w:rPr>
                <w:sz w:val="20"/>
                <w:szCs w:val="20"/>
                <w:color w:val="auto"/>
              </w:rPr>
            </w:pPr>
            <w:r>
              <w:rPr>
                <w:rFonts w:ascii="Arial" w:cs="Arial" w:eastAsia="Arial" w:hAnsi="Arial"/>
                <w:sz w:val="22"/>
                <w:szCs w:val="22"/>
                <w:color w:val="auto"/>
              </w:rPr>
              <w:t>Perella Weinberg Partners</w:t>
            </w:r>
          </w:p>
        </w:tc>
      </w:tr>
      <w:tr>
        <w:trPr>
          <w:trHeight w:val="300"/>
        </w:trPr>
        <w:tc>
          <w:tcPr>
            <w:tcW w:w="2960" w:type="dxa"/>
            <w:vAlign w:val="bottom"/>
          </w:tcPr>
          <w:p>
            <w:pPr>
              <w:ind w:left="100"/>
              <w:spacing w:after="0"/>
              <w:rPr>
                <w:sz w:val="20"/>
                <w:szCs w:val="20"/>
                <w:color w:val="auto"/>
              </w:rPr>
            </w:pPr>
            <w:r>
              <w:rPr>
                <w:rFonts w:ascii="Arial" w:cs="Arial" w:eastAsia="Arial" w:hAnsi="Arial"/>
                <w:sz w:val="22"/>
                <w:szCs w:val="22"/>
                <w:color w:val="auto"/>
              </w:rPr>
              <w:t>Perella Weinberg Partners</w:t>
            </w:r>
          </w:p>
        </w:tc>
        <w:tc>
          <w:tcPr>
            <w:tcW w:w="3160" w:type="dxa"/>
            <w:vAlign w:val="bottom"/>
          </w:tcPr>
          <w:p>
            <w:pPr>
              <w:ind w:left="260"/>
              <w:spacing w:after="0"/>
              <w:rPr>
                <w:sz w:val="20"/>
                <w:szCs w:val="20"/>
                <w:color w:val="auto"/>
              </w:rPr>
            </w:pPr>
            <w:r>
              <w:rPr>
                <w:rFonts w:ascii="Arial" w:cs="Arial" w:eastAsia="Arial" w:hAnsi="Arial"/>
                <w:sz w:val="22"/>
                <w:szCs w:val="22"/>
                <w:color w:val="auto"/>
              </w:rPr>
              <w:t>Perella Weinberg Partners</w:t>
            </w:r>
          </w:p>
        </w:tc>
        <w:tc>
          <w:tcPr>
            <w:tcW w:w="2980" w:type="dxa"/>
            <w:vAlign w:val="bottom"/>
          </w:tcPr>
          <w:p>
            <w:pPr>
              <w:spacing w:after="0"/>
              <w:rPr>
                <w:sz w:val="24"/>
                <w:szCs w:val="24"/>
                <w:color w:val="auto"/>
              </w:rPr>
            </w:pPr>
          </w:p>
        </w:tc>
      </w:tr>
      <w:tr>
        <w:trPr>
          <w:trHeight w:val="459"/>
        </w:trPr>
        <w:tc>
          <w:tcPr>
            <w:tcW w:w="2960" w:type="dxa"/>
            <w:vAlign w:val="bottom"/>
          </w:tcPr>
          <w:p>
            <w:pPr>
              <w:ind w:left="100"/>
              <w:spacing w:after="0"/>
              <w:rPr>
                <w:sz w:val="20"/>
                <w:szCs w:val="20"/>
                <w:color w:val="auto"/>
              </w:rPr>
            </w:pPr>
            <w:r>
              <w:rPr>
                <w:rFonts w:ascii="Arial" w:cs="Arial" w:eastAsia="Arial" w:hAnsi="Arial"/>
                <w:sz w:val="22"/>
                <w:szCs w:val="22"/>
                <w:b w:val="1"/>
                <w:bCs w:val="1"/>
                <w:color w:val="auto"/>
              </w:rPr>
              <w:t>Dietrich Becker</w:t>
            </w:r>
          </w:p>
        </w:tc>
        <w:tc>
          <w:tcPr>
            <w:tcW w:w="3160" w:type="dxa"/>
            <w:vAlign w:val="bottom"/>
          </w:tcPr>
          <w:p>
            <w:pPr>
              <w:ind w:left="260"/>
              <w:spacing w:after="0"/>
              <w:rPr>
                <w:sz w:val="20"/>
                <w:szCs w:val="20"/>
                <w:color w:val="auto"/>
              </w:rPr>
            </w:pPr>
            <w:r>
              <w:rPr>
                <w:rFonts w:ascii="Arial" w:cs="Arial" w:eastAsia="Arial" w:hAnsi="Arial"/>
                <w:sz w:val="22"/>
                <w:szCs w:val="22"/>
                <w:b w:val="1"/>
                <w:bCs w:val="1"/>
                <w:color w:val="auto"/>
              </w:rPr>
              <w:t>Andrew Bednar</w:t>
            </w:r>
          </w:p>
        </w:tc>
        <w:tc>
          <w:tcPr>
            <w:tcW w:w="2980" w:type="dxa"/>
            <w:vAlign w:val="bottom"/>
          </w:tcPr>
          <w:p>
            <w:pPr>
              <w:ind w:left="220"/>
              <w:spacing w:after="0"/>
              <w:rPr>
                <w:sz w:val="20"/>
                <w:szCs w:val="20"/>
                <w:color w:val="auto"/>
              </w:rPr>
            </w:pPr>
            <w:r>
              <w:rPr>
                <w:rFonts w:ascii="Arial" w:cs="Arial" w:eastAsia="Arial" w:hAnsi="Arial"/>
                <w:sz w:val="22"/>
                <w:szCs w:val="22"/>
                <w:b w:val="1"/>
                <w:bCs w:val="1"/>
                <w:color w:val="auto"/>
              </w:rPr>
              <w:t>Jorma Ollila</w:t>
            </w:r>
          </w:p>
        </w:tc>
      </w:tr>
      <w:tr>
        <w:trPr>
          <w:trHeight w:val="252"/>
        </w:trPr>
        <w:tc>
          <w:tcPr>
            <w:tcW w:w="2960" w:type="dxa"/>
            <w:vAlign w:val="bottom"/>
          </w:tcPr>
          <w:p>
            <w:pPr>
              <w:ind w:left="100"/>
              <w:spacing w:after="0" w:line="252" w:lineRule="exact"/>
              <w:rPr>
                <w:sz w:val="20"/>
                <w:szCs w:val="20"/>
                <w:color w:val="auto"/>
              </w:rPr>
            </w:pPr>
            <w:r>
              <w:rPr>
                <w:rFonts w:ascii="Arial" w:cs="Arial" w:eastAsia="Arial" w:hAnsi="Arial"/>
                <w:sz w:val="22"/>
                <w:szCs w:val="22"/>
                <w:color w:val="auto"/>
              </w:rPr>
              <w:t>President and Founding</w:t>
            </w:r>
          </w:p>
        </w:tc>
        <w:tc>
          <w:tcPr>
            <w:tcW w:w="3160" w:type="dxa"/>
            <w:vAlign w:val="bottom"/>
          </w:tcPr>
          <w:p>
            <w:pPr>
              <w:ind w:left="260"/>
              <w:spacing w:after="0" w:line="252" w:lineRule="exact"/>
              <w:rPr>
                <w:sz w:val="20"/>
                <w:szCs w:val="20"/>
                <w:color w:val="auto"/>
              </w:rPr>
            </w:pPr>
            <w:r>
              <w:rPr>
                <w:rFonts w:ascii="Arial" w:cs="Arial" w:eastAsia="Arial" w:hAnsi="Arial"/>
                <w:sz w:val="22"/>
                <w:szCs w:val="22"/>
                <w:color w:val="auto"/>
              </w:rPr>
              <w:t>Chief Executive Officer and</w:t>
            </w:r>
          </w:p>
        </w:tc>
        <w:tc>
          <w:tcPr>
            <w:tcW w:w="2980" w:type="dxa"/>
            <w:vAlign w:val="bottom"/>
          </w:tcPr>
          <w:p>
            <w:pPr>
              <w:ind w:left="220"/>
              <w:spacing w:after="0" w:line="252" w:lineRule="exact"/>
              <w:rPr>
                <w:sz w:val="20"/>
                <w:szCs w:val="20"/>
                <w:color w:val="auto"/>
              </w:rPr>
            </w:pPr>
            <w:r>
              <w:rPr>
                <w:rFonts w:ascii="Arial" w:cs="Arial" w:eastAsia="Arial" w:hAnsi="Arial"/>
                <w:sz w:val="22"/>
                <w:szCs w:val="22"/>
                <w:color w:val="auto"/>
                <w:w w:val="99"/>
              </w:rPr>
              <w:t>Former Chairman and CEO,</w:t>
            </w:r>
          </w:p>
        </w:tc>
      </w:tr>
      <w:tr>
        <w:trPr>
          <w:trHeight w:val="254"/>
        </w:trPr>
        <w:tc>
          <w:tcPr>
            <w:tcW w:w="2960" w:type="dxa"/>
            <w:vAlign w:val="bottom"/>
          </w:tcPr>
          <w:p>
            <w:pPr>
              <w:ind w:left="100"/>
              <w:spacing w:after="0"/>
              <w:rPr>
                <w:sz w:val="20"/>
                <w:szCs w:val="20"/>
                <w:color w:val="auto"/>
              </w:rPr>
            </w:pPr>
            <w:r>
              <w:rPr>
                <w:rFonts w:ascii="Arial" w:cs="Arial" w:eastAsia="Arial" w:hAnsi="Arial"/>
                <w:sz w:val="22"/>
                <w:szCs w:val="22"/>
                <w:color w:val="auto"/>
              </w:rPr>
              <w:t>Partner,</w:t>
            </w:r>
          </w:p>
        </w:tc>
        <w:tc>
          <w:tcPr>
            <w:tcW w:w="3160" w:type="dxa"/>
            <w:vAlign w:val="bottom"/>
          </w:tcPr>
          <w:p>
            <w:pPr>
              <w:ind w:left="260"/>
              <w:spacing w:after="0"/>
              <w:rPr>
                <w:sz w:val="20"/>
                <w:szCs w:val="20"/>
                <w:color w:val="auto"/>
              </w:rPr>
            </w:pPr>
            <w:r>
              <w:rPr>
                <w:rFonts w:ascii="Arial" w:cs="Arial" w:eastAsia="Arial" w:hAnsi="Arial"/>
                <w:sz w:val="22"/>
                <w:szCs w:val="22"/>
                <w:color w:val="auto"/>
              </w:rPr>
              <w:t>Founding Partner,</w:t>
            </w:r>
          </w:p>
        </w:tc>
        <w:tc>
          <w:tcPr>
            <w:tcW w:w="2980" w:type="dxa"/>
            <w:vAlign w:val="bottom"/>
          </w:tcPr>
          <w:p>
            <w:pPr>
              <w:ind w:left="220"/>
              <w:spacing w:after="0"/>
              <w:rPr>
                <w:sz w:val="20"/>
                <w:szCs w:val="20"/>
                <w:color w:val="auto"/>
              </w:rPr>
            </w:pPr>
            <w:r>
              <w:rPr>
                <w:rFonts w:ascii="Arial" w:cs="Arial" w:eastAsia="Arial" w:hAnsi="Arial"/>
                <w:sz w:val="22"/>
                <w:szCs w:val="22"/>
                <w:color w:val="auto"/>
              </w:rPr>
              <w:t>Nokia</w:t>
            </w:r>
          </w:p>
        </w:tc>
      </w:tr>
      <w:tr>
        <w:trPr>
          <w:trHeight w:val="300"/>
        </w:trPr>
        <w:tc>
          <w:tcPr>
            <w:tcW w:w="2960" w:type="dxa"/>
            <w:vAlign w:val="bottom"/>
          </w:tcPr>
          <w:p>
            <w:pPr>
              <w:ind w:left="100"/>
              <w:spacing w:after="0"/>
              <w:rPr>
                <w:sz w:val="20"/>
                <w:szCs w:val="20"/>
                <w:color w:val="auto"/>
              </w:rPr>
            </w:pPr>
            <w:r>
              <w:rPr>
                <w:rFonts w:ascii="Arial" w:cs="Arial" w:eastAsia="Arial" w:hAnsi="Arial"/>
                <w:sz w:val="22"/>
                <w:szCs w:val="22"/>
                <w:color w:val="auto"/>
              </w:rPr>
              <w:t>Perella Weinberg Partners</w:t>
            </w:r>
          </w:p>
        </w:tc>
        <w:tc>
          <w:tcPr>
            <w:tcW w:w="3160" w:type="dxa"/>
            <w:vAlign w:val="bottom"/>
          </w:tcPr>
          <w:p>
            <w:pPr>
              <w:ind w:left="260"/>
              <w:spacing w:after="0"/>
              <w:rPr>
                <w:sz w:val="20"/>
                <w:szCs w:val="20"/>
                <w:color w:val="auto"/>
              </w:rPr>
            </w:pPr>
            <w:r>
              <w:rPr>
                <w:rFonts w:ascii="Arial" w:cs="Arial" w:eastAsia="Arial" w:hAnsi="Arial"/>
                <w:sz w:val="22"/>
                <w:szCs w:val="22"/>
                <w:color w:val="auto"/>
              </w:rPr>
              <w:t>Perella Weinberg Partners</w:t>
            </w:r>
          </w:p>
        </w:tc>
        <w:tc>
          <w:tcPr>
            <w:tcW w:w="2980" w:type="dxa"/>
            <w:vAlign w:val="bottom"/>
          </w:tcPr>
          <w:p>
            <w:pPr>
              <w:spacing w:after="0"/>
              <w:rPr>
                <w:sz w:val="24"/>
                <w:szCs w:val="24"/>
                <w:color w:val="auto"/>
              </w:rPr>
            </w:pPr>
          </w:p>
        </w:tc>
      </w:tr>
      <w:tr>
        <w:trPr>
          <w:trHeight w:val="455"/>
        </w:trPr>
        <w:tc>
          <w:tcPr>
            <w:tcW w:w="2960" w:type="dxa"/>
            <w:vAlign w:val="bottom"/>
          </w:tcPr>
          <w:p>
            <w:pPr>
              <w:ind w:left="100"/>
              <w:spacing w:after="0"/>
              <w:rPr>
                <w:sz w:val="20"/>
                <w:szCs w:val="20"/>
                <w:color w:val="auto"/>
              </w:rPr>
            </w:pPr>
            <w:r>
              <w:rPr>
                <w:rFonts w:ascii="Arial" w:cs="Arial" w:eastAsia="Arial" w:hAnsi="Arial"/>
                <w:sz w:val="22"/>
                <w:szCs w:val="22"/>
                <w:b w:val="1"/>
                <w:bCs w:val="1"/>
                <w:color w:val="auto"/>
              </w:rPr>
              <w:t>Jane C. Sherburne</w:t>
            </w:r>
          </w:p>
        </w:tc>
        <w:tc>
          <w:tcPr>
            <w:tcW w:w="3160" w:type="dxa"/>
            <w:vAlign w:val="bottom"/>
          </w:tcPr>
          <w:p>
            <w:pPr>
              <w:ind w:left="260"/>
              <w:spacing w:after="0"/>
              <w:rPr>
                <w:sz w:val="20"/>
                <w:szCs w:val="20"/>
                <w:color w:val="auto"/>
              </w:rPr>
            </w:pPr>
            <w:r>
              <w:rPr>
                <w:rFonts w:ascii="Arial" w:cs="Arial" w:eastAsia="Arial" w:hAnsi="Arial"/>
                <w:sz w:val="22"/>
                <w:szCs w:val="22"/>
                <w:b w:val="1"/>
                <w:bCs w:val="1"/>
                <w:color w:val="auto"/>
              </w:rPr>
              <w:t>Elizabeth (Beth) Cogan</w:t>
            </w:r>
          </w:p>
        </w:tc>
        <w:tc>
          <w:tcPr>
            <w:tcW w:w="2980" w:type="dxa"/>
            <w:vAlign w:val="bottom"/>
          </w:tcPr>
          <w:p>
            <w:pPr>
              <w:ind w:left="220"/>
              <w:spacing w:after="0"/>
              <w:rPr>
                <w:sz w:val="20"/>
                <w:szCs w:val="20"/>
                <w:color w:val="auto"/>
              </w:rPr>
            </w:pPr>
            <w:r>
              <w:rPr>
                <w:rFonts w:ascii="Arial" w:cs="Arial" w:eastAsia="Arial" w:hAnsi="Arial"/>
                <w:sz w:val="22"/>
                <w:szCs w:val="22"/>
                <w:b w:val="1"/>
                <w:bCs w:val="1"/>
                <w:color w:val="auto"/>
              </w:rPr>
              <w:t>Kristin W. Mugford</w:t>
            </w:r>
          </w:p>
        </w:tc>
      </w:tr>
      <w:tr>
        <w:trPr>
          <w:trHeight w:val="255"/>
        </w:trPr>
        <w:tc>
          <w:tcPr>
            <w:tcW w:w="2960" w:type="dxa"/>
            <w:vAlign w:val="bottom"/>
          </w:tcPr>
          <w:p>
            <w:pPr>
              <w:ind w:left="100"/>
              <w:spacing w:after="0"/>
              <w:rPr>
                <w:sz w:val="20"/>
                <w:szCs w:val="20"/>
                <w:color w:val="auto"/>
              </w:rPr>
            </w:pPr>
            <w:r>
              <w:rPr>
                <w:rFonts w:ascii="Arial" w:cs="Arial" w:eastAsia="Arial" w:hAnsi="Arial"/>
                <w:sz w:val="22"/>
                <w:szCs w:val="22"/>
                <w:color w:val="auto"/>
              </w:rPr>
              <w:t>Principal,</w:t>
            </w:r>
          </w:p>
        </w:tc>
        <w:tc>
          <w:tcPr>
            <w:tcW w:w="3160" w:type="dxa"/>
            <w:vAlign w:val="bottom"/>
          </w:tcPr>
          <w:p>
            <w:pPr>
              <w:ind w:left="260"/>
              <w:spacing w:after="0"/>
              <w:rPr>
                <w:sz w:val="20"/>
                <w:szCs w:val="20"/>
                <w:color w:val="auto"/>
              </w:rPr>
            </w:pPr>
            <w:r>
              <w:rPr>
                <w:rFonts w:ascii="Arial" w:cs="Arial" w:eastAsia="Arial" w:hAnsi="Arial"/>
                <w:sz w:val="22"/>
                <w:szCs w:val="22"/>
                <w:b w:val="1"/>
                <w:bCs w:val="1"/>
                <w:color w:val="auto"/>
              </w:rPr>
              <w:t>Fascitelli</w:t>
            </w:r>
          </w:p>
        </w:tc>
        <w:tc>
          <w:tcPr>
            <w:tcW w:w="2980" w:type="dxa"/>
            <w:vAlign w:val="bottom"/>
          </w:tcPr>
          <w:p>
            <w:pPr>
              <w:ind w:left="220"/>
              <w:spacing w:after="0"/>
              <w:rPr>
                <w:sz w:val="20"/>
                <w:szCs w:val="20"/>
                <w:color w:val="auto"/>
              </w:rPr>
            </w:pPr>
            <w:r>
              <w:rPr>
                <w:rFonts w:ascii="Arial" w:cs="Arial" w:eastAsia="Arial" w:hAnsi="Arial"/>
                <w:sz w:val="22"/>
                <w:szCs w:val="22"/>
                <w:color w:val="auto"/>
              </w:rPr>
              <w:t>Melvin Tukman Senior</w:t>
            </w:r>
          </w:p>
        </w:tc>
      </w:tr>
      <w:tr>
        <w:trPr>
          <w:trHeight w:val="254"/>
        </w:trPr>
        <w:tc>
          <w:tcPr>
            <w:tcW w:w="2960" w:type="dxa"/>
            <w:vAlign w:val="bottom"/>
          </w:tcPr>
          <w:p>
            <w:pPr>
              <w:ind w:left="100"/>
              <w:spacing w:after="0"/>
              <w:rPr>
                <w:sz w:val="20"/>
                <w:szCs w:val="20"/>
                <w:color w:val="auto"/>
              </w:rPr>
            </w:pPr>
            <w:r>
              <w:rPr>
                <w:rFonts w:ascii="Arial" w:cs="Arial" w:eastAsia="Arial" w:hAnsi="Arial"/>
                <w:sz w:val="22"/>
                <w:szCs w:val="22"/>
                <w:color w:val="auto"/>
              </w:rPr>
              <w:t>Sherburne PLLC</w:t>
            </w:r>
          </w:p>
        </w:tc>
        <w:tc>
          <w:tcPr>
            <w:tcW w:w="3160" w:type="dxa"/>
            <w:vAlign w:val="bottom"/>
          </w:tcPr>
          <w:p>
            <w:pPr>
              <w:ind w:left="260"/>
              <w:spacing w:after="0"/>
              <w:rPr>
                <w:sz w:val="20"/>
                <w:szCs w:val="20"/>
                <w:color w:val="auto"/>
              </w:rPr>
            </w:pPr>
            <w:r>
              <w:rPr>
                <w:rFonts w:ascii="Arial" w:cs="Arial" w:eastAsia="Arial" w:hAnsi="Arial"/>
                <w:sz w:val="22"/>
                <w:szCs w:val="22"/>
                <w:color w:val="auto"/>
              </w:rPr>
              <w:t>Former Partner and</w:t>
            </w:r>
          </w:p>
        </w:tc>
        <w:tc>
          <w:tcPr>
            <w:tcW w:w="2980" w:type="dxa"/>
            <w:vAlign w:val="bottom"/>
          </w:tcPr>
          <w:p>
            <w:pPr>
              <w:ind w:left="220"/>
              <w:spacing w:after="0"/>
              <w:rPr>
                <w:sz w:val="20"/>
                <w:szCs w:val="20"/>
                <w:color w:val="auto"/>
              </w:rPr>
            </w:pPr>
            <w:r>
              <w:rPr>
                <w:rFonts w:ascii="Arial" w:cs="Arial" w:eastAsia="Arial" w:hAnsi="Arial"/>
                <w:sz w:val="22"/>
                <w:szCs w:val="22"/>
                <w:color w:val="auto"/>
              </w:rPr>
              <w:t>Lecturer of Business</w:t>
            </w:r>
          </w:p>
        </w:tc>
      </w:tr>
      <w:tr>
        <w:trPr>
          <w:trHeight w:val="252"/>
        </w:trPr>
        <w:tc>
          <w:tcPr>
            <w:tcW w:w="2960" w:type="dxa"/>
            <w:vAlign w:val="bottom"/>
          </w:tcPr>
          <w:p>
            <w:pPr>
              <w:spacing w:after="0"/>
              <w:rPr>
                <w:sz w:val="21"/>
                <w:szCs w:val="21"/>
                <w:color w:val="auto"/>
              </w:rPr>
            </w:pPr>
          </w:p>
        </w:tc>
        <w:tc>
          <w:tcPr>
            <w:tcW w:w="3160" w:type="dxa"/>
            <w:vAlign w:val="bottom"/>
          </w:tcPr>
          <w:p>
            <w:pPr>
              <w:ind w:left="260"/>
              <w:spacing w:after="0" w:line="252" w:lineRule="exact"/>
              <w:rPr>
                <w:sz w:val="20"/>
                <w:szCs w:val="20"/>
                <w:color w:val="auto"/>
              </w:rPr>
            </w:pPr>
            <w:r>
              <w:rPr>
                <w:rFonts w:ascii="Arial" w:cs="Arial" w:eastAsia="Arial" w:hAnsi="Arial"/>
                <w:sz w:val="22"/>
                <w:szCs w:val="22"/>
                <w:color w:val="auto"/>
              </w:rPr>
              <w:t>Managing Director,</w:t>
            </w:r>
          </w:p>
        </w:tc>
        <w:tc>
          <w:tcPr>
            <w:tcW w:w="2980" w:type="dxa"/>
            <w:vAlign w:val="bottom"/>
          </w:tcPr>
          <w:p>
            <w:pPr>
              <w:ind w:left="220"/>
              <w:spacing w:after="0" w:line="252" w:lineRule="exact"/>
              <w:rPr>
                <w:sz w:val="20"/>
                <w:szCs w:val="20"/>
                <w:color w:val="auto"/>
              </w:rPr>
            </w:pPr>
            <w:r>
              <w:rPr>
                <w:rFonts w:ascii="Arial" w:cs="Arial" w:eastAsia="Arial" w:hAnsi="Arial"/>
                <w:sz w:val="22"/>
                <w:szCs w:val="22"/>
                <w:color w:val="auto"/>
              </w:rPr>
              <w:t>Administration,</w:t>
            </w:r>
          </w:p>
        </w:tc>
      </w:tr>
      <w:tr>
        <w:trPr>
          <w:trHeight w:val="300"/>
        </w:trPr>
        <w:tc>
          <w:tcPr>
            <w:tcW w:w="2960" w:type="dxa"/>
            <w:vAlign w:val="bottom"/>
          </w:tcPr>
          <w:p>
            <w:pPr>
              <w:spacing w:after="0"/>
              <w:rPr>
                <w:sz w:val="24"/>
                <w:szCs w:val="24"/>
                <w:color w:val="auto"/>
              </w:rPr>
            </w:pPr>
          </w:p>
        </w:tc>
        <w:tc>
          <w:tcPr>
            <w:tcW w:w="3160" w:type="dxa"/>
            <w:vAlign w:val="bottom"/>
          </w:tcPr>
          <w:p>
            <w:pPr>
              <w:ind w:left="260"/>
              <w:spacing w:after="0"/>
              <w:rPr>
                <w:sz w:val="20"/>
                <w:szCs w:val="20"/>
                <w:color w:val="auto"/>
              </w:rPr>
            </w:pPr>
            <w:r>
              <w:rPr>
                <w:rFonts w:ascii="Arial" w:cs="Arial" w:eastAsia="Arial" w:hAnsi="Arial"/>
                <w:sz w:val="22"/>
                <w:szCs w:val="22"/>
                <w:color w:val="auto"/>
              </w:rPr>
              <w:t>Goldman Sachs Group</w:t>
            </w:r>
          </w:p>
        </w:tc>
        <w:tc>
          <w:tcPr>
            <w:tcW w:w="2980" w:type="dxa"/>
            <w:vAlign w:val="bottom"/>
          </w:tcPr>
          <w:p>
            <w:pPr>
              <w:ind w:left="220"/>
              <w:spacing w:after="0"/>
              <w:rPr>
                <w:sz w:val="20"/>
                <w:szCs w:val="20"/>
                <w:color w:val="auto"/>
              </w:rPr>
            </w:pPr>
            <w:r>
              <w:rPr>
                <w:rFonts w:ascii="Arial" w:cs="Arial" w:eastAsia="Arial" w:hAnsi="Arial"/>
                <w:sz w:val="22"/>
                <w:szCs w:val="22"/>
                <w:color w:val="auto"/>
              </w:rPr>
              <w:t>Harvard Business School</w:t>
            </w:r>
          </w:p>
        </w:tc>
      </w:tr>
      <w:tr>
        <w:trPr>
          <w:trHeight w:val="459"/>
        </w:trPr>
        <w:tc>
          <w:tcPr>
            <w:tcW w:w="2960" w:type="dxa"/>
            <w:vAlign w:val="bottom"/>
          </w:tcPr>
          <w:p>
            <w:pPr>
              <w:ind w:left="100"/>
              <w:spacing w:after="0"/>
              <w:rPr>
                <w:sz w:val="20"/>
                <w:szCs w:val="20"/>
                <w:color w:val="auto"/>
              </w:rPr>
            </w:pPr>
            <w:r>
              <w:rPr>
                <w:rFonts w:ascii="Arial" w:cs="Arial" w:eastAsia="Arial" w:hAnsi="Arial"/>
                <w:sz w:val="22"/>
                <w:szCs w:val="22"/>
                <w:b w:val="1"/>
                <w:bCs w:val="1"/>
                <w:color w:val="auto"/>
              </w:rPr>
              <w:t>R. Edwin Bennett</w:t>
            </w:r>
          </w:p>
        </w:tc>
        <w:tc>
          <w:tcPr>
            <w:tcW w:w="3160" w:type="dxa"/>
            <w:vAlign w:val="bottom"/>
          </w:tcPr>
          <w:p>
            <w:pPr>
              <w:ind w:left="260"/>
              <w:spacing w:after="0"/>
              <w:rPr>
                <w:sz w:val="20"/>
                <w:szCs w:val="20"/>
                <w:color w:val="auto"/>
              </w:rPr>
            </w:pPr>
            <w:r>
              <w:rPr>
                <w:rFonts w:ascii="Arial" w:cs="Arial" w:eastAsia="Arial" w:hAnsi="Arial"/>
                <w:sz w:val="22"/>
                <w:szCs w:val="22"/>
                <w:b w:val="1"/>
                <w:bCs w:val="1"/>
                <w:color w:val="auto"/>
              </w:rPr>
              <w:t>Houda Dabboussi</w:t>
            </w:r>
          </w:p>
        </w:tc>
        <w:tc>
          <w:tcPr>
            <w:tcW w:w="2980" w:type="dxa"/>
            <w:vAlign w:val="bottom"/>
          </w:tcPr>
          <w:p>
            <w:pPr>
              <w:spacing w:after="0"/>
              <w:rPr>
                <w:sz w:val="24"/>
                <w:szCs w:val="24"/>
                <w:color w:val="auto"/>
              </w:rPr>
            </w:pPr>
          </w:p>
        </w:tc>
      </w:tr>
      <w:tr>
        <w:trPr>
          <w:trHeight w:val="254"/>
        </w:trPr>
        <w:tc>
          <w:tcPr>
            <w:tcW w:w="2960" w:type="dxa"/>
            <w:vAlign w:val="bottom"/>
          </w:tcPr>
          <w:p>
            <w:pPr>
              <w:ind w:left="100"/>
              <w:spacing w:after="0"/>
              <w:rPr>
                <w:sz w:val="20"/>
                <w:szCs w:val="20"/>
                <w:color w:val="auto"/>
              </w:rPr>
            </w:pPr>
            <w:r>
              <w:rPr>
                <w:rFonts w:ascii="Arial" w:cs="Arial" w:eastAsia="Arial" w:hAnsi="Arial"/>
                <w:sz w:val="22"/>
                <w:szCs w:val="22"/>
                <w:color w:val="auto"/>
              </w:rPr>
              <w:t>Former Chief Operating</w:t>
            </w:r>
          </w:p>
        </w:tc>
        <w:tc>
          <w:tcPr>
            <w:tcW w:w="3160" w:type="dxa"/>
            <w:vAlign w:val="bottom"/>
          </w:tcPr>
          <w:p>
            <w:pPr>
              <w:ind w:left="260"/>
              <w:spacing w:after="0"/>
              <w:rPr>
                <w:sz w:val="20"/>
                <w:szCs w:val="20"/>
                <w:color w:val="auto"/>
              </w:rPr>
            </w:pPr>
            <w:r>
              <w:rPr>
                <w:rFonts w:ascii="Arial" w:cs="Arial" w:eastAsia="Arial" w:hAnsi="Arial"/>
                <w:sz w:val="22"/>
                <w:szCs w:val="22"/>
                <w:color w:val="auto"/>
              </w:rPr>
              <w:t>President,</w:t>
            </w:r>
          </w:p>
        </w:tc>
        <w:tc>
          <w:tcPr>
            <w:tcW w:w="2980" w:type="dxa"/>
            <w:vAlign w:val="bottom"/>
          </w:tcPr>
          <w:p>
            <w:pPr>
              <w:spacing w:after="0"/>
              <w:rPr>
                <w:sz w:val="22"/>
                <w:szCs w:val="22"/>
                <w:color w:val="auto"/>
              </w:rPr>
            </w:pPr>
          </w:p>
        </w:tc>
      </w:tr>
      <w:tr>
        <w:trPr>
          <w:trHeight w:val="252"/>
        </w:trPr>
        <w:tc>
          <w:tcPr>
            <w:tcW w:w="2960" w:type="dxa"/>
            <w:vAlign w:val="bottom"/>
          </w:tcPr>
          <w:p>
            <w:pPr>
              <w:ind w:left="100"/>
              <w:spacing w:after="0"/>
              <w:rPr>
                <w:sz w:val="20"/>
                <w:szCs w:val="20"/>
                <w:color w:val="auto"/>
              </w:rPr>
            </w:pPr>
            <w:r>
              <w:rPr>
                <w:rFonts w:ascii="Arial" w:cs="Arial" w:eastAsia="Arial" w:hAnsi="Arial"/>
                <w:sz w:val="22"/>
                <w:szCs w:val="22"/>
                <w:color w:val="auto"/>
              </w:rPr>
              <w:t>Officer,</w:t>
            </w:r>
          </w:p>
        </w:tc>
        <w:tc>
          <w:tcPr>
            <w:tcW w:w="3160" w:type="dxa"/>
            <w:vAlign w:val="bottom"/>
          </w:tcPr>
          <w:p>
            <w:pPr>
              <w:ind w:left="260"/>
              <w:spacing w:after="0"/>
              <w:rPr>
                <w:sz w:val="20"/>
                <w:szCs w:val="20"/>
                <w:color w:val="auto"/>
              </w:rPr>
            </w:pPr>
            <w:r>
              <w:rPr>
                <w:rFonts w:ascii="Arial" w:cs="Arial" w:eastAsia="Arial" w:hAnsi="Arial"/>
                <w:sz w:val="22"/>
                <w:szCs w:val="22"/>
                <w:color w:val="auto"/>
              </w:rPr>
              <w:t>Shell Marine</w:t>
            </w:r>
          </w:p>
        </w:tc>
        <w:tc>
          <w:tcPr>
            <w:tcW w:w="2980" w:type="dxa"/>
            <w:vAlign w:val="bottom"/>
          </w:tcPr>
          <w:p>
            <w:pPr>
              <w:spacing w:after="0"/>
              <w:rPr>
                <w:sz w:val="21"/>
                <w:szCs w:val="21"/>
                <w:color w:val="auto"/>
              </w:rPr>
            </w:pPr>
          </w:p>
        </w:tc>
      </w:tr>
      <w:tr>
        <w:trPr>
          <w:trHeight w:val="300"/>
        </w:trPr>
        <w:tc>
          <w:tcPr>
            <w:tcW w:w="2960" w:type="dxa"/>
            <w:vAlign w:val="bottom"/>
          </w:tcPr>
          <w:p>
            <w:pPr>
              <w:ind w:left="100"/>
              <w:spacing w:after="0"/>
              <w:rPr>
                <w:sz w:val="20"/>
                <w:szCs w:val="20"/>
                <w:color w:val="auto"/>
              </w:rPr>
            </w:pPr>
            <w:r>
              <w:rPr>
                <w:rFonts w:ascii="Arial" w:cs="Arial" w:eastAsia="Arial" w:hAnsi="Arial"/>
                <w:sz w:val="22"/>
                <w:szCs w:val="22"/>
                <w:color w:val="auto"/>
              </w:rPr>
              <w:t>Ernst &amp; Young</w:t>
            </w:r>
          </w:p>
        </w:tc>
        <w:tc>
          <w:tcPr>
            <w:tcW w:w="3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794"/>
        </w:trPr>
        <w:tc>
          <w:tcPr>
            <w:tcW w:w="2960" w:type="dxa"/>
            <w:vAlign w:val="bottom"/>
          </w:tcPr>
          <w:p>
            <w:pPr>
              <w:spacing w:after="0"/>
              <w:rPr>
                <w:sz w:val="20"/>
                <w:szCs w:val="20"/>
                <w:color w:val="auto"/>
              </w:rPr>
            </w:pPr>
            <w:r>
              <w:rPr>
                <w:rFonts w:ascii="Arial" w:cs="Arial" w:eastAsia="Arial" w:hAnsi="Arial"/>
                <w:sz w:val="22"/>
                <w:szCs w:val="22"/>
                <w:b w:val="1"/>
                <w:bCs w:val="1"/>
                <w:color w:val="503C64"/>
              </w:rPr>
              <w:t>Key Management</w:t>
            </w:r>
          </w:p>
        </w:tc>
        <w:tc>
          <w:tcPr>
            <w:tcW w:w="3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47"/>
        </w:trPr>
        <w:tc>
          <w:tcPr>
            <w:tcW w:w="2960" w:type="dxa"/>
            <w:vAlign w:val="bottom"/>
          </w:tcPr>
          <w:p>
            <w:pPr>
              <w:ind w:left="100"/>
              <w:spacing w:after="0"/>
              <w:rPr>
                <w:sz w:val="20"/>
                <w:szCs w:val="20"/>
                <w:color w:val="auto"/>
              </w:rPr>
            </w:pPr>
            <w:r>
              <w:rPr>
                <w:rFonts w:ascii="Arial" w:cs="Arial" w:eastAsia="Arial" w:hAnsi="Arial"/>
                <w:sz w:val="22"/>
                <w:szCs w:val="22"/>
                <w:b w:val="1"/>
                <w:bCs w:val="1"/>
                <w:color w:val="auto"/>
              </w:rPr>
              <w:t>Peter A. Weinberg</w:t>
            </w:r>
          </w:p>
        </w:tc>
        <w:tc>
          <w:tcPr>
            <w:tcW w:w="3160" w:type="dxa"/>
            <w:vAlign w:val="bottom"/>
          </w:tcPr>
          <w:p>
            <w:pPr>
              <w:ind w:left="260"/>
              <w:spacing w:after="0"/>
              <w:rPr>
                <w:sz w:val="20"/>
                <w:szCs w:val="20"/>
                <w:color w:val="auto"/>
              </w:rPr>
            </w:pPr>
            <w:r>
              <w:rPr>
                <w:rFonts w:ascii="Arial" w:cs="Arial" w:eastAsia="Arial" w:hAnsi="Arial"/>
                <w:sz w:val="22"/>
                <w:szCs w:val="22"/>
                <w:b w:val="1"/>
                <w:bCs w:val="1"/>
                <w:color w:val="auto"/>
              </w:rPr>
              <w:t>Andrew Bednar</w:t>
            </w:r>
          </w:p>
        </w:tc>
        <w:tc>
          <w:tcPr>
            <w:tcW w:w="2980" w:type="dxa"/>
            <w:vAlign w:val="bottom"/>
          </w:tcPr>
          <w:p>
            <w:pPr>
              <w:ind w:left="220"/>
              <w:spacing w:after="0"/>
              <w:rPr>
                <w:sz w:val="20"/>
                <w:szCs w:val="20"/>
                <w:color w:val="auto"/>
              </w:rPr>
            </w:pPr>
            <w:r>
              <w:rPr>
                <w:rFonts w:ascii="Arial" w:cs="Arial" w:eastAsia="Arial" w:hAnsi="Arial"/>
                <w:sz w:val="22"/>
                <w:szCs w:val="22"/>
                <w:b w:val="1"/>
                <w:bCs w:val="1"/>
                <w:color w:val="auto"/>
              </w:rPr>
              <w:t>Dietrich Becker</w:t>
            </w:r>
          </w:p>
        </w:tc>
      </w:tr>
      <w:tr>
        <w:trPr>
          <w:trHeight w:val="254"/>
        </w:trPr>
        <w:tc>
          <w:tcPr>
            <w:tcW w:w="2960" w:type="dxa"/>
            <w:vAlign w:val="bottom"/>
          </w:tcPr>
          <w:p>
            <w:pPr>
              <w:ind w:left="100"/>
              <w:spacing w:after="0"/>
              <w:rPr>
                <w:sz w:val="20"/>
                <w:szCs w:val="20"/>
                <w:color w:val="auto"/>
              </w:rPr>
            </w:pPr>
            <w:r>
              <w:rPr>
                <w:rFonts w:ascii="Arial" w:cs="Arial" w:eastAsia="Arial" w:hAnsi="Arial"/>
                <w:sz w:val="22"/>
                <w:szCs w:val="22"/>
                <w:color w:val="auto"/>
              </w:rPr>
              <w:t>Chairman and Founding</w:t>
            </w:r>
          </w:p>
        </w:tc>
        <w:tc>
          <w:tcPr>
            <w:tcW w:w="3160" w:type="dxa"/>
            <w:vAlign w:val="bottom"/>
          </w:tcPr>
          <w:p>
            <w:pPr>
              <w:ind w:left="260"/>
              <w:spacing w:after="0"/>
              <w:rPr>
                <w:sz w:val="20"/>
                <w:szCs w:val="20"/>
                <w:color w:val="auto"/>
              </w:rPr>
            </w:pPr>
            <w:r>
              <w:rPr>
                <w:rFonts w:ascii="Arial" w:cs="Arial" w:eastAsia="Arial" w:hAnsi="Arial"/>
                <w:sz w:val="22"/>
                <w:szCs w:val="22"/>
                <w:color w:val="auto"/>
              </w:rPr>
              <w:t>Chief Executive Officer and</w:t>
            </w:r>
          </w:p>
        </w:tc>
        <w:tc>
          <w:tcPr>
            <w:tcW w:w="2980" w:type="dxa"/>
            <w:vAlign w:val="bottom"/>
          </w:tcPr>
          <w:p>
            <w:pPr>
              <w:ind w:left="220"/>
              <w:spacing w:after="0"/>
              <w:rPr>
                <w:sz w:val="20"/>
                <w:szCs w:val="20"/>
                <w:color w:val="auto"/>
              </w:rPr>
            </w:pPr>
            <w:r>
              <w:rPr>
                <w:rFonts w:ascii="Arial" w:cs="Arial" w:eastAsia="Arial" w:hAnsi="Arial"/>
                <w:sz w:val="22"/>
                <w:szCs w:val="22"/>
                <w:color w:val="auto"/>
              </w:rPr>
              <w:t>President and Founding</w:t>
            </w:r>
          </w:p>
        </w:tc>
      </w:tr>
      <w:tr>
        <w:trPr>
          <w:trHeight w:val="300"/>
        </w:trPr>
        <w:tc>
          <w:tcPr>
            <w:tcW w:w="2960" w:type="dxa"/>
            <w:vAlign w:val="bottom"/>
          </w:tcPr>
          <w:p>
            <w:pPr>
              <w:ind w:left="100"/>
              <w:spacing w:after="0"/>
              <w:rPr>
                <w:sz w:val="20"/>
                <w:szCs w:val="20"/>
                <w:color w:val="auto"/>
              </w:rPr>
            </w:pPr>
            <w:r>
              <w:rPr>
                <w:rFonts w:ascii="Arial" w:cs="Arial" w:eastAsia="Arial" w:hAnsi="Arial"/>
                <w:sz w:val="22"/>
                <w:szCs w:val="22"/>
                <w:color w:val="auto"/>
              </w:rPr>
              <w:t>Partner</w:t>
            </w:r>
          </w:p>
        </w:tc>
        <w:tc>
          <w:tcPr>
            <w:tcW w:w="3160" w:type="dxa"/>
            <w:vAlign w:val="bottom"/>
          </w:tcPr>
          <w:p>
            <w:pPr>
              <w:ind w:left="260"/>
              <w:spacing w:after="0"/>
              <w:rPr>
                <w:sz w:val="20"/>
                <w:szCs w:val="20"/>
                <w:color w:val="auto"/>
              </w:rPr>
            </w:pPr>
            <w:r>
              <w:rPr>
                <w:rFonts w:ascii="Arial" w:cs="Arial" w:eastAsia="Arial" w:hAnsi="Arial"/>
                <w:sz w:val="22"/>
                <w:szCs w:val="22"/>
                <w:color w:val="auto"/>
              </w:rPr>
              <w:t>Founding Partner</w:t>
            </w:r>
          </w:p>
        </w:tc>
        <w:tc>
          <w:tcPr>
            <w:tcW w:w="2980" w:type="dxa"/>
            <w:vAlign w:val="bottom"/>
          </w:tcPr>
          <w:p>
            <w:pPr>
              <w:ind w:left="220"/>
              <w:spacing w:after="0"/>
              <w:rPr>
                <w:sz w:val="20"/>
                <w:szCs w:val="20"/>
                <w:color w:val="auto"/>
              </w:rPr>
            </w:pPr>
            <w:r>
              <w:rPr>
                <w:rFonts w:ascii="Arial" w:cs="Arial" w:eastAsia="Arial" w:hAnsi="Arial"/>
                <w:sz w:val="22"/>
                <w:szCs w:val="22"/>
                <w:color w:val="auto"/>
              </w:rPr>
              <w:t>Partner</w:t>
            </w:r>
          </w:p>
        </w:tc>
      </w:tr>
      <w:tr>
        <w:trPr>
          <w:trHeight w:val="459"/>
        </w:trPr>
        <w:tc>
          <w:tcPr>
            <w:tcW w:w="2960" w:type="dxa"/>
            <w:vAlign w:val="bottom"/>
          </w:tcPr>
          <w:p>
            <w:pPr>
              <w:ind w:left="100"/>
              <w:spacing w:after="0"/>
              <w:rPr>
                <w:sz w:val="20"/>
                <w:szCs w:val="20"/>
                <w:color w:val="auto"/>
              </w:rPr>
            </w:pPr>
            <w:r>
              <w:rPr>
                <w:rFonts w:ascii="Arial" w:cs="Arial" w:eastAsia="Arial" w:hAnsi="Arial"/>
                <w:sz w:val="22"/>
                <w:szCs w:val="22"/>
                <w:b w:val="1"/>
                <w:bCs w:val="1"/>
                <w:color w:val="auto"/>
              </w:rPr>
              <w:t>Alexandra Gottschalk</w:t>
            </w:r>
          </w:p>
        </w:tc>
        <w:tc>
          <w:tcPr>
            <w:tcW w:w="3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52"/>
        </w:trPr>
        <w:tc>
          <w:tcPr>
            <w:tcW w:w="2960" w:type="dxa"/>
            <w:vAlign w:val="bottom"/>
          </w:tcPr>
          <w:p>
            <w:pPr>
              <w:ind w:left="100"/>
              <w:spacing w:after="0"/>
              <w:rPr>
                <w:sz w:val="20"/>
                <w:szCs w:val="20"/>
                <w:color w:val="auto"/>
              </w:rPr>
            </w:pPr>
            <w:r>
              <w:rPr>
                <w:rFonts w:ascii="Arial" w:cs="Arial" w:eastAsia="Arial" w:hAnsi="Arial"/>
                <w:sz w:val="22"/>
                <w:szCs w:val="22"/>
                <w:color w:val="auto"/>
              </w:rPr>
              <w:t>Chief Financial Officer and</w:t>
            </w:r>
          </w:p>
        </w:tc>
        <w:tc>
          <w:tcPr>
            <w:tcW w:w="316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300"/>
        </w:trPr>
        <w:tc>
          <w:tcPr>
            <w:tcW w:w="2960" w:type="dxa"/>
            <w:vAlign w:val="bottom"/>
          </w:tcPr>
          <w:p>
            <w:pPr>
              <w:ind w:left="100"/>
              <w:spacing w:after="0"/>
              <w:rPr>
                <w:sz w:val="20"/>
                <w:szCs w:val="20"/>
                <w:color w:val="auto"/>
              </w:rPr>
            </w:pPr>
            <w:r>
              <w:rPr>
                <w:rFonts w:ascii="Arial" w:cs="Arial" w:eastAsia="Arial" w:hAnsi="Arial"/>
                <w:sz w:val="22"/>
                <w:szCs w:val="22"/>
                <w:color w:val="auto"/>
              </w:rPr>
              <w:t>Partner</w:t>
            </w:r>
          </w:p>
        </w:tc>
        <w:tc>
          <w:tcPr>
            <w:tcW w:w="316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pacing w:after="0" w:line="1" w:lineRule="exact"/>
        <w:rPr>
          <w:sz w:val="20"/>
          <w:szCs w:val="20"/>
          <w:color w:val="auto"/>
        </w:rPr>
      </w:pP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Roman"/>
      <w:start w:val="3"/>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lowerRoman"/>
      <w:start w:val="3"/>
    </w:lvl>
  </w:abstractNum>
  <w:abstractNum w:abstractNumId="5">
    <w:nsid w:val="140E0F76"/>
    <w:multiLevelType w:val="hybridMultilevel"/>
    <w:lvl w:ilvl="0">
      <w:lvlJc w:val="left"/>
      <w:lvlText w:val="&amp;"/>
      <w:numFmt w:val="bullet"/>
      <w:start w:val="1"/>
    </w:lvl>
  </w:abstractNum>
  <w:abstractNum w:abstractNumId="6">
    <w:nsid w:val="3352255A"/>
    <w:multiLevelType w:val="hybridMultilevel"/>
    <w:lvl w:ilvl="0">
      <w:lvlJc w:val="left"/>
      <w:lvlText w:val="(%1)"/>
      <w:numFmt w:val="lowerRoman"/>
      <w:start w:val="3"/>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2026-04-10T20:23:34Z</dcterms:created>
  <dcterms:modified xsi:type="dcterms:W3CDTF">2026-04-10T20:23:34Z</dcterms:modified>
</cp:coreProperties>
</file>