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As filed with the Securities and Exchange Commission on July 15, 2021</w:t>
      </w:r>
    </w:p>
    <w:p>
      <w:pPr>
        <w:spacing w:after="0" w:line="25" w:lineRule="exact"/>
        <w:rPr>
          <w:sz w:val="24"/>
          <w:szCs w:val="24"/>
          <w:color w:val="auto"/>
        </w:rPr>
      </w:pPr>
    </w:p>
    <w:p>
      <w:pPr>
        <w:ind w:left="88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73"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FORM S-1</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REGISTRATION STATEMENT</w:t>
      </w:r>
    </w:p>
    <w:p>
      <w:pPr>
        <w:jc w:val="center"/>
        <w:ind w:right="-199"/>
        <w:spacing w:after="0" w:line="235" w:lineRule="auto"/>
        <w:rPr>
          <w:sz w:val="20"/>
          <w:szCs w:val="20"/>
          <w:color w:val="auto"/>
        </w:rPr>
      </w:pPr>
      <w:r>
        <w:rPr>
          <w:rFonts w:ascii="Arial" w:cs="Arial" w:eastAsia="Arial" w:hAnsi="Arial"/>
          <w:sz w:val="18"/>
          <w:szCs w:val="18"/>
          <w:b w:val="1"/>
          <w:bCs w:val="1"/>
          <w:i w:val="1"/>
          <w:iCs w:val="1"/>
          <w:color w:val="auto"/>
        </w:rPr>
        <w:t>UNDER</w:t>
      </w:r>
    </w:p>
    <w:p>
      <w:pPr>
        <w:jc w:val="center"/>
        <w:ind w:right="-1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61"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Perella Weinberg Partners</w:t>
      </w:r>
    </w:p>
    <w:p>
      <w:pPr>
        <w:spacing w:after="0" w:line="4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05"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6199</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84-1770732</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spacing w:after="0" w:line="9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767 Fifth Avenue</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New York, New York 10153</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(212) 287-3200</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9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Vladimir Shendelman, Esq.</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General Counsel</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Perella Weinberg Partners</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767 Fifth Avenue</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New York, New York 10153</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(212) 287-3200</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With copies to:</w:t>
      </w:r>
    </w:p>
    <w:p>
      <w:pPr>
        <w:spacing w:after="0" w:line="10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Joseph A. Coco, Esq.</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Michael J. Schwartz, Esq.</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Blair T. Thetford, Esq.</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Skadden, Arps, Slate, Meagher &amp; Flom LLP</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One Manhattan West</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New York, NY 10001</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4"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on or after the effective date of this registration statement.</w:t>
      </w:r>
    </w:p>
    <w:p>
      <w:pPr>
        <w:spacing w:after="0" w:line="127" w:lineRule="exact"/>
        <w:rPr>
          <w:sz w:val="24"/>
          <w:szCs w:val="24"/>
          <w:color w:val="auto"/>
        </w:rPr>
      </w:pPr>
    </w:p>
    <w:p>
      <w:pPr>
        <w:ind w:left="120" w:right="20" w:firstLine="44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520" w:firstLine="4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4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4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200" w:firstLine="44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526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5" w:lineRule="exact"/>
        <w:rPr>
          <w:sz w:val="24"/>
          <w:szCs w:val="24"/>
          <w:color w:val="auto"/>
        </w:rPr>
      </w:pPr>
    </w:p>
    <w:p>
      <w:pPr>
        <w:ind w:left="120" w:right="12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ectPr>
          <w:pgSz w:w="11900" w:h="16838" w:orient="portrait"/>
          <w:cols w:equalWidth="0" w:num="1">
            <w:col w:w="11040"/>
          </w:cols>
          <w:pgMar w:left="320" w:top="230" w:right="5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29"/>
        </w:trPr>
        <w:tc>
          <w:tcPr>
            <w:tcW w:w="44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Pr>
          <w:p>
            <w:pPr>
              <w:spacing w:after="0"/>
              <w:rPr>
                <w:sz w:val="11"/>
                <w:szCs w:val="11"/>
                <w:color w:val="auto"/>
              </w:rPr>
            </w:pPr>
          </w:p>
        </w:tc>
      </w:tr>
      <w:tr>
        <w:trPr>
          <w:trHeight w:val="162"/>
        </w:trPr>
        <w:tc>
          <w:tcPr>
            <w:tcW w:w="44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Pr>
          <w:p>
            <w:pPr>
              <w:spacing w:after="0"/>
              <w:rPr>
                <w:sz w:val="14"/>
                <w:szCs w:val="14"/>
                <w:color w:val="auto"/>
              </w:rPr>
            </w:pPr>
          </w:p>
        </w:tc>
      </w:tr>
      <w:tr>
        <w:trPr>
          <w:trHeight w:val="162"/>
        </w:trPr>
        <w:tc>
          <w:tcPr>
            <w:tcW w:w="4440" w:type="dxa"/>
            <w:vAlign w:val="bottom"/>
            <w:tcBorders>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Each Class of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64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Aggregate</w:t>
            </w:r>
          </w:p>
        </w:tc>
        <w:tc>
          <w:tcPr>
            <w:tcW w:w="164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4440" w:type="dxa"/>
            <w:vAlign w:val="bottom"/>
            <w:tcBorders>
              <w:bottom w:val="single" w:sz="8" w:color="auto"/>
              <w:right w:val="single" w:sz="8" w:color="auto"/>
            </w:tcBorders>
          </w:tcPr>
          <w:p>
            <w:pPr>
              <w:ind w:left="1280"/>
              <w:spacing w:after="0"/>
              <w:rPr>
                <w:sz w:val="20"/>
                <w:szCs w:val="20"/>
                <w:color w:val="auto"/>
              </w:rPr>
            </w:pPr>
            <w:r>
              <w:rPr>
                <w:rFonts w:ascii="Arial" w:cs="Arial" w:eastAsia="Arial" w:hAnsi="Arial"/>
                <w:sz w:val="14"/>
                <w:szCs w:val="14"/>
                <w:b w:val="1"/>
                <w:bCs w:val="1"/>
                <w:color w:val="auto"/>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6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Offering Price</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Registration Fee</w:t>
            </w:r>
          </w:p>
        </w:tc>
      </w:tr>
      <w:tr>
        <w:trPr>
          <w:trHeight w:val="155"/>
        </w:trPr>
        <w:tc>
          <w:tcPr>
            <w:tcW w:w="44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Primary Offering:</w:t>
            </w:r>
          </w:p>
        </w:tc>
        <w:tc>
          <w:tcPr>
            <w:tcW w:w="16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56"/>
        </w:trPr>
        <w:tc>
          <w:tcPr>
            <w:tcW w:w="4440" w:type="dxa"/>
            <w:vAlign w:val="bottom"/>
            <w:tcBorders>
              <w:bottom w:val="single" w:sz="8" w:color="auto"/>
              <w:right w:val="single" w:sz="8" w:color="auto"/>
            </w:tcBorders>
          </w:tcPr>
          <w:p>
            <w:pPr>
              <w:ind w:left="280"/>
              <w:spacing w:after="0" w:line="155" w:lineRule="exact"/>
              <w:rPr>
                <w:sz w:val="20"/>
                <w:szCs w:val="20"/>
                <w:color w:val="auto"/>
              </w:rPr>
            </w:pPr>
            <w:r>
              <w:rPr>
                <w:rFonts w:ascii="Arial" w:cs="Arial" w:eastAsia="Arial" w:hAnsi="Arial"/>
                <w:sz w:val="14"/>
                <w:szCs w:val="14"/>
                <w:color w:val="auto"/>
              </w:rPr>
              <w:t>Class A common stock, par value $0.0001 per share(2)</w:t>
            </w:r>
          </w:p>
        </w:tc>
        <w:tc>
          <w:tcPr>
            <w:tcW w:w="1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7,870,000</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$11.50(3)</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$90,505,000(3)</w:t>
            </w:r>
          </w:p>
        </w:tc>
        <w:tc>
          <w:tcPr>
            <w:tcW w:w="1640" w:type="dxa"/>
            <w:vAlign w:val="bottom"/>
            <w:tcBorders>
              <w:bottom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$9,874.10</w:t>
            </w:r>
          </w:p>
        </w:tc>
      </w:tr>
      <w:tr>
        <w:trPr>
          <w:trHeight w:val="156"/>
        </w:trPr>
        <w:tc>
          <w:tcPr>
            <w:tcW w:w="44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Secondary Offering:</w:t>
            </w:r>
          </w:p>
        </w:tc>
        <w:tc>
          <w:tcPr>
            <w:tcW w:w="16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55"/>
        </w:trPr>
        <w:tc>
          <w:tcPr>
            <w:tcW w:w="4440" w:type="dxa"/>
            <w:vAlign w:val="bottom"/>
            <w:tcBorders>
              <w:bottom w:val="single" w:sz="8" w:color="auto"/>
              <w:right w:val="single" w:sz="8" w:color="auto"/>
            </w:tcBorders>
          </w:tcPr>
          <w:p>
            <w:pPr>
              <w:ind w:left="280"/>
              <w:spacing w:after="0" w:line="155" w:lineRule="exact"/>
              <w:rPr>
                <w:sz w:val="20"/>
                <w:szCs w:val="20"/>
                <w:color w:val="auto"/>
              </w:rPr>
            </w:pPr>
            <w:r>
              <w:rPr>
                <w:rFonts w:ascii="Arial" w:cs="Arial" w:eastAsia="Arial" w:hAnsi="Arial"/>
                <w:sz w:val="14"/>
                <w:szCs w:val="14"/>
                <w:color w:val="auto"/>
              </w:rPr>
              <w:t>Class A common stock, par value $0.0001 per share(4)</w:t>
            </w:r>
          </w:p>
        </w:tc>
        <w:tc>
          <w:tcPr>
            <w:tcW w:w="1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70,364,353</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$12.74(5)</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$896,441,857.22(5)</w:t>
            </w:r>
          </w:p>
        </w:tc>
        <w:tc>
          <w:tcPr>
            <w:tcW w:w="1640" w:type="dxa"/>
            <w:vAlign w:val="bottom"/>
            <w:tcBorders>
              <w:bottom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$97,801.80</w:t>
            </w:r>
          </w:p>
        </w:tc>
      </w:tr>
      <w:tr>
        <w:trPr>
          <w:trHeight w:val="156"/>
        </w:trPr>
        <w:tc>
          <w:tcPr>
            <w:tcW w:w="4440" w:type="dxa"/>
            <w:vAlign w:val="bottom"/>
            <w:tcBorders>
              <w:bottom w:val="single" w:sz="8" w:color="auto"/>
              <w:right w:val="single" w:sz="8" w:color="auto"/>
            </w:tcBorders>
          </w:tcPr>
          <w:p>
            <w:pPr>
              <w:ind w:left="280"/>
              <w:spacing w:after="0" w:line="155" w:lineRule="exact"/>
              <w:rPr>
                <w:sz w:val="20"/>
                <w:szCs w:val="20"/>
                <w:color w:val="auto"/>
              </w:rPr>
            </w:pPr>
            <w:r>
              <w:rPr>
                <w:rFonts w:ascii="Arial" w:cs="Arial" w:eastAsia="Arial" w:hAnsi="Arial"/>
                <w:sz w:val="14"/>
                <w:szCs w:val="14"/>
                <w:color w:val="auto"/>
              </w:rPr>
              <w:t>Warrants to purchase Class A common stock(6)</w:t>
            </w:r>
          </w:p>
        </w:tc>
        <w:tc>
          <w:tcPr>
            <w:tcW w:w="1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203,333</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—(6)</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9"/>
              </w:rPr>
              <w:t>—</w:t>
            </w:r>
          </w:p>
        </w:tc>
      </w:tr>
      <w:tr>
        <w:trPr>
          <w:trHeight w:val="155"/>
        </w:trPr>
        <w:tc>
          <w:tcPr>
            <w:tcW w:w="44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16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$986,946,857.22</w:t>
            </w:r>
          </w:p>
        </w:tc>
        <w:tc>
          <w:tcPr>
            <w:tcW w:w="1640" w:type="dxa"/>
            <w:vAlign w:val="bottom"/>
            <w:tcBorders>
              <w:bottom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$107,675.90</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540" w:right="400" w:hanging="424"/>
        <w:spacing w:after="0" w:line="24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Pursuant to Rule 416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the registrant is also registering an indeterminate number of additional shares of Class A common stock that may become issuable as a result of any stock dividend, stock split, recapitalization or other similar transaction.</w:t>
      </w:r>
    </w:p>
    <w:p>
      <w:pPr>
        <w:ind w:left="540" w:right="100" w:hanging="424"/>
        <w:spacing w:after="0" w:line="242"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(i) 7,666,667 shares of Class A common stock that may be issued upon exercise of the public warrants (as such term is defined under “</w:t>
      </w:r>
      <w:r>
        <w:rPr>
          <w:rFonts w:ascii="Arial" w:cs="Arial" w:eastAsia="Arial" w:hAnsi="Arial"/>
          <w:sz w:val="14"/>
          <w:szCs w:val="14"/>
          <w:i w:val="1"/>
          <w:iCs w:val="1"/>
          <w:color w:val="auto"/>
        </w:rPr>
        <w:t>Selected</w:t>
      </w:r>
      <w:r>
        <w:rPr>
          <w:rFonts w:ascii="Arial" w:cs="Arial" w:eastAsia="Arial" w:hAnsi="Arial"/>
          <w:sz w:val="14"/>
          <w:szCs w:val="14"/>
          <w:color w:val="auto"/>
        </w:rPr>
        <w:t xml:space="preserve"> </w:t>
      </w:r>
      <w:r>
        <w:rPr>
          <w:rFonts w:ascii="Arial" w:cs="Arial" w:eastAsia="Arial" w:hAnsi="Arial"/>
          <w:sz w:val="14"/>
          <w:szCs w:val="14"/>
          <w:i w:val="1"/>
          <w:iCs w:val="1"/>
          <w:color w:val="auto"/>
        </w:rPr>
        <w:t>Definitions</w:t>
      </w:r>
      <w:r>
        <w:rPr>
          <w:rFonts w:ascii="Arial" w:cs="Arial" w:eastAsia="Arial" w:hAnsi="Arial"/>
          <w:sz w:val="14"/>
          <w:szCs w:val="14"/>
          <w:color w:val="auto"/>
        </w:rPr>
        <w:t>”) based on the number of public warrants outstanding as of June 30, 2021; and (ii) 203,333 shares of Class A common stock that may be issued upon</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 of the private placement warrants (as such term is defined under “</w:t>
      </w:r>
      <w:r>
        <w:rPr>
          <w:rFonts w:ascii="Arial" w:cs="Arial" w:eastAsia="Arial" w:hAnsi="Arial"/>
          <w:sz w:val="14"/>
          <w:szCs w:val="14"/>
          <w:i w:val="1"/>
          <w:iCs w:val="1"/>
          <w:color w:val="auto"/>
        </w:rPr>
        <w:t>Selected Definitions</w:t>
      </w:r>
      <w:r>
        <w:rPr>
          <w:rFonts w:ascii="Arial" w:cs="Arial" w:eastAsia="Arial" w:hAnsi="Arial"/>
          <w:sz w:val="14"/>
          <w:szCs w:val="14"/>
          <w:color w:val="auto"/>
        </w:rPr>
        <w:t>”). The aggregate number of shares of Class A common stock shall be adjusted to include any additional shares of Class A common stock that may become issuable as a result of any stock dividend, stock split, recapitalization or other similar transaction.</w:t>
      </w:r>
    </w:p>
    <w:p>
      <w:pPr>
        <w:spacing w:after="0" w:line="160"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Based upon the exercise price per share of Class A common stock issuable upon exercise of the warrants (as such term is defined under “</w:t>
      </w:r>
      <w:r>
        <w:rPr>
          <w:rFonts w:ascii="Arial" w:cs="Arial" w:eastAsia="Arial" w:hAnsi="Arial"/>
          <w:sz w:val="14"/>
          <w:szCs w:val="14"/>
          <w:i w:val="1"/>
          <w:iCs w:val="1"/>
          <w:color w:val="auto"/>
        </w:rPr>
        <w:t>Selected Definitions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40" w:right="20" w:hanging="424"/>
        <w:spacing w:after="0" w:line="24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the following shares of Class A common stock registered for resale by the Selling Holders (as such term is defined under “</w:t>
      </w:r>
      <w:r>
        <w:rPr>
          <w:rFonts w:ascii="Arial" w:cs="Arial" w:eastAsia="Arial" w:hAnsi="Arial"/>
          <w:sz w:val="14"/>
          <w:szCs w:val="14"/>
          <w:i w:val="1"/>
          <w:iCs w:val="1"/>
          <w:color w:val="auto"/>
        </w:rPr>
        <w:t>Selected Definitions</w:t>
      </w:r>
      <w:r>
        <w:rPr>
          <w:rFonts w:ascii="Arial" w:cs="Arial" w:eastAsia="Arial" w:hAnsi="Arial"/>
          <w:sz w:val="14"/>
          <w:szCs w:val="14"/>
          <w:color w:val="auto"/>
        </w:rPr>
        <w:t>”): 203,333 shares of Class A common stock underlying the private placement warrants, 6,846,667 founder shares (as such term is defined under “</w:t>
      </w:r>
      <w:r>
        <w:rPr>
          <w:rFonts w:ascii="Arial" w:cs="Arial" w:eastAsia="Arial" w:hAnsi="Arial"/>
          <w:sz w:val="14"/>
          <w:szCs w:val="14"/>
          <w:i w:val="1"/>
          <w:iCs w:val="1"/>
          <w:color w:val="auto"/>
        </w:rPr>
        <w:t>Selected Definitions</w:t>
      </w:r>
      <w:r>
        <w:rPr>
          <w:rFonts w:ascii="Arial" w:cs="Arial" w:eastAsia="Arial" w:hAnsi="Arial"/>
          <w:sz w:val="14"/>
          <w:szCs w:val="14"/>
          <w:color w:val="auto"/>
        </w:rPr>
        <w:t>”), 12,500,000 PIPE Shares (as such term is defined under “</w:t>
      </w:r>
      <w:r>
        <w:rPr>
          <w:rFonts w:ascii="Arial" w:cs="Arial" w:eastAsia="Arial" w:hAnsi="Arial"/>
          <w:sz w:val="14"/>
          <w:szCs w:val="14"/>
          <w:i w:val="1"/>
          <w:iCs w:val="1"/>
          <w:color w:val="auto"/>
        </w:rPr>
        <w:t>Selected Definitions</w:t>
      </w:r>
      <w:r>
        <w:rPr>
          <w:rFonts w:ascii="Arial" w:cs="Arial" w:eastAsia="Arial" w:hAnsi="Arial"/>
          <w:sz w:val="14"/>
          <w:szCs w:val="14"/>
          <w:color w:val="auto"/>
        </w:rPr>
        <w:t>”), 610,000 Placement Shares (as such term is defined under “</w:t>
      </w:r>
      <w:r>
        <w:rPr>
          <w:rFonts w:ascii="Arial" w:cs="Arial" w:eastAsia="Arial" w:hAnsi="Arial"/>
          <w:sz w:val="14"/>
          <w:szCs w:val="14"/>
          <w:i w:val="1"/>
          <w:iCs w:val="1"/>
          <w:color w:val="auto"/>
        </w:rPr>
        <w:t>Selected Definitions</w:t>
      </w:r>
      <w:r>
        <w:rPr>
          <w:rFonts w:ascii="Arial" w:cs="Arial" w:eastAsia="Arial" w:hAnsi="Arial"/>
          <w:sz w:val="14"/>
          <w:szCs w:val="14"/>
          <w:color w:val="auto"/>
        </w:rPr>
        <w:t>”), and 50,204,353 Exchange Shares (as such term is defined under “</w:t>
      </w:r>
      <w:r>
        <w:rPr>
          <w:rFonts w:ascii="Arial" w:cs="Arial" w:eastAsia="Arial" w:hAnsi="Arial"/>
          <w:sz w:val="14"/>
          <w:szCs w:val="14"/>
          <w:i w:val="1"/>
          <w:iCs w:val="1"/>
          <w:color w:val="auto"/>
        </w:rPr>
        <w:t>Selected Definitions</w:t>
      </w:r>
      <w:r>
        <w:rPr>
          <w:rFonts w:ascii="Arial" w:cs="Arial" w:eastAsia="Arial" w:hAnsi="Arial"/>
          <w:sz w:val="14"/>
          <w:szCs w:val="14"/>
          <w:color w:val="auto"/>
        </w:rPr>
        <w:t>”). The aggregate number of shares of Class A common stock shall be adjusted to include any additional shares of Class A common stock that may become issuable as a result of any stock dividend, stock split, recapitalization or other similar transaction.</w:t>
      </w:r>
    </w:p>
    <w:p>
      <w:pPr>
        <w:spacing w:after="0" w:line="163" w:lineRule="exact"/>
        <w:rPr>
          <w:rFonts w:ascii="Arial" w:cs="Arial" w:eastAsia="Arial" w:hAnsi="Arial"/>
          <w:sz w:val="14"/>
          <w:szCs w:val="14"/>
          <w:color w:val="auto"/>
        </w:rPr>
      </w:pPr>
    </w:p>
    <w:p>
      <w:pPr>
        <w:ind w:left="540" w:right="240" w:hanging="424"/>
        <w:spacing w:after="0" w:line="24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of the Securities Act, based upon the average of the high and low selling prices of the Class A common stock on July 8, 2021, as reported on the Nasdaq Capital Market, under the symbol “PWP.”</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203,333 private placement warrants. Pursuant to Rule 457(g), no separate registration fee is required for the warrants.</w:t>
      </w:r>
    </w:p>
    <w:p>
      <w:pPr>
        <w:spacing w:after="0" w:line="91"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219075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CC062A"/>
        </w:rPr>
        <w:t>The information in this prospectus is not complete and may be changed. Neither we nor the selling securityholders may sell or distribute the securities described herein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CC062A"/>
        </w:rPr>
        <w:t>SUBJECT TO COMPLETION, DATED JULY 15, 2021</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106045</wp:posOffset>
            </wp:positionV>
            <wp:extent cx="171450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Perella Weinberg Partners</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70,364,353 Shares of Class A Common Stock</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203,333 Warrants to Purchase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188595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This prospectus relates to: (1) the issuance by us of up to 7,870,000 shares of our Class A common stock, par value $0.0001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that may be issued upon exercise of warrants to purchase Class A common stock at an exercise price of $11.50 per share of Class A common stock, including the public warrants and the private placement warrants (each as defined below); and (2) the offer and sale, from time to time, by the selling holders identified in this prospectus (the “</w:t>
      </w:r>
      <w:r>
        <w:rPr>
          <w:rFonts w:ascii="Arial" w:cs="Arial" w:eastAsia="Arial" w:hAnsi="Arial"/>
          <w:sz w:val="18"/>
          <w:szCs w:val="18"/>
          <w:u w:val="single" w:color="auto"/>
          <w:color w:val="auto"/>
        </w:rPr>
        <w:t>Selling Holders</w:t>
      </w:r>
      <w:r>
        <w:rPr>
          <w:rFonts w:ascii="Arial" w:cs="Arial" w:eastAsia="Arial" w:hAnsi="Arial"/>
          <w:sz w:val="18"/>
          <w:szCs w:val="18"/>
          <w:color w:val="auto"/>
        </w:rPr>
        <w:t>”), or their permitted transferees, of (i) up to 70,364,353 shares of Class A common stock and (ii) up to 203,333 warrants (as defined below).</w:t>
      </w:r>
    </w:p>
    <w:p>
      <w:pPr>
        <w:spacing w:after="0" w:line="135" w:lineRule="exact"/>
        <w:rPr>
          <w:sz w:val="20"/>
          <w:szCs w:val="20"/>
          <w:color w:val="auto"/>
        </w:rPr>
      </w:pPr>
    </w:p>
    <w:p>
      <w:pPr>
        <w:ind w:left="120" w:right="180" w:firstLine="551"/>
        <w:spacing w:after="0" w:line="257" w:lineRule="auto"/>
        <w:rPr>
          <w:sz w:val="20"/>
          <w:szCs w:val="20"/>
          <w:color w:val="auto"/>
        </w:rPr>
      </w:pPr>
      <w:r>
        <w:rPr>
          <w:rFonts w:ascii="Arial" w:cs="Arial" w:eastAsia="Arial" w:hAnsi="Arial"/>
          <w:sz w:val="17"/>
          <w:szCs w:val="17"/>
          <w:color w:val="auto"/>
        </w:rPr>
        <w:t>This prospectus provides you with a general description of such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08"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We will not receive any proceeds from the sale of shares of Class A common stock or warrants by the Selling Holders pursuant to this prospectus or of the shares of Class A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137"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131"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Our Class A common stock and warrants are traded on the Nasdaq Capital Market (the “</w:t>
      </w:r>
      <w:r>
        <w:rPr>
          <w:rFonts w:ascii="Arial" w:cs="Arial" w:eastAsia="Arial" w:hAnsi="Arial"/>
          <w:sz w:val="18"/>
          <w:szCs w:val="18"/>
          <w:u w:val="single" w:color="auto"/>
          <w:color w:val="auto"/>
        </w:rPr>
        <w:t>Nasdaq</w:t>
      </w:r>
      <w:r>
        <w:rPr>
          <w:rFonts w:ascii="Arial" w:cs="Arial" w:eastAsia="Arial" w:hAnsi="Arial"/>
          <w:sz w:val="18"/>
          <w:szCs w:val="18"/>
          <w:color w:val="auto"/>
        </w:rPr>
        <w:t>”) under the symbols “PWP” and “PWPPW,” respectively. On July 14, 2021, the closing price of our Class A common stock on the Nasdaq was $13.16 per share and the closing price of our warrants on the Nasdaq was $3.10 per warrant.</w:t>
      </w:r>
    </w:p>
    <w:p>
      <w:pPr>
        <w:spacing w:after="0" w:line="13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107" w:lineRule="exact"/>
        <w:rPr>
          <w:sz w:val="20"/>
          <w:szCs w:val="20"/>
          <w:color w:val="auto"/>
        </w:rPr>
      </w:pPr>
    </w:p>
    <w:p>
      <w:pPr>
        <w:ind w:left="120" w:right="420" w:firstLine="551"/>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4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42 and in any applicable prospectus supplement.</w:t>
      </w:r>
    </w:p>
    <w:p>
      <w:pPr>
        <w:spacing w:after="0" w:line="73" w:lineRule="exact"/>
        <w:rPr>
          <w:sz w:val="20"/>
          <w:szCs w:val="20"/>
          <w:color w:val="auto"/>
        </w:rPr>
      </w:pPr>
    </w:p>
    <w:p>
      <w:pPr>
        <w:jc w:val="both"/>
        <w:ind w:left="120" w:right="180" w:firstLine="551"/>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or determined if this prospectus is truthful or complete. Any representation to the contrary is a criminal offense.</w:t>
      </w:r>
    </w:p>
    <w:p>
      <w:pPr>
        <w:spacing w:after="0" w:line="63" w:lineRule="exact"/>
        <w:rPr>
          <w:sz w:val="20"/>
          <w:szCs w:val="20"/>
          <w:color w:val="auto"/>
        </w:rPr>
      </w:pPr>
    </w:p>
    <w:tbl>
      <w:tblPr>
        <w:tblLayout w:type="fixed"/>
        <w:tblInd w:w="3540" w:type="dxa"/>
        <w:tblCellMar>
          <w:top w:w="0" w:type="dxa"/>
          <w:left w:w="0" w:type="dxa"/>
          <w:bottom w:w="0" w:type="dxa"/>
          <w:right w:w="0" w:type="dxa"/>
        </w:tblCellMar>
      </w:tblPr>
      <w:tr>
        <w:trPr>
          <w:trHeight w:val="239"/>
        </w:trPr>
        <w:tc>
          <w:tcPr>
            <w:tcW w:w="30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860" w:type="dxa"/>
            <w:vAlign w:val="bottom"/>
            <w:gridSpan w:val="3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20" w:type="dxa"/>
            <w:vAlign w:val="bottom"/>
            <w:gridSpan w:val="10"/>
          </w:tcPr>
          <w:p>
            <w:pPr>
              <w:ind w:left="32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4"/>
                <w:szCs w:val="24"/>
                <w:color w:val="auto"/>
              </w:rPr>
            </w:pPr>
          </w:p>
        </w:tc>
      </w:tr>
      <w:tr>
        <w:trPr>
          <w:trHeight w:val="405"/>
        </w:trPr>
        <w:tc>
          <w:tcPr>
            <w:tcW w:w="120" w:type="dxa"/>
            <w:vAlign w:val="bottom"/>
          </w:tcPr>
          <w:p>
            <w:pPr>
              <w:spacing w:after="0"/>
              <w:rPr>
                <w:sz w:val="24"/>
                <w:szCs w:val="24"/>
                <w:color w:val="auto"/>
              </w:rPr>
            </w:pPr>
          </w:p>
        </w:tc>
        <w:tc>
          <w:tcPr>
            <w:tcW w:w="9740" w:type="dxa"/>
            <w:vAlign w:val="bottom"/>
            <w:gridSpan w:val="3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MARKET, RANKING AND OTHER INDUSTRY DATA</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TRADEMARKS, SERVICE MARKS AND TRADE NAMES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2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SELECTED DEFINITIONS</w:t>
              </w:r>
            </w:hyperlink>
          </w:p>
        </w:tc>
        <w:tc>
          <w:tcPr>
            <w:tcW w:w="2460" w:type="dxa"/>
            <w:vAlign w:val="bottom"/>
            <w:tcBorders>
              <w:top w:val="single" w:sz="8" w:color="0000EE"/>
            </w:tcBorders>
            <w:gridSpan w:val="11"/>
          </w:tcPr>
          <w:p>
            <w:pPr>
              <w:spacing w:after="0"/>
              <w:rPr>
                <w:sz w:val="15"/>
                <w:szCs w:val="15"/>
                <w:color w:val="auto"/>
              </w:rPr>
            </w:pPr>
          </w:p>
        </w:tc>
        <w:tc>
          <w:tcPr>
            <w:tcW w:w="5140" w:type="dxa"/>
            <w:vAlign w:val="bottom"/>
            <w:gridSpan w:val="8"/>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CAUTIONARY STATEMENT REGARDING FORWARD-LOOKING STATEMENTS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120" w:type="dxa"/>
            <w:vAlign w:val="bottom"/>
          </w:tcPr>
          <w:p>
            <w:pPr>
              <w:spacing w:after="0"/>
              <w:rPr>
                <w:sz w:val="15"/>
                <w:szCs w:val="15"/>
                <w:color w:val="auto"/>
              </w:rPr>
            </w:pPr>
          </w:p>
        </w:tc>
        <w:tc>
          <w:tcPr>
            <w:tcW w:w="65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PROSPECTUS SUMMARY</w:t>
              </w:r>
            </w:hyperlink>
          </w:p>
        </w:tc>
        <w:tc>
          <w:tcPr>
            <w:tcW w:w="3240" w:type="dxa"/>
            <w:vAlign w:val="bottom"/>
            <w:gridSpan w:val="3"/>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1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THE OFFERING</w:t>
              </w:r>
            </w:hyperlink>
          </w:p>
        </w:tc>
        <w:tc>
          <w:tcPr>
            <w:tcW w:w="860" w:type="dxa"/>
            <w:vAlign w:val="bottom"/>
            <w:tcBorders>
              <w:top w:val="single" w:sz="8" w:color="0000EE"/>
            </w:tcBorders>
            <w:gridSpan w:val="8"/>
          </w:tcPr>
          <w:p>
            <w:pPr>
              <w:spacing w:after="0"/>
              <w:rPr>
                <w:sz w:val="15"/>
                <w:szCs w:val="15"/>
                <w:color w:val="auto"/>
              </w:rPr>
            </w:pPr>
          </w:p>
        </w:tc>
        <w:tc>
          <w:tcPr>
            <w:tcW w:w="7540" w:type="dxa"/>
            <w:vAlign w:val="bottom"/>
            <w:gridSpan w:val="18"/>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SELECTED HISTORICAL FINANCIAL AND OTHER INFORMATION OF PWP</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7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SELECTED UNAUDITED PRO FORMA CONDENSED COMBINED FINANCIAL INFORMATION</w:t>
              </w:r>
            </w:hyperlink>
          </w:p>
        </w:tc>
        <w:tc>
          <w:tcPr>
            <w:tcW w:w="204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COMPARATIVE PER SHARE INFORMATION</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RISK FACTORS</w:t>
              </w:r>
            </w:hyperlink>
          </w:p>
        </w:tc>
        <w:tc>
          <w:tcPr>
            <w:tcW w:w="2340" w:type="dxa"/>
            <w:vAlign w:val="bottom"/>
            <w:tcBorders>
              <w:top w:val="single" w:sz="8" w:color="0000EE"/>
            </w:tcBorders>
            <w:gridSpan w:val="15"/>
          </w:tcPr>
          <w:p>
            <w:pPr>
              <w:spacing w:after="0"/>
              <w:rPr>
                <w:sz w:val="15"/>
                <w:szCs w:val="15"/>
                <w:color w:val="auto"/>
              </w:rPr>
            </w:pPr>
          </w:p>
        </w:tc>
        <w:tc>
          <w:tcPr>
            <w:tcW w:w="6080" w:type="dxa"/>
            <w:vAlign w:val="bottom"/>
            <w:gridSpan w:val="12"/>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USE OF PROCEEDS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183"/>
        </w:trPr>
        <w:tc>
          <w:tcPr>
            <w:tcW w:w="120" w:type="dxa"/>
            <w:vAlign w:val="bottom"/>
          </w:tcPr>
          <w:p>
            <w:pPr>
              <w:spacing w:after="0"/>
              <w:rPr>
                <w:sz w:val="15"/>
                <w:szCs w:val="15"/>
                <w:color w:val="auto"/>
              </w:rPr>
            </w:pPr>
          </w:p>
        </w:tc>
        <w:tc>
          <w:tcPr>
            <w:tcW w:w="17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DIVIDEND POLICY</w:t>
              </w:r>
            </w:hyperlink>
          </w:p>
        </w:tc>
        <w:tc>
          <w:tcPr>
            <w:tcW w:w="8020" w:type="dxa"/>
            <w:vAlign w:val="bottom"/>
            <w:gridSpan w:val="22"/>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70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UNAUDITED PRO FORMA CONDENSED COMBINED FINANCIAL INFORMATION</w:t>
              </w:r>
            </w:hyperlink>
          </w:p>
        </w:tc>
        <w:tc>
          <w:tcPr>
            <w:tcW w:w="3040" w:type="dxa"/>
            <w:vAlign w:val="bottom"/>
            <w:gridSpan w:val="2"/>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COMPARATIVE PER SHARE INFORMATION</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r>
      <w:tr>
        <w:trPr>
          <w:trHeight w:val="183"/>
        </w:trPr>
        <w:tc>
          <w:tcPr>
            <w:tcW w:w="1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8"/>
              </w:rPr>
            </w:pPr>
            <w:hyperlink w:anchor="page99">
              <w:r>
                <w:rPr>
                  <w:rFonts w:ascii="Arial" w:cs="Arial" w:eastAsia="Arial" w:hAnsi="Arial"/>
                  <w:sz w:val="18"/>
                  <w:szCs w:val="18"/>
                  <w:color w:val="0000EE"/>
                  <w:w w:val="98"/>
                </w:rPr>
                <w:t>BUSINESS COMBINATION</w:t>
              </w:r>
            </w:hyperlink>
          </w:p>
        </w:tc>
        <w:tc>
          <w:tcPr>
            <w:tcW w:w="1440" w:type="dxa"/>
            <w:vAlign w:val="bottom"/>
            <w:tcBorders>
              <w:top w:val="single" w:sz="8" w:color="0000EE"/>
            </w:tcBorders>
            <w:gridSpan w:val="5"/>
          </w:tcPr>
          <w:p>
            <w:pPr>
              <w:spacing w:after="0"/>
              <w:rPr>
                <w:sz w:val="15"/>
                <w:szCs w:val="15"/>
                <w:color w:val="auto"/>
              </w:rPr>
            </w:pPr>
          </w:p>
        </w:tc>
        <w:tc>
          <w:tcPr>
            <w:tcW w:w="6080" w:type="dxa"/>
            <w:vAlign w:val="bottom"/>
            <w:gridSpan w:val="12"/>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BUSINESS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74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28">
              <w:r>
                <w:rPr>
                  <w:rFonts w:ascii="Arial" w:cs="Arial" w:eastAsia="Arial" w:hAnsi="Arial"/>
                  <w:sz w:val="18"/>
                  <w:szCs w:val="18"/>
                  <w:color w:val="0000EE"/>
                  <w:w w:val="99"/>
                </w:rPr>
                <w:t>PWP’S MANAGEMENT’S DISCUSSION AND ANALYSIS OF FINANCIAL CONDITION AND RESULTS OF OPERATIONS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r>
      <w:tr>
        <w:trPr>
          <w:trHeight w:val="183"/>
        </w:trPr>
        <w:tc>
          <w:tcPr>
            <w:tcW w:w="120" w:type="dxa"/>
            <w:vAlign w:val="bottom"/>
          </w:tcPr>
          <w:p>
            <w:pPr>
              <w:spacing w:after="0"/>
              <w:rPr>
                <w:sz w:val="15"/>
                <w:szCs w:val="15"/>
                <w:color w:val="auto"/>
              </w:rPr>
            </w:pPr>
          </w:p>
        </w:tc>
        <w:tc>
          <w:tcPr>
            <w:tcW w:w="252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w:anchor="page148">
              <w:r>
                <w:rPr>
                  <w:rFonts w:ascii="Arial" w:cs="Arial" w:eastAsia="Arial" w:hAnsi="Arial"/>
                  <w:sz w:val="18"/>
                  <w:szCs w:val="18"/>
                  <w:color w:val="0000EE"/>
                  <w:w w:val="98"/>
                </w:rPr>
                <w:t>EXECUTIVE COMPENSATION</w:t>
              </w:r>
            </w:hyperlink>
          </w:p>
        </w:tc>
        <w:tc>
          <w:tcPr>
            <w:tcW w:w="7220" w:type="dxa"/>
            <w:vAlign w:val="bottom"/>
            <w:gridSpan w:val="15"/>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144</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58">
              <w:r>
                <w:rPr>
                  <w:rFonts w:ascii="Arial" w:cs="Arial" w:eastAsia="Arial" w:hAnsi="Arial"/>
                  <w:sz w:val="18"/>
                  <w:szCs w:val="18"/>
                  <w:color w:val="0000EE"/>
                </w:rPr>
                <w:t>MANAGEMENT</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154</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6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65">
              <w:r>
                <w:rPr>
                  <w:rFonts w:ascii="Arial" w:cs="Arial" w:eastAsia="Arial" w:hAnsi="Arial"/>
                  <w:sz w:val="18"/>
                  <w:szCs w:val="18"/>
                  <w:color w:val="0000EE"/>
                  <w:w w:val="99"/>
                </w:rPr>
                <w:t>DESCRIPTION OF SECURITIES</w:t>
              </w:r>
            </w:hyperlink>
          </w:p>
        </w:tc>
        <w:tc>
          <w:tcPr>
            <w:tcW w:w="7080" w:type="dxa"/>
            <w:vAlign w:val="bottom"/>
            <w:gridSpan w:val="14"/>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161</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75">
              <w:r>
                <w:rPr>
                  <w:rFonts w:ascii="Arial" w:cs="Arial" w:eastAsia="Arial" w:hAnsi="Arial"/>
                  <w:sz w:val="18"/>
                  <w:szCs w:val="18"/>
                  <w:color w:val="0000EE"/>
                </w:rPr>
                <w:t>SECURITIES ACT RESTRICTIONS ON RESALE OF SECURITIES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171</w:t>
            </w:r>
          </w:p>
        </w:tc>
      </w:tr>
      <w:tr>
        <w:trPr>
          <w:trHeight w:val="183"/>
        </w:trPr>
        <w:tc>
          <w:tcPr>
            <w:tcW w:w="12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178">
              <w:r>
                <w:rPr>
                  <w:rFonts w:ascii="Arial" w:cs="Arial" w:eastAsia="Arial" w:hAnsi="Arial"/>
                  <w:sz w:val="18"/>
                  <w:szCs w:val="18"/>
                  <w:color w:val="0000EE"/>
                  <w:w w:val="99"/>
                </w:rPr>
                <w:t>BENEFICIAL OWNERSHIP OF SECURITIES</w:t>
              </w:r>
            </w:hyperlink>
          </w:p>
        </w:tc>
        <w:tc>
          <w:tcPr>
            <w:tcW w:w="1740" w:type="dxa"/>
            <w:vAlign w:val="bottom"/>
            <w:tcBorders>
              <w:top w:val="single" w:sz="8" w:color="0000EE"/>
            </w:tcBorders>
            <w:gridSpan w:val="7"/>
          </w:tcPr>
          <w:p>
            <w:pPr>
              <w:spacing w:after="0"/>
              <w:rPr>
                <w:sz w:val="15"/>
                <w:szCs w:val="15"/>
                <w:color w:val="auto"/>
              </w:rPr>
            </w:pPr>
          </w:p>
        </w:tc>
        <w:tc>
          <w:tcPr>
            <w:tcW w:w="4360" w:type="dxa"/>
            <w:vAlign w:val="bottom"/>
            <w:gridSpan w:val="6"/>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174</w:t>
            </w:r>
          </w:p>
        </w:tc>
      </w:tr>
      <w:tr>
        <w:trPr>
          <w:trHeight w:val="183"/>
        </w:trPr>
        <w:tc>
          <w:tcPr>
            <w:tcW w:w="120" w:type="dxa"/>
            <w:vAlign w:val="bottom"/>
          </w:tcPr>
          <w:p>
            <w:pPr>
              <w:spacing w:after="0"/>
              <w:rPr>
                <w:sz w:val="15"/>
                <w:szCs w:val="15"/>
                <w:color w:val="auto"/>
              </w:rPr>
            </w:pPr>
          </w:p>
        </w:tc>
        <w:tc>
          <w:tcPr>
            <w:tcW w:w="5940" w:type="dxa"/>
            <w:vAlign w:val="bottom"/>
            <w:tcBorders>
              <w:bottom w:val="single" w:sz="8" w:color="0000EE"/>
            </w:tcBorders>
            <w:gridSpan w:val="26"/>
          </w:tcPr>
          <w:p>
            <w:pPr>
              <w:spacing w:after="0" w:line="182" w:lineRule="exact"/>
              <w:rPr>
                <w:rFonts w:ascii="Arial" w:cs="Arial" w:eastAsia="Arial" w:hAnsi="Arial"/>
                <w:sz w:val="18"/>
                <w:szCs w:val="18"/>
                <w:color w:val="0000EE"/>
                <w:w w:val="98"/>
              </w:rPr>
            </w:pPr>
            <w:hyperlink w:anchor="page183">
              <w:r>
                <w:rPr>
                  <w:rFonts w:ascii="Arial" w:cs="Arial" w:eastAsia="Arial" w:hAnsi="Arial"/>
                  <w:sz w:val="18"/>
                  <w:szCs w:val="18"/>
                  <w:color w:val="0000EE"/>
                  <w:w w:val="98"/>
                </w:rPr>
                <w:t>CERTAIN RELATIONSHIPS AND RELATED PERSONS TRANSACTIONS</w:t>
              </w:r>
            </w:hyperlink>
          </w:p>
        </w:tc>
        <w:tc>
          <w:tcPr>
            <w:tcW w:w="3800" w:type="dxa"/>
            <w:vAlign w:val="bottom"/>
            <w:gridSpan w:val="5"/>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179</w:t>
            </w:r>
          </w:p>
        </w:tc>
      </w:tr>
      <w:tr>
        <w:trPr>
          <w:trHeight w:val="183"/>
        </w:trPr>
        <w:tc>
          <w:tcPr>
            <w:tcW w:w="120" w:type="dxa"/>
            <w:vAlign w:val="bottom"/>
          </w:tcPr>
          <w:p>
            <w:pPr>
              <w:spacing w:after="0"/>
              <w:rPr>
                <w:sz w:val="15"/>
                <w:szCs w:val="15"/>
                <w:color w:val="auto"/>
              </w:rPr>
            </w:pPr>
          </w:p>
        </w:tc>
        <w:tc>
          <w:tcPr>
            <w:tcW w:w="168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191">
              <w:r>
                <w:rPr>
                  <w:rFonts w:ascii="Arial" w:cs="Arial" w:eastAsia="Arial" w:hAnsi="Arial"/>
                  <w:sz w:val="18"/>
                  <w:szCs w:val="18"/>
                  <w:color w:val="0000EE"/>
                  <w:w w:val="98"/>
                </w:rPr>
                <w:t>SELLING HOLDERS</w:t>
              </w:r>
            </w:hyperlink>
          </w:p>
        </w:tc>
        <w:tc>
          <w:tcPr>
            <w:tcW w:w="8060" w:type="dxa"/>
            <w:vAlign w:val="bottom"/>
            <w:gridSpan w:val="23"/>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187</w:t>
            </w:r>
          </w:p>
        </w:tc>
      </w:tr>
      <w:tr>
        <w:trPr>
          <w:trHeight w:val="182"/>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198">
              <w:r>
                <w:rPr>
                  <w:rFonts w:ascii="Arial" w:cs="Arial" w:eastAsia="Arial" w:hAnsi="Arial"/>
                  <w:sz w:val="18"/>
                  <w:szCs w:val="18"/>
                  <w:color w:val="0000EE"/>
                </w:rPr>
                <w:t>PLAN OF DISTRIBUTION</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194</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200">
              <w:r>
                <w:rPr>
                  <w:rFonts w:ascii="Arial" w:cs="Arial" w:eastAsia="Arial" w:hAnsi="Arial"/>
                  <w:sz w:val="18"/>
                  <w:szCs w:val="18"/>
                  <w:color w:val="0000EE"/>
                </w:rPr>
                <w:t>UNITED STATES FEDERAL INCOME TAX CONSIDERATIONS</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196</w:t>
            </w:r>
          </w:p>
        </w:tc>
      </w:tr>
      <w:tr>
        <w:trPr>
          <w:trHeight w:val="183"/>
        </w:trPr>
        <w:tc>
          <w:tcPr>
            <w:tcW w:w="12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w:anchor="page206">
              <w:r>
                <w:rPr>
                  <w:rFonts w:ascii="Arial" w:cs="Arial" w:eastAsia="Arial" w:hAnsi="Arial"/>
                  <w:sz w:val="18"/>
                  <w:szCs w:val="18"/>
                  <w:color w:val="0000EE"/>
                  <w:w w:val="97"/>
                </w:rPr>
                <w:t>LEGAL MATTERS</w:t>
              </w:r>
            </w:hyperlink>
          </w:p>
        </w:tc>
        <w:tc>
          <w:tcPr>
            <w:tcW w:w="3600" w:type="dxa"/>
            <w:vAlign w:val="bottom"/>
            <w:tcBorders>
              <w:top w:val="single" w:sz="8" w:color="0000EE"/>
            </w:tcBorders>
            <w:gridSpan w:val="18"/>
          </w:tcPr>
          <w:p>
            <w:pPr>
              <w:spacing w:after="0"/>
              <w:rPr>
                <w:sz w:val="15"/>
                <w:szCs w:val="15"/>
                <w:color w:val="auto"/>
              </w:rPr>
            </w:pPr>
          </w:p>
        </w:tc>
        <w:tc>
          <w:tcPr>
            <w:tcW w:w="4660" w:type="dxa"/>
            <w:vAlign w:val="bottom"/>
            <w:gridSpan w:val="7"/>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r>
      <w:tr>
        <w:trPr>
          <w:trHeight w:val="183"/>
        </w:trPr>
        <w:tc>
          <w:tcPr>
            <w:tcW w:w="12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rPr>
            </w:pPr>
            <w:hyperlink w:anchor="page206">
              <w:r>
                <w:rPr>
                  <w:rFonts w:ascii="Arial" w:cs="Arial" w:eastAsia="Arial" w:hAnsi="Arial"/>
                  <w:sz w:val="18"/>
                  <w:szCs w:val="18"/>
                  <w:color w:val="0000EE"/>
                </w:rPr>
                <w:t>EXPERTS</w:t>
              </w:r>
            </w:hyperlink>
          </w:p>
        </w:tc>
        <w:tc>
          <w:tcPr>
            <w:tcW w:w="8840" w:type="dxa"/>
            <w:vAlign w:val="bottom"/>
            <w:gridSpan w:val="30"/>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r>
      <w:tr>
        <w:trPr>
          <w:trHeight w:val="183"/>
        </w:trPr>
        <w:tc>
          <w:tcPr>
            <w:tcW w:w="120" w:type="dxa"/>
            <w:vAlign w:val="bottom"/>
          </w:tcPr>
          <w:p>
            <w:pPr>
              <w:spacing w:after="0"/>
              <w:rPr>
                <w:sz w:val="15"/>
                <w:szCs w:val="15"/>
                <w:color w:val="auto"/>
              </w:rPr>
            </w:pPr>
          </w:p>
        </w:tc>
        <w:tc>
          <w:tcPr>
            <w:tcW w:w="186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206">
              <w:r>
                <w:rPr>
                  <w:rFonts w:ascii="Arial" w:cs="Arial" w:eastAsia="Arial" w:hAnsi="Arial"/>
                  <w:sz w:val="18"/>
                  <w:szCs w:val="18"/>
                  <w:color w:val="0000EE"/>
                  <w:w w:val="98"/>
                </w:rPr>
                <w:t>CHANGE IN AUDITOR</w:t>
              </w:r>
            </w:hyperlink>
          </w:p>
        </w:tc>
        <w:tc>
          <w:tcPr>
            <w:tcW w:w="7880" w:type="dxa"/>
            <w:vAlign w:val="bottom"/>
            <w:gridSpan w:val="21"/>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r>
      <w:tr>
        <w:trPr>
          <w:trHeight w:val="183"/>
        </w:trPr>
        <w:tc>
          <w:tcPr>
            <w:tcW w:w="120" w:type="dxa"/>
            <w:vAlign w:val="bottom"/>
          </w:tcPr>
          <w:p>
            <w:pPr>
              <w:spacing w:after="0"/>
              <w:rPr>
                <w:sz w:val="15"/>
                <w:szCs w:val="15"/>
                <w:color w:val="auto"/>
              </w:rPr>
            </w:pPr>
          </w:p>
        </w:tc>
        <w:tc>
          <w:tcPr>
            <w:tcW w:w="390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207">
              <w:r>
                <w:rPr>
                  <w:rFonts w:ascii="Arial" w:cs="Arial" w:eastAsia="Arial" w:hAnsi="Arial"/>
                  <w:sz w:val="18"/>
                  <w:szCs w:val="18"/>
                  <w:color w:val="0000EE"/>
                  <w:w w:val="99"/>
                </w:rPr>
                <w:t>WHERE YOU CAN FIND MORE INFORMATION</w:t>
              </w:r>
            </w:hyperlink>
          </w:p>
        </w:tc>
        <w:tc>
          <w:tcPr>
            <w:tcW w:w="5840" w:type="dxa"/>
            <w:vAlign w:val="bottom"/>
            <w:gridSpan w:val="11"/>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203</w:t>
            </w:r>
          </w:p>
        </w:tc>
      </w:tr>
      <w:tr>
        <w:trPr>
          <w:trHeight w:val="183"/>
        </w:trPr>
        <w:tc>
          <w:tcPr>
            <w:tcW w:w="120" w:type="dxa"/>
            <w:vAlign w:val="bottom"/>
          </w:tcPr>
          <w:p>
            <w:pPr>
              <w:spacing w:after="0"/>
              <w:rPr>
                <w:sz w:val="15"/>
                <w:szCs w:val="15"/>
                <w:color w:val="auto"/>
              </w:rPr>
            </w:pPr>
          </w:p>
        </w:tc>
        <w:tc>
          <w:tcPr>
            <w:tcW w:w="9740" w:type="dxa"/>
            <w:vAlign w:val="bottom"/>
            <w:gridSpan w:val="31"/>
          </w:tcPr>
          <w:p>
            <w:pPr>
              <w:spacing w:after="0" w:line="182" w:lineRule="exact"/>
              <w:rPr>
                <w:rFonts w:ascii="Arial" w:cs="Arial" w:eastAsia="Arial" w:hAnsi="Arial"/>
                <w:sz w:val="18"/>
                <w:szCs w:val="18"/>
                <w:color w:val="0000EE"/>
              </w:rPr>
            </w:pPr>
            <w:hyperlink w:anchor="page208">
              <w:r>
                <w:rPr>
                  <w:rFonts w:ascii="Arial" w:cs="Arial" w:eastAsia="Arial" w:hAnsi="Arial"/>
                  <w:sz w:val="18"/>
                  <w:szCs w:val="18"/>
                  <w:color w:val="0000EE"/>
                </w:rPr>
                <w:t>INDEX TO CONSOLIDATED FINANCIAL INFORMATION</w:t>
              </w:r>
            </w:hyperlink>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ectPr>
          <w:pgSz w:w="11900" w:h="16838" w:orient="portrait"/>
          <w:cols w:equalWidth="0" w:num="1">
            <w:col w:w="11060"/>
          </w:cols>
          <w:pgMar w:left="320" w:top="44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w:t>
      </w:r>
    </w:p>
    <w:p>
      <w:pPr>
        <w:ind w:left="12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using a “shelf” registration process. Under this shelf registration process, we and the Selling Holders may, from time to time, issue,</w:t>
      </w:r>
    </w:p>
    <w:p>
      <w:pPr>
        <w:ind w:left="120"/>
        <w:spacing w:after="0" w:line="235" w:lineRule="auto"/>
        <w:rPr>
          <w:sz w:val="20"/>
          <w:szCs w:val="20"/>
          <w:color w:val="auto"/>
        </w:rPr>
      </w:pPr>
      <w:r>
        <w:rPr>
          <w:rFonts w:ascii="Arial" w:cs="Arial" w:eastAsia="Arial" w:hAnsi="Arial"/>
          <w:sz w:val="18"/>
          <w:szCs w:val="18"/>
          <w:color w:val="auto"/>
        </w:rPr>
        <w:t>offer and sell, as applicable, any combination of the securities described in this prospectus in one or more offerings. We may use the shelf</w:t>
      </w:r>
    </w:p>
    <w:p>
      <w:pPr>
        <w:ind w:left="120"/>
        <w:spacing w:after="0" w:line="235" w:lineRule="auto"/>
        <w:rPr>
          <w:sz w:val="20"/>
          <w:szCs w:val="20"/>
          <w:color w:val="auto"/>
        </w:rPr>
      </w:pPr>
      <w:r>
        <w:rPr>
          <w:rFonts w:ascii="Arial" w:cs="Arial" w:eastAsia="Arial" w:hAnsi="Arial"/>
          <w:sz w:val="18"/>
          <w:szCs w:val="18"/>
          <w:color w:val="auto"/>
        </w:rPr>
        <w:t>registration statement to issue up to an aggregate of 7,870,000 shares of Class A common stock upon exercise of the public warrants and</w:t>
      </w:r>
    </w:p>
    <w:p>
      <w:pPr>
        <w:ind w:left="120"/>
        <w:spacing w:after="0" w:line="235" w:lineRule="auto"/>
        <w:rPr>
          <w:sz w:val="20"/>
          <w:szCs w:val="20"/>
          <w:color w:val="auto"/>
        </w:rPr>
      </w:pPr>
      <w:r>
        <w:rPr>
          <w:rFonts w:ascii="Arial" w:cs="Arial" w:eastAsia="Arial" w:hAnsi="Arial"/>
          <w:sz w:val="18"/>
          <w:szCs w:val="18"/>
          <w:color w:val="auto"/>
        </w:rPr>
        <w:t>private placement warrants. The Selling Holders may use the shelf registration statement to sell up to an aggregate of 70,364,353 shares</w:t>
      </w:r>
    </w:p>
    <w:p>
      <w:pPr>
        <w:ind w:left="120"/>
        <w:spacing w:after="0" w:line="235" w:lineRule="auto"/>
        <w:rPr>
          <w:sz w:val="20"/>
          <w:szCs w:val="20"/>
          <w:color w:val="auto"/>
        </w:rPr>
      </w:pPr>
      <w:r>
        <w:rPr>
          <w:rFonts w:ascii="Arial" w:cs="Arial" w:eastAsia="Arial" w:hAnsi="Arial"/>
          <w:sz w:val="18"/>
          <w:szCs w:val="18"/>
          <w:color w:val="auto"/>
        </w:rPr>
        <w:t>of Class A common stock and up to 203,333 warrants from time to time through any means described in the section entitled “</w:t>
      </w:r>
      <w:r>
        <w:rPr>
          <w:rFonts w:ascii="Arial" w:cs="Arial" w:eastAsia="Arial" w:hAnsi="Arial"/>
          <w:sz w:val="18"/>
          <w:szCs w:val="18"/>
          <w:i w:val="1"/>
          <w:iCs w:val="1"/>
          <w:color w:val="auto"/>
        </w:rPr>
        <w:t>Plan of</w:t>
      </w:r>
    </w:p>
    <w:p>
      <w:pPr>
        <w:ind w:left="120"/>
        <w:spacing w:after="0" w:line="234" w:lineRule="auto"/>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More specific terms of any securities that the Selling Holders offer and sell may be provided in a prospectus supplement that</w:t>
      </w:r>
    </w:p>
    <w:p>
      <w:pPr>
        <w:ind w:left="120"/>
        <w:spacing w:after="0" w:line="235" w:lineRule="auto"/>
        <w:rPr>
          <w:sz w:val="20"/>
          <w:szCs w:val="20"/>
          <w:color w:val="auto"/>
        </w:rPr>
      </w:pPr>
      <w:r>
        <w:rPr>
          <w:rFonts w:ascii="Arial" w:cs="Arial" w:eastAsia="Arial" w:hAnsi="Arial"/>
          <w:sz w:val="18"/>
          <w:szCs w:val="18"/>
          <w:color w:val="auto"/>
        </w:rPr>
        <w:t>describes, among other things, the specific amounts and prices of the Class A common stock and/or warrants being offered and the terms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offering.</w:t>
      </w:r>
    </w:p>
    <w:p>
      <w:pPr>
        <w:spacing w:after="0" w:line="212"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202" w:lineRule="exact"/>
        <w:rPr>
          <w:sz w:val="20"/>
          <w:szCs w:val="20"/>
          <w:color w:val="auto"/>
        </w:rPr>
      </w:pPr>
    </w:p>
    <w:p>
      <w:pPr>
        <w:ind w:left="120" w:right="360" w:firstLine="551"/>
        <w:spacing w:after="0" w:line="238" w:lineRule="auto"/>
        <w:rPr>
          <w:sz w:val="20"/>
          <w:szCs w:val="20"/>
          <w:color w:val="auto"/>
        </w:rPr>
      </w:pPr>
      <w:r>
        <w:rPr>
          <w:rFonts w:ascii="Arial" w:cs="Arial" w:eastAsia="Arial" w:hAnsi="Arial"/>
          <w:sz w:val="18"/>
          <w:szCs w:val="18"/>
          <w:color w:val="auto"/>
        </w:rPr>
        <w:t>On June 24, 2021 (the “</w:t>
      </w:r>
      <w:r>
        <w:rPr>
          <w:rFonts w:ascii="Arial" w:cs="Arial" w:eastAsia="Arial" w:hAnsi="Arial"/>
          <w:sz w:val="18"/>
          <w:szCs w:val="18"/>
          <w:u w:val="single" w:color="auto"/>
          <w:color w:val="auto"/>
        </w:rPr>
        <w:t>Closing Date</w:t>
      </w:r>
      <w:r>
        <w:rPr>
          <w:rFonts w:ascii="Arial" w:cs="Arial" w:eastAsia="Arial" w:hAnsi="Arial"/>
          <w:sz w:val="18"/>
          <w:szCs w:val="18"/>
          <w:color w:val="auto"/>
        </w:rPr>
        <w:t>”), Perella Weinberg Partners (formerly known as FinTech Acquisition Corp. IV (“</w:t>
      </w:r>
      <w:r>
        <w:rPr>
          <w:rFonts w:ascii="Arial" w:cs="Arial" w:eastAsia="Arial" w:hAnsi="Arial"/>
          <w:sz w:val="18"/>
          <w:szCs w:val="18"/>
          <w:u w:val="single" w:color="auto"/>
          <w:color w:val="auto"/>
        </w:rPr>
        <w:t>FTIV</w:t>
      </w:r>
      <w:r>
        <w:rPr>
          <w:rFonts w:ascii="Arial" w:cs="Arial" w:eastAsia="Arial" w:hAnsi="Arial"/>
          <w:sz w:val="18"/>
          <w:szCs w:val="18"/>
          <w:color w:val="auto"/>
        </w:rPr>
        <w:t>”)), consummated its previously announced business combination pursuant to that certain Business Combination Agreement, dated as of December 29, 2020, by and among FTIV, FinTech Investor Holdings IV, LLC, a Delaware limited liability company, FinTech Masala Advisors, LLC, a Delaware limited liability company (together with FinTech Investor Holdings IV, LLC, “</w:t>
      </w:r>
      <w:r>
        <w:rPr>
          <w:rFonts w:ascii="Arial" w:cs="Arial" w:eastAsia="Arial" w:hAnsi="Arial"/>
          <w:sz w:val="18"/>
          <w:szCs w:val="18"/>
          <w:u w:val="single" w:color="auto"/>
          <w:color w:val="auto"/>
        </w:rPr>
        <w:t>Sponsor</w:t>
      </w:r>
      <w:r>
        <w:rPr>
          <w:rFonts w:ascii="Arial" w:cs="Arial" w:eastAsia="Arial" w:hAnsi="Arial"/>
          <w:sz w:val="18"/>
          <w:szCs w:val="18"/>
          <w:color w:val="auto"/>
        </w:rPr>
        <w:t>”), PWP Holdings LP, a Delaware limited partnership (“</w:t>
      </w:r>
      <w:r>
        <w:rPr>
          <w:rFonts w:ascii="Arial" w:cs="Arial" w:eastAsia="Arial" w:hAnsi="Arial"/>
          <w:sz w:val="18"/>
          <w:szCs w:val="18"/>
          <w:u w:val="single" w:color="auto"/>
          <w:color w:val="auto"/>
        </w:rPr>
        <w:t>PWP OpCo</w:t>
      </w:r>
      <w:r>
        <w:rPr>
          <w:rFonts w:ascii="Arial" w:cs="Arial" w:eastAsia="Arial" w:hAnsi="Arial"/>
          <w:sz w:val="18"/>
          <w:szCs w:val="18"/>
          <w:color w:val="auto"/>
        </w:rPr>
        <w:t>”), PWP GP LLC, a</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Delaware limited liability company and the general partner of PWP OpCo (“</w:t>
      </w:r>
      <w:r>
        <w:rPr>
          <w:rFonts w:ascii="Arial" w:cs="Arial" w:eastAsia="Arial" w:hAnsi="Arial"/>
          <w:sz w:val="18"/>
          <w:szCs w:val="18"/>
          <w:u w:val="single" w:color="auto"/>
          <w:color w:val="auto"/>
        </w:rPr>
        <w:t>PWP GP</w:t>
      </w:r>
      <w:r>
        <w:rPr>
          <w:rFonts w:ascii="Arial" w:cs="Arial" w:eastAsia="Arial" w:hAnsi="Arial"/>
          <w:sz w:val="18"/>
          <w:szCs w:val="18"/>
          <w:color w:val="auto"/>
        </w:rPr>
        <w:t>”), PWP Professional Partners LP, a Delaware limited partnership and a limited partner of PWP OpCo (“</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and Perella Weinberg Partners LLC, a Delaware limited liability company and the general partner of Professional Partners (“</w:t>
      </w:r>
      <w:r>
        <w:rPr>
          <w:rFonts w:ascii="Arial" w:cs="Arial" w:eastAsia="Arial" w:hAnsi="Arial"/>
          <w:sz w:val="18"/>
          <w:szCs w:val="18"/>
          <w:u w:val="single" w:color="auto"/>
          <w:color w:val="auto"/>
        </w:rPr>
        <w:t>Professionals GP</w:t>
      </w:r>
      <w:r>
        <w:rPr>
          <w:rFonts w:ascii="Arial" w:cs="Arial" w:eastAsia="Arial" w:hAnsi="Arial"/>
          <w:sz w:val="18"/>
          <w:szCs w:val="18"/>
          <w:color w:val="auto"/>
        </w:rPr>
        <w:t>”). As contemplated by the Business Combination Agreement, (i) 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234"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and our size or position and the positions of our competitors within these markets, including our products and services relative to our competitors, are based on estimates by our management. These estimates have been derived from our management’s knowledge and experience in the markets in which we operate,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responsible for all of the disclosure in this prospectus and while we believe the data from these sources to be accurate and complete, we have not independently verified all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us being a leader in a market or product category refers to our belief that we have a leading market share, expertise or thought leadership position in each specified market, unless the context otherwise requires. In addition, the discussion herein regarding our various markets is based on how we define the markets for our products or services, which products or services may be either part of larger overall markets or markets that include other types of products and services. Assumptions and estimates regarding our current and future performance are necessarily subject to a high degree of uncertainty and risk due to a variety of factors, including those described in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These and other factors could cause our future performance to differ materially from our assumptions and estimates. See “</w:t>
      </w:r>
      <w:r>
        <w:rPr>
          <w:rFonts w:ascii="Arial" w:cs="Arial" w:eastAsia="Arial" w:hAnsi="Arial"/>
          <w:sz w:val="18"/>
          <w:szCs w:val="18"/>
          <w:i w:val="1"/>
          <w:iCs w:val="1"/>
          <w:color w:val="auto"/>
        </w:rPr>
        <w:t>Cautionary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213"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7"/>
          <w:szCs w:val="17"/>
          <w:color w:val="auto"/>
        </w:rPr>
        <w:t>In this prospectus, we use the term “independent advisory firms” to refer to independent investment banks that offer advisory services. We consider the independent advisory firms to be our publicly traded peers, Evercore Partners Inc.; Greenhill &amp; Co., Inc.; Houlihan Lokey, Inc.; Lazard Ltd; Moelis &amp; Company; PJT Partners, Inc., as well as our non-publicly traded peers, Centerview Partners; Guggenheim Partners; and NM Rothschild &amp; Sons Limited. The mergers and acquisitions (“</w:t>
      </w:r>
      <w:r>
        <w:rPr>
          <w:rFonts w:ascii="Arial" w:cs="Arial" w:eastAsia="Arial" w:hAnsi="Arial"/>
          <w:sz w:val="17"/>
          <w:szCs w:val="17"/>
          <w:u w:val="single" w:color="auto"/>
          <w:color w:val="auto"/>
        </w:rPr>
        <w:t>M&amp;A</w:t>
      </w:r>
      <w:r>
        <w:rPr>
          <w:rFonts w:ascii="Arial" w:cs="Arial" w:eastAsia="Arial" w:hAnsi="Arial"/>
          <w:sz w:val="17"/>
          <w:szCs w:val="17"/>
          <w:color w:val="auto"/>
        </w:rPr>
        <w:t>”) market data for announced and completed transactions and estimated fee data referenced throughout this prospectus were obtained from Dealogic, LLC.</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34"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 xml:space="preserve">This prospectus may contain some trademarks, service marks and trade names of the Company or of third parties.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Unless stated in this prospectus or the context otherwise requires, references to:</w:t>
      </w:r>
    </w:p>
    <w:p>
      <w:pPr>
        <w:spacing w:after="0" w:line="261" w:lineRule="exact"/>
        <w:rPr>
          <w:sz w:val="20"/>
          <w:szCs w:val="20"/>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are to the transactions contemplated by the Business Combination Agreement;</w:t>
      </w:r>
    </w:p>
    <w:p>
      <w:pPr>
        <w:spacing w:after="0" w:line="117" w:lineRule="exact"/>
        <w:rPr>
          <w:rFonts w:ascii="Arial" w:cs="Arial" w:eastAsia="Arial" w:hAnsi="Arial"/>
          <w:sz w:val="18"/>
          <w:szCs w:val="18"/>
          <w:color w:val="auto"/>
        </w:rPr>
      </w:pPr>
    </w:p>
    <w:p>
      <w:pPr>
        <w:ind w:left="880" w:right="14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are to the Business Combination Agreement, dated as of December 29, 2020, by and among FTIV, the Sponsor, PWP OpCo, PWP GP, Professional Partners and Professionals GP, as it may be amended from time to time;</w:t>
      </w:r>
    </w:p>
    <w:p>
      <w:pPr>
        <w:spacing w:after="0" w:line="108"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are to Class A common stock, par value $0.0001 per share, of FTIV prior to the Business Combination, and of the Company immediately following the consummation of the Business Combination;</w:t>
      </w:r>
    </w:p>
    <w:p>
      <w:pPr>
        <w:spacing w:after="0" w:line="102" w:lineRule="exact"/>
        <w:rPr>
          <w:rFonts w:ascii="Arial" w:cs="Arial" w:eastAsia="Arial" w:hAnsi="Arial"/>
          <w:sz w:val="18"/>
          <w:szCs w:val="18"/>
          <w:color w:val="auto"/>
        </w:rPr>
      </w:pPr>
    </w:p>
    <w:p>
      <w:pPr>
        <w:jc w:val="both"/>
        <w:ind w:left="880" w:right="10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are to Class B common stock, par value $0.0001 per share, of FTIV prior to the Business Combination and, collectively to Class B-1 common stock, par value $0.0001 per share, and Class B-2 common stock, par value $0.0001 per share, of the Company immediately following the consummation of the Business Combination;</w:t>
      </w:r>
    </w:p>
    <w:p>
      <w:pPr>
        <w:spacing w:after="0" w:line="108"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Condition</w:t>
      </w:r>
      <w:r>
        <w:rPr>
          <w:rFonts w:ascii="Arial" w:cs="Arial" w:eastAsia="Arial" w:hAnsi="Arial"/>
          <w:sz w:val="18"/>
          <w:szCs w:val="18"/>
          <w:color w:val="auto"/>
        </w:rPr>
        <w:t>” are to the condition that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0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are to the consummation of the transactions contemplated by the Business Combination;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are to June 24, 2021, the date of the closing of the Business Combination;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are to the Class A common stock and the Class B common stock, together;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E&amp;Y</w:t>
      </w:r>
      <w:r>
        <w:rPr>
          <w:rFonts w:ascii="Arial" w:cs="Arial" w:eastAsia="Arial" w:hAnsi="Arial"/>
          <w:sz w:val="18"/>
          <w:szCs w:val="18"/>
          <w:color w:val="auto"/>
        </w:rPr>
        <w:t>” are to Ernst &amp; Young LLP, independent registered public accounting firm to PWP Holdings LP and the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are to the Securities Exchange Act of 1934, as amended;</w:t>
      </w:r>
    </w:p>
    <w:p>
      <w:pPr>
        <w:spacing w:after="0" w:line="117"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Shares</w:t>
      </w:r>
      <w:r>
        <w:rPr>
          <w:rFonts w:ascii="Arial" w:cs="Arial" w:eastAsia="Arial" w:hAnsi="Arial"/>
          <w:sz w:val="18"/>
          <w:szCs w:val="18"/>
          <w:color w:val="auto"/>
        </w:rPr>
        <w:t>” are to shares of Class A common stock issuable in exchange for PWP OpCo Class A partnership units and Class B common stock pursuant to the PWP OpCo LPA (as defined below);</w:t>
      </w:r>
    </w:p>
    <w:p>
      <w:pPr>
        <w:spacing w:after="0" w:line="102" w:lineRule="exact"/>
        <w:rPr>
          <w:rFonts w:ascii="Arial" w:cs="Arial" w:eastAsia="Arial" w:hAnsi="Arial"/>
          <w:sz w:val="18"/>
          <w:szCs w:val="18"/>
          <w:color w:val="auto"/>
        </w:rPr>
      </w:pPr>
    </w:p>
    <w:p>
      <w:pPr>
        <w:ind w:left="880" w:right="14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are to the 7,870,000 shares of Class B common stock held by the Sponsor prior to the Business Combination, 1,023,333 of which were forfeited and 6,846,667 of which were converted into shares of our Class A common stock at the closing of the Business Combination;</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are to the Generally Accepted Accounting Principles in the United States of America;</w:t>
      </w:r>
    </w:p>
    <w:p>
      <w:pPr>
        <w:spacing w:after="0" w:line="117"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LP</w:t>
      </w:r>
      <w:r>
        <w:rPr>
          <w:rFonts w:ascii="Arial" w:cs="Arial" w:eastAsia="Arial" w:hAnsi="Arial"/>
          <w:sz w:val="18"/>
          <w:szCs w:val="18"/>
          <w:color w:val="auto"/>
        </w:rPr>
        <w:t>” are to Perella Weinberg Partners Group LP, a Delaware limited partnership and a wholly owned subsidiary of PWP OpCo;</w:t>
      </w:r>
    </w:p>
    <w:p>
      <w:pPr>
        <w:spacing w:after="0" w:line="102"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ILPs</w:t>
      </w:r>
      <w:r>
        <w:rPr>
          <w:rFonts w:ascii="Arial" w:cs="Arial" w:eastAsia="Arial" w:hAnsi="Arial"/>
          <w:sz w:val="18"/>
          <w:szCs w:val="18"/>
          <w:color w:val="auto"/>
        </w:rPr>
        <w:t>” are to certain existing investor limited partners of PWP OpCo who hold interests in PWP OpCo, alongside Professional Partners;</w:t>
      </w:r>
    </w:p>
    <w:p>
      <w:pPr>
        <w:spacing w:after="0" w:line="102"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Plan</w:t>
      </w:r>
      <w:r>
        <w:rPr>
          <w:rFonts w:ascii="Arial" w:cs="Arial" w:eastAsia="Arial" w:hAnsi="Arial"/>
          <w:sz w:val="18"/>
          <w:szCs w:val="18"/>
          <w:color w:val="auto"/>
        </w:rPr>
        <w:t>” are to the Perella Weinberg Partners 2021 Omnibus Incentive Plan approved in connection with the Business Combination;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Stockholders</w:t>
      </w:r>
      <w:r>
        <w:rPr>
          <w:rFonts w:ascii="Arial" w:cs="Arial" w:eastAsia="Arial" w:hAnsi="Arial"/>
          <w:sz w:val="18"/>
          <w:szCs w:val="18"/>
          <w:color w:val="auto"/>
        </w:rPr>
        <w:t>” are to the Sponsor and any other holders of Class B common stock prior to FTIV’s IPO;</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are to FTIV’s initial public offering on September 29, 2020 in which it sold 23,000,000 units;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are to the Jumpstart Our Business Startups Act of 2012;</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Partners</w:t>
      </w:r>
      <w:r>
        <w:rPr>
          <w:rFonts w:ascii="Arial" w:cs="Arial" w:eastAsia="Arial" w:hAnsi="Arial"/>
          <w:sz w:val="18"/>
          <w:szCs w:val="18"/>
          <w:color w:val="auto"/>
        </w:rPr>
        <w:t>” are to former working Limited Partners whose tenure was terminated prior to November 1, 2020;</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Partners</w:t>
      </w:r>
      <w:r>
        <w:rPr>
          <w:rFonts w:ascii="Arial" w:cs="Arial" w:eastAsia="Arial" w:hAnsi="Arial"/>
          <w:sz w:val="18"/>
          <w:szCs w:val="18"/>
          <w:color w:val="auto"/>
        </w:rPr>
        <w:t>” are to limited partners of Professional Partners;</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Shares</w:t>
      </w:r>
      <w:r>
        <w:rPr>
          <w:rFonts w:ascii="Arial" w:cs="Arial" w:eastAsia="Arial" w:hAnsi="Arial"/>
          <w:sz w:val="18"/>
          <w:szCs w:val="18"/>
          <w:color w:val="auto"/>
        </w:rPr>
        <w:t>” are to the 12,500,000 shares of Class A common stock issued to the PIPE Investors pursuant to the Subscription Agreements;</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Shares</w:t>
      </w:r>
      <w:r>
        <w:rPr>
          <w:rFonts w:ascii="Arial" w:cs="Arial" w:eastAsia="Arial" w:hAnsi="Arial"/>
          <w:sz w:val="18"/>
          <w:szCs w:val="18"/>
          <w:color w:val="auto"/>
        </w:rPr>
        <w:t>” are to the 610,000 shares of Class A common stock underlying the 610,000 units that were initially issued to the Sponsor in a private placement simultaneously with the closing of the IPO;</w:t>
      </w:r>
    </w:p>
    <w:p>
      <w:pPr>
        <w:spacing w:after="0" w:line="102"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are to the 203,333.33 warrants underlying the 610,000 units that were initially issued to Sponsor in a private placement simultaneously with the closing of the IPO;</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are to PWP Professional Partners LP, a Delaware limited partnership;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warrants</w:t>
      </w:r>
      <w:r>
        <w:rPr>
          <w:rFonts w:ascii="Arial" w:cs="Arial" w:eastAsia="Arial" w:hAnsi="Arial"/>
          <w:sz w:val="18"/>
          <w:szCs w:val="18"/>
          <w:color w:val="auto"/>
        </w:rPr>
        <w:t>” are to the redeemable warrants underlying the units that were initially offered and sold by FTIV in its IPO;</w:t>
      </w:r>
    </w:p>
    <w:p>
      <w:pPr>
        <w:spacing w:after="0" w:line="117" w:lineRule="exact"/>
        <w:rPr>
          <w:rFonts w:ascii="Arial" w:cs="Arial" w:eastAsia="Arial" w:hAnsi="Arial"/>
          <w:sz w:val="18"/>
          <w:szCs w:val="18"/>
          <w:color w:val="auto"/>
        </w:rPr>
      </w:pPr>
    </w:p>
    <w:p>
      <w:pPr>
        <w:ind w:left="880" w:right="96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w:t>
      </w:r>
      <w:r>
        <w:rPr>
          <w:rFonts w:ascii="Arial" w:cs="Arial" w:eastAsia="Arial" w:hAnsi="Arial"/>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GP</w:t>
      </w:r>
      <w:r>
        <w:rPr>
          <w:rFonts w:ascii="Arial" w:cs="Arial" w:eastAsia="Arial" w:hAnsi="Arial"/>
          <w:sz w:val="18"/>
          <w:szCs w:val="18"/>
          <w:color w:val="auto"/>
        </w:rPr>
        <w:t>” are to PWP GP LLC, the general partner of PWP OpCo;</w:t>
      </w:r>
    </w:p>
    <w:p>
      <w:pPr>
        <w:spacing w:after="0" w:line="117" w:lineRule="exact"/>
        <w:rPr>
          <w:rFonts w:ascii="Arial" w:cs="Arial" w:eastAsia="Arial" w:hAnsi="Arial"/>
          <w:sz w:val="18"/>
          <w:szCs w:val="18"/>
          <w:color w:val="auto"/>
        </w:rPr>
      </w:pPr>
    </w:p>
    <w:p>
      <w:pPr>
        <w:ind w:left="880" w:right="24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(i) prior to the PWP Separation, are to PWP Holdings LP as the holding company for both the advisory business and asset management business of PWP and (ii) following the PWP Separation, are to PWP Holdings LP as the holding company solely for the advisory business of PWP;</w:t>
      </w:r>
    </w:p>
    <w:p>
      <w:pPr>
        <w:spacing w:after="0" w:line="108"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Class A partnership unit</w:t>
      </w:r>
      <w:r>
        <w:rPr>
          <w:rFonts w:ascii="Arial" w:cs="Arial" w:eastAsia="Arial" w:hAnsi="Arial"/>
          <w:sz w:val="18"/>
          <w:szCs w:val="18"/>
          <w:color w:val="auto"/>
        </w:rPr>
        <w:t>” are to a Class A common unit of PWP Holdings LP, a Delaware limited partnership, that is issued by PWP Holdings LP pursuant to the PWP OpCo LPA;</w:t>
      </w:r>
    </w:p>
    <w:p>
      <w:pPr>
        <w:spacing w:after="0" w:line="102"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Separation</w:t>
      </w:r>
      <w:r>
        <w:rPr>
          <w:rFonts w:ascii="Arial" w:cs="Arial" w:eastAsia="Arial" w:hAnsi="Arial"/>
          <w:sz w:val="18"/>
          <w:szCs w:val="18"/>
          <w:color w:val="auto"/>
        </w:rPr>
        <w:t>” are to the separation of the advisory business from the asset management business of PWP OpCo pursuant to a master separation agreement, dated as of February 28, 2019;</w:t>
      </w:r>
    </w:p>
    <w:p>
      <w:pPr>
        <w:spacing w:after="0" w:line="102" w:lineRule="exact"/>
        <w:rPr>
          <w:rFonts w:ascii="Arial" w:cs="Arial" w:eastAsia="Arial" w:hAnsi="Arial"/>
          <w:sz w:val="18"/>
          <w:szCs w:val="18"/>
          <w:color w:val="auto"/>
        </w:rPr>
      </w:pPr>
    </w:p>
    <w:p>
      <w:pPr>
        <w:ind w:left="880" w:right="160" w:hanging="224"/>
        <w:spacing w:after="0" w:line="23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Redeeming Holders</w:t>
      </w:r>
      <w:r>
        <w:rPr>
          <w:rFonts w:ascii="Arial" w:cs="Arial" w:eastAsia="Arial" w:hAnsi="Arial"/>
          <w:sz w:val="18"/>
          <w:szCs w:val="18"/>
          <w:color w:val="auto"/>
        </w:rPr>
        <w:t>” are to all of the holders who agreed to collectively tender for redemption $150 million aggregate principal amount of their 7.0% subordinated unsecured convertible notes due 2026 (such convertible notes, the “</w:t>
      </w:r>
      <w:r>
        <w:rPr>
          <w:rFonts w:ascii="Arial" w:cs="Arial" w:eastAsia="Arial" w:hAnsi="Arial"/>
          <w:sz w:val="18"/>
          <w:szCs w:val="18"/>
          <w:u w:val="single" w:color="auto"/>
          <w:color w:val="auto"/>
        </w:rPr>
        <w:t>Redeemed Notes</w:t>
      </w:r>
      <w:r>
        <w:rPr>
          <w:rFonts w:ascii="Arial" w:cs="Arial" w:eastAsia="Arial" w:hAnsi="Arial"/>
          <w:sz w:val="18"/>
          <w:szCs w:val="18"/>
          <w:color w:val="auto"/>
        </w:rPr>
        <w:t>”) for cash, pursuant to the terms of the letter agreements at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w:t>
      </w:r>
    </w:p>
    <w:p>
      <w:pPr>
        <w:spacing w:after="0" w:line="110"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RRA Parties</w:t>
      </w:r>
      <w:r>
        <w:rPr>
          <w:rFonts w:ascii="Arial" w:cs="Arial" w:eastAsia="Arial" w:hAnsi="Arial"/>
          <w:sz w:val="18"/>
          <w:szCs w:val="18"/>
          <w:color w:val="auto"/>
        </w:rPr>
        <w:t>” are to the Sponsor, Professional Partners, the ILPs and others party to the Amended and Restated Registration Rights Agreement;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are to the Sarbanes-Oxley Act of 2002;</w:t>
      </w:r>
    </w:p>
    <w:p>
      <w:pPr>
        <w:spacing w:after="0" w:line="117"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Secondary Class B Condition</w:t>
      </w:r>
      <w:r>
        <w:rPr>
          <w:rFonts w:ascii="Arial" w:cs="Arial" w:eastAsia="Arial" w:hAnsi="Arial"/>
          <w:sz w:val="18"/>
          <w:szCs w:val="18"/>
          <w:color w:val="auto"/>
        </w:rPr>
        <w:t>” are to the condition that Professional Partners or its limited partners as of the date of Closing or its or their respective successors or assigns maintain,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08" w:lineRule="exact"/>
        <w:rPr>
          <w:sz w:val="20"/>
          <w:szCs w:val="20"/>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are to the Securities Act of 1933, as amended;</w:t>
      </w:r>
    </w:p>
    <w:p>
      <w:pPr>
        <w:spacing w:after="0" w:line="117" w:lineRule="exact"/>
        <w:rPr>
          <w:rFonts w:ascii="Arial" w:cs="Arial" w:eastAsia="Arial" w:hAnsi="Arial"/>
          <w:sz w:val="18"/>
          <w:szCs w:val="18"/>
          <w:color w:val="auto"/>
        </w:rPr>
      </w:pPr>
    </w:p>
    <w:p>
      <w:pPr>
        <w:ind w:left="880" w:right="3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Holders</w:t>
      </w:r>
      <w:r>
        <w:rPr>
          <w:rFonts w:ascii="Arial" w:cs="Arial" w:eastAsia="Arial" w:hAnsi="Arial"/>
          <w:sz w:val="18"/>
          <w:szCs w:val="18"/>
          <w:color w:val="auto"/>
        </w:rPr>
        <w:t>” are to the selling holders identified in this prospectus and the pledgees, donees, transferees, assignees, successors and others who later come to hold any of the Selling Holders’ interest in the shares of Class A common stock or warrants, as applicable, after the date of this prospectus such that registration rights shall apply to those securities;</w:t>
      </w:r>
    </w:p>
    <w:p>
      <w:pPr>
        <w:spacing w:after="0" w:line="108"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are collectively to FinTech Investor Holdings IV, LLC, a Delaware limited liability company, and Fintech Masala Advisors, LLC, a Delaware limited liability company;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Related PIPE Investors</w:t>
      </w:r>
      <w:r>
        <w:rPr>
          <w:rFonts w:ascii="Arial" w:cs="Arial" w:eastAsia="Arial" w:hAnsi="Arial"/>
          <w:sz w:val="18"/>
          <w:szCs w:val="18"/>
          <w:color w:val="auto"/>
        </w:rPr>
        <w:t>” are to the certain PIPE Investors that subscribed to $1.5 million in the PIPE Investment;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Partners</w:t>
      </w:r>
      <w:r>
        <w:rPr>
          <w:rFonts w:ascii="Arial" w:cs="Arial" w:eastAsia="Arial" w:hAnsi="Arial"/>
          <w:sz w:val="18"/>
          <w:szCs w:val="18"/>
          <w:color w:val="auto"/>
        </w:rPr>
        <w:t>” are to working Limited Partners whose tenure was not terminated prior to November 1, 2020;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are to public warrants and private placement warrants.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Certain statements made in this prospectus are “forward looking statements.”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13" w:lineRule="exact"/>
        <w:rPr>
          <w:sz w:val="20"/>
          <w:szCs w:val="20"/>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the Company;</w:t>
      </w:r>
    </w:p>
    <w:p>
      <w:pPr>
        <w:spacing w:after="0" w:line="117" w:lineRule="exact"/>
        <w:rPr>
          <w:rFonts w:ascii="Arial" w:cs="Arial" w:eastAsia="Arial" w:hAnsi="Arial"/>
          <w:sz w:val="18"/>
          <w:szCs w:val="18"/>
          <w:color w:val="auto"/>
        </w:rPr>
      </w:pPr>
    </w:p>
    <w:p>
      <w:pPr>
        <w:ind w:left="880" w:right="54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the listing of the Company’s Class A common stock and warrants on Nasdaq following the Business Combination;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members of our management team allocating their time to other businesses and potentially having conflicts of interest with our business;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17" w:lineRule="exact"/>
        <w:rPr>
          <w:rFonts w:ascii="Arial" w:cs="Arial" w:eastAsia="Arial" w:hAnsi="Arial"/>
          <w:sz w:val="18"/>
          <w:szCs w:val="18"/>
          <w:color w:val="auto"/>
        </w:rPr>
      </w:pPr>
    </w:p>
    <w:p>
      <w:pPr>
        <w:ind w:left="1320" w:hanging="435"/>
        <w:spacing w:after="0" w:line="246"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02" w:lineRule="exact"/>
        <w:rPr>
          <w:rFonts w:ascii="Arial" w:cs="Arial" w:eastAsia="Arial" w:hAnsi="Arial"/>
          <w:sz w:val="18"/>
          <w:szCs w:val="18"/>
          <w:color w:val="auto"/>
        </w:rPr>
      </w:pPr>
    </w:p>
    <w:p>
      <w:pPr>
        <w:ind w:left="1320" w:right="340" w:hanging="435"/>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global economic, business, market and geopolitical conditions, including the impact of public health crises, such as the ongoing rapid, worldwide spread of a novel strain of coronavirus and the pandemic caused thereby (collectively, “</w:t>
      </w:r>
      <w:r>
        <w:rPr>
          <w:rFonts w:ascii="Arial" w:cs="Arial" w:eastAsia="Arial" w:hAnsi="Arial"/>
          <w:sz w:val="18"/>
          <w:szCs w:val="18"/>
          <w:u w:val="single" w:color="auto"/>
          <w:color w:val="auto"/>
        </w:rPr>
        <w:t>COVID-19</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1320" w:hanging="435"/>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17" w:lineRule="exact"/>
        <w:rPr>
          <w:rFonts w:ascii="Arial" w:cs="Arial" w:eastAsia="Arial" w:hAnsi="Arial"/>
          <w:sz w:val="18"/>
          <w:szCs w:val="18"/>
          <w:color w:val="auto"/>
        </w:rPr>
      </w:pPr>
    </w:p>
    <w:p>
      <w:pPr>
        <w:ind w:left="1320" w:right="1720" w:hanging="435"/>
        <w:spacing w:after="0" w:line="246"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02" w:lineRule="exact"/>
        <w:rPr>
          <w:rFonts w:ascii="Arial" w:cs="Arial" w:eastAsia="Arial" w:hAnsi="Arial"/>
          <w:sz w:val="18"/>
          <w:szCs w:val="18"/>
          <w:color w:val="auto"/>
        </w:rPr>
      </w:pPr>
    </w:p>
    <w:p>
      <w:pPr>
        <w:ind w:left="1320" w:right="240" w:hanging="435"/>
        <w:spacing w:after="0" w:line="246"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38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08"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17" w:lineRule="exact"/>
        <w:rPr>
          <w:rFonts w:ascii="Arial" w:cs="Arial" w:eastAsia="Arial" w:hAnsi="Arial"/>
          <w:sz w:val="18"/>
          <w:szCs w:val="18"/>
          <w:color w:val="auto"/>
        </w:rPr>
      </w:pPr>
    </w:p>
    <w:p>
      <w:pPr>
        <w:ind w:left="1320" w:right="660" w:hanging="435"/>
        <w:spacing w:after="0" w:line="246"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relating to the Company’s operations, financial results, financial condition, business prospects, growth strategy and liquidity;</w:t>
      </w:r>
    </w:p>
    <w:p>
      <w:pPr>
        <w:spacing w:after="0" w:line="102" w:lineRule="exact"/>
        <w:rPr>
          <w:rFonts w:ascii="Arial" w:cs="Arial" w:eastAsia="Arial" w:hAnsi="Arial"/>
          <w:sz w:val="18"/>
          <w:szCs w:val="18"/>
          <w:color w:val="auto"/>
        </w:rPr>
      </w:pPr>
    </w:p>
    <w:p>
      <w:pPr>
        <w:ind w:left="1320" w:right="28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108"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99" w:lineRule="exact"/>
        <w:rPr>
          <w:rFonts w:ascii="Arial" w:cs="Arial" w:eastAsia="Arial" w:hAnsi="Arial"/>
          <w:sz w:val="18"/>
          <w:szCs w:val="18"/>
          <w:color w:val="auto"/>
        </w:rPr>
      </w:pPr>
    </w:p>
    <w:p>
      <w:pPr>
        <w:ind w:left="1320" w:hanging="43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30"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forward-looking statements contained in this prospectus are based on current expectations and beliefs concerning future developments and their potential effects on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The Company undertakes no obligation to update or revise any forward-looking statements, whether as a result of new information, future events or otherwise, except as may be required under applicable securities laws.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80" w:firstLine="532"/>
        <w:spacing w:after="0" w:line="239" w:lineRule="auto"/>
        <w:rPr>
          <w:sz w:val="20"/>
          <w:szCs w:val="20"/>
          <w:color w:val="auto"/>
        </w:rPr>
      </w:pPr>
      <w:r>
        <w:rPr>
          <w:rFonts w:ascii="Arial" w:cs="Arial" w:eastAsia="Arial" w:hAnsi="Arial"/>
          <w:sz w:val="18"/>
          <w:szCs w:val="18"/>
          <w:i w:val="1"/>
          <w:iCs w:val="1"/>
          <w:color w:val="auto"/>
        </w:rPr>
        <w:t>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“Risk Factors,” “Cautionary Statement Regarding Forward Looking Statements,” “PWP’s Management’s Discussion and Analysis of Financial Condition and Results of Operations,” “Unaudited Pro Forma Condensed Combined Financial Information,” and the consolidated financial statements and the related notes thereto included elsewhere in this prospectus before making an investment decision. The definition of some of the other terms used in this prospectus are set forth under the section “Selected Definitions.”</w:t>
      </w: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Business Summary</w:t>
      </w:r>
    </w:p>
    <w:p>
      <w:pPr>
        <w:spacing w:after="0" w:line="234" w:lineRule="exact"/>
        <w:rPr>
          <w:sz w:val="20"/>
          <w:szCs w:val="20"/>
          <w:color w:val="auto"/>
        </w:rPr>
      </w:pPr>
    </w:p>
    <w:p>
      <w:pPr>
        <w:ind w:left="300" w:right="160" w:firstLine="532"/>
        <w:spacing w:after="0" w:line="238"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205" w:lineRule="exact"/>
        <w:rPr>
          <w:sz w:val="20"/>
          <w:szCs w:val="20"/>
          <w:color w:val="auto"/>
        </w:rPr>
      </w:pPr>
    </w:p>
    <w:p>
      <w:pPr>
        <w:ind w:left="300" w:right="60" w:firstLine="532"/>
        <w:spacing w:after="0" w:line="236" w:lineRule="auto"/>
        <w:rPr>
          <w:sz w:val="20"/>
          <w:szCs w:val="20"/>
          <w:color w:val="auto"/>
        </w:rPr>
      </w:pPr>
      <w:r>
        <w:rPr>
          <w:rFonts w:ascii="Arial" w:cs="Arial" w:eastAsia="Arial" w:hAnsi="Arial"/>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207" w:lineRule="exact"/>
        <w:rPr>
          <w:sz w:val="20"/>
          <w:szCs w:val="20"/>
          <w:color w:val="auto"/>
        </w:rPr>
      </w:pPr>
    </w:p>
    <w:p>
      <w:pPr>
        <w:ind w:left="300" w:right="120" w:firstLine="532"/>
        <w:spacing w:after="0" w:line="237"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205"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46" w:lineRule="auto"/>
        <w:rPr>
          <w:sz w:val="20"/>
          <w:szCs w:val="20"/>
          <w:color w:val="auto"/>
        </w:rPr>
      </w:pPr>
      <w:r>
        <w:rPr>
          <w:rFonts w:ascii="Arial" w:cs="Arial" w:eastAsia="Arial" w:hAnsi="Arial"/>
          <w:sz w:val="18"/>
          <w:szCs w:val="18"/>
          <w:color w:val="auto"/>
        </w:rPr>
        <w:t>strategic vision, which increased our footprint in this sector. As of June 30, 2021, we serve our clients with 372 advisory professionals, including 57 advisory partners, based in ten offices, located in five countries around the world.</w:t>
      </w:r>
    </w:p>
    <w:p>
      <w:pPr>
        <w:spacing w:after="0" w:line="197" w:lineRule="exact"/>
        <w:rPr>
          <w:sz w:val="20"/>
          <w:szCs w:val="20"/>
          <w:color w:val="auto"/>
        </w:rPr>
      </w:pPr>
    </w:p>
    <w:p>
      <w:pPr>
        <w:ind w:left="300" w:right="160" w:firstLine="532"/>
        <w:spacing w:after="0" w:line="234" w:lineRule="auto"/>
        <w:rPr>
          <w:sz w:val="20"/>
          <w:szCs w:val="20"/>
          <w:color w:val="auto"/>
        </w:rPr>
      </w:pPr>
      <w:r>
        <w:rPr>
          <w:rFonts w:ascii="Arial" w:cs="Arial" w:eastAsia="Arial" w:hAnsi="Arial"/>
          <w:sz w:val="18"/>
          <w:szCs w:val="18"/>
          <w:color w:val="auto"/>
        </w:rPr>
        <w:t>We have demonstrated robust financial performance, achieving revenues of $169.8 million, operating income of $ 28.0 million and Adjusted operating income of $36.0 million for the three months ended March 31, 2021, revenues of $519.0 million, operating loss of $14.6 million and Adjusted operating income of $40.3 million for the year ended December 31, 2020, revenues of</w:t>
      </w:r>
    </w:p>
    <w:p>
      <w:pPr>
        <w:spacing w:after="0" w:line="2" w:lineRule="exact"/>
        <w:rPr>
          <w:sz w:val="20"/>
          <w:szCs w:val="20"/>
          <w:color w:val="auto"/>
        </w:rPr>
      </w:pPr>
    </w:p>
    <w:p>
      <w:pPr>
        <w:ind w:left="300" w:right="40"/>
        <w:spacing w:after="0" w:line="236" w:lineRule="auto"/>
        <w:rPr>
          <w:sz w:val="20"/>
          <w:szCs w:val="20"/>
          <w:color w:val="auto"/>
        </w:rPr>
      </w:pPr>
      <w:r>
        <w:rPr>
          <w:rFonts w:ascii="Arial" w:cs="Arial" w:eastAsia="Arial" w:hAnsi="Arial"/>
          <w:sz w:val="18"/>
          <w:szCs w:val="18"/>
          <w:color w:val="auto"/>
        </w:rPr>
        <w:t>$533.3 million, operating loss of $ 155.1 million and Adjusted operating income of $49.5 million for the year ended December 31, 2019, revenues of $ 702.0 million, operating loss of $ 107.4 million and Adjusted operating income of $107.7 million for the year ended December 31, 2018 and revenues of $418.4 million, operating loss of $173.9 million and Adjusted operating income of $40.1 million for the year ended December 31, 2017. These GAAP operating losses have been largely due to the equity-based compensation awards granted by Professional Partners, which have no economic impact on PWP or PWP OpCo. The vesting of equity awards granted in connection with the Transaction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26" w:lineRule="exact"/>
        <w:rPr>
          <w:sz w:val="20"/>
          <w:szCs w:val="20"/>
          <w:color w:val="auto"/>
        </w:rPr>
      </w:pPr>
    </w:p>
    <w:p>
      <w:pPr>
        <w:ind w:left="300" w:right="40" w:firstLine="532"/>
        <w:spacing w:after="0" w:line="238" w:lineRule="auto"/>
        <w:rPr>
          <w:sz w:val="20"/>
          <w:szCs w:val="20"/>
          <w:color w:val="auto"/>
        </w:rPr>
      </w:pPr>
      <w:r>
        <w:rPr>
          <w:rFonts w:ascii="Arial" w:cs="Arial" w:eastAsia="Arial" w:hAnsi="Arial"/>
          <w:sz w:val="18"/>
          <w:szCs w:val="18"/>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82" w:lineRule="exact"/>
        <w:rPr>
          <w:sz w:val="20"/>
          <w:szCs w:val="20"/>
          <w:color w:val="auto"/>
        </w:rPr>
      </w:pPr>
    </w:p>
    <w:p>
      <w:pPr>
        <w:ind w:left="300" w:right="240" w:firstLine="532"/>
        <w:spacing w:after="0" w:line="247"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accelerating pace. 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74" w:lineRule="exact"/>
        <w:rPr>
          <w:sz w:val="20"/>
          <w:szCs w:val="20"/>
          <w:color w:val="auto"/>
        </w:rPr>
      </w:pPr>
    </w:p>
    <w:p>
      <w:pPr>
        <w:ind w:left="300" w:right="100" w:firstLine="532"/>
        <w:spacing w:after="0" w:line="247"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peers and the 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74" w:lineRule="exact"/>
        <w:rPr>
          <w:sz w:val="20"/>
          <w:szCs w:val="20"/>
          <w:color w:val="auto"/>
        </w:rPr>
      </w:pPr>
    </w:p>
    <w:p>
      <w:pPr>
        <w:ind w:left="300" w:right="40" w:firstLine="532"/>
        <w:spacing w:after="0" w:line="247"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73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300" w:right="100" w:firstLine="532"/>
        <w:spacing w:after="0" w:line="25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tax policies, environmental laws, regulations and policies, migration policies and economic stability, among others, can have a significant impact on the decisions that business leaders make to drive the success of their businesses.</w:t>
      </w:r>
    </w:p>
    <w:p>
      <w:pPr>
        <w:spacing w:after="0" w:line="191" w:lineRule="exact"/>
        <w:rPr>
          <w:sz w:val="20"/>
          <w:szCs w:val="20"/>
          <w:color w:val="auto"/>
        </w:rPr>
      </w:pPr>
    </w:p>
    <w:p>
      <w:pPr>
        <w:ind w:left="300" w:right="80" w:firstLine="532"/>
        <w:spacing w:after="0" w:line="238"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205" w:lineRule="exact"/>
        <w:rPr>
          <w:sz w:val="20"/>
          <w:szCs w:val="20"/>
          <w:color w:val="auto"/>
        </w:rPr>
      </w:pPr>
    </w:p>
    <w:p>
      <w:pPr>
        <w:ind w:left="300" w:right="220" w:firstLine="532"/>
        <w:spacing w:after="0"/>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81"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b w:val="1"/>
          <w:bCs w:val="1"/>
          <w:i w:val="1"/>
          <w:iCs w:val="1"/>
          <w:color w:val="auto"/>
        </w:rPr>
        <w:t xml:space="preserve">Growing Demand for Independent Advice: </w:t>
      </w:r>
      <w:r>
        <w:rPr>
          <w:rFonts w:ascii="Arial" w:cs="Arial" w:eastAsia="Arial" w:hAnsi="Arial"/>
          <w:sz w:val="18"/>
          <w:szCs w:val="18"/>
          <w:color w:val="auto"/>
        </w:rPr>
        <w:t>We believe the momentum driving demand for independent advice remains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When we founded our 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 five-year period ended December 31, 2020, up from 47% on average during the five-year period ended December 31, 2005. Similarly, according to Dealogic, the estimated M&amp;A fee pool of our peer independent advisory firms averaged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83" w:lineRule="exact"/>
        <w:rPr>
          <w:sz w:val="20"/>
          <w:szCs w:val="20"/>
          <w:color w:val="auto"/>
        </w:rPr>
      </w:pPr>
    </w:p>
    <w:p>
      <w:pPr>
        <w:ind w:left="300" w:right="40" w:firstLine="532"/>
        <w:spacing w:after="0" w:line="239" w:lineRule="auto"/>
        <w:rPr>
          <w:sz w:val="20"/>
          <w:szCs w:val="20"/>
          <w:color w:val="auto"/>
        </w:rPr>
      </w:pPr>
      <w:r>
        <w:rPr>
          <w:rFonts w:ascii="Arial" w:cs="Arial" w:eastAsia="Arial" w:hAnsi="Arial"/>
          <w:sz w:val="18"/>
          <w:szCs w:val="18"/>
          <w:b w:val="1"/>
          <w:bCs w:val="1"/>
          <w:i w:val="1"/>
          <w:iCs w:val="1"/>
          <w:color w:val="auto"/>
        </w:rPr>
        <w:t xml:space="preserve">Dynamic Mergers &amp; Acquisitions Activity: </w:t>
      </w:r>
      <w:r>
        <w:rPr>
          <w:rFonts w:ascii="Arial" w:cs="Arial" w:eastAsia="Arial" w:hAnsi="Arial"/>
          <w:sz w:val="18"/>
          <w:szCs w:val="18"/>
          <w:color w:val="auto"/>
        </w:rPr>
        <w:t>We believe the M&amp;A environment will remain active over the medium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a 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83" w:lineRule="exact"/>
        <w:rPr>
          <w:sz w:val="20"/>
          <w:szCs w:val="20"/>
          <w:color w:val="auto"/>
        </w:rPr>
      </w:pPr>
    </w:p>
    <w:p>
      <w:pPr>
        <w:ind w:left="300" w:right="40" w:firstLine="532"/>
        <w:spacing w:after="0" w:line="247" w:lineRule="auto"/>
        <w:rPr>
          <w:sz w:val="20"/>
          <w:szCs w:val="20"/>
          <w:color w:val="auto"/>
        </w:rPr>
      </w:pPr>
      <w:r>
        <w:rPr>
          <w:rFonts w:ascii="Arial" w:cs="Arial" w:eastAsia="Arial" w:hAnsi="Arial"/>
          <w:sz w:val="18"/>
          <w:szCs w:val="18"/>
          <w:b w:val="1"/>
          <w:bCs w:val="1"/>
          <w:i w:val="1"/>
          <w:iCs w:val="1"/>
          <w:color w:val="auto"/>
        </w:rPr>
        <w:t xml:space="preserve">Growing Demand in Liability Management (Restructuring and Capital Markets) Advisory Services: </w:t>
      </w:r>
      <w:r>
        <w:rPr>
          <w:rFonts w:ascii="Arial" w:cs="Arial" w:eastAsia="Arial" w:hAnsi="Arial"/>
          <w:sz w:val="18"/>
          <w:szCs w:val="18"/>
          <w:color w:val="auto"/>
        </w:rPr>
        <w:t>We believe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large debt 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w:t>
      </w: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Principles Define Our Strategy</w:t>
      </w:r>
    </w:p>
    <w:p>
      <w:pPr>
        <w:spacing w:after="0" w:line="234" w:lineRule="exact"/>
        <w:rPr>
          <w:sz w:val="20"/>
          <w:szCs w:val="20"/>
          <w:color w:val="auto"/>
        </w:rPr>
      </w:pPr>
    </w:p>
    <w:p>
      <w:pPr>
        <w:ind w:left="300" w:right="120" w:firstLine="532"/>
        <w:spacing w:after="0" w:line="246"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Five key principles drive our approach:</w:t>
      </w:r>
    </w:p>
    <w:p>
      <w:pPr>
        <w:spacing w:after="0" w:line="82" w:lineRule="exact"/>
        <w:rPr>
          <w:sz w:val="20"/>
          <w:szCs w:val="20"/>
          <w:color w:val="auto"/>
        </w:rPr>
      </w:pPr>
    </w:p>
    <w:p>
      <w:pPr>
        <w:jc w:val="both"/>
        <w:ind w:left="300" w:right="200" w:firstLine="532"/>
        <w:spacing w:after="0" w:line="271"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dialogue. Our clients often rely on us to assist them in assessing opportunities and challenges throughout their corporate evolution.</w:t>
      </w:r>
    </w:p>
    <w:p>
      <w:pPr>
        <w:spacing w:after="0" w:line="154" w:lineRule="exact"/>
        <w:rPr>
          <w:sz w:val="20"/>
          <w:szCs w:val="20"/>
          <w:color w:val="auto"/>
        </w:rPr>
      </w:pPr>
    </w:p>
    <w:p>
      <w:pPr>
        <w:ind w:left="300" w:firstLine="532"/>
        <w:spacing w:after="0" w:line="271"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humility, rigor, and intensity. Working together is a critical ingredient of our success.</w:t>
      </w:r>
    </w:p>
    <w:p>
      <w:pPr>
        <w:spacing w:after="0" w:line="154" w:lineRule="exact"/>
        <w:rPr>
          <w:sz w:val="20"/>
          <w:szCs w:val="20"/>
          <w:color w:val="auto"/>
        </w:rPr>
      </w:pPr>
    </w:p>
    <w:p>
      <w:pPr>
        <w:ind w:left="300" w:right="140" w:firstLine="532"/>
        <w:spacing w:after="0" w:line="25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active advisory markets worldwide. Our closely integrated partnership approach enables us to efficiently leverage our deep industry expertise with clients across geographies.</w:t>
      </w:r>
    </w:p>
    <w:p>
      <w:pPr>
        <w:spacing w:after="0" w:line="169" w:lineRule="exact"/>
        <w:rPr>
          <w:sz w:val="20"/>
          <w:szCs w:val="20"/>
          <w:color w:val="auto"/>
        </w:rPr>
      </w:pPr>
    </w:p>
    <w:p>
      <w:pPr>
        <w:ind w:left="300" w:right="340" w:firstLine="532"/>
        <w:spacing w:after="0" w:line="271"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deep strategic thinking and personalized approach to partner with our clients to achieve their objectives.</w:t>
      </w:r>
    </w:p>
    <w:p>
      <w:pPr>
        <w:spacing w:after="0" w:line="154" w:lineRule="exact"/>
        <w:rPr>
          <w:sz w:val="20"/>
          <w:szCs w:val="20"/>
          <w:color w:val="auto"/>
        </w:rPr>
      </w:pPr>
    </w:p>
    <w:p>
      <w:pPr>
        <w:jc w:val="both"/>
        <w:ind w:left="300" w:right="120" w:firstLine="532"/>
        <w:spacing w:after="0" w:line="25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firm with innovative, independent views and a willingness to speak with candor. We are not afraid to voice our perspective and are not afraid for “no” to be the right answer.</w:t>
      </w:r>
    </w:p>
    <w:p>
      <w:pPr>
        <w:spacing w:after="0" w:line="191" w:lineRule="exact"/>
        <w:rPr>
          <w:sz w:val="20"/>
          <w:szCs w:val="20"/>
          <w:color w:val="auto"/>
        </w:rPr>
      </w:pPr>
    </w:p>
    <w:p>
      <w:pPr>
        <w:ind w:left="300" w:right="60" w:firstLine="532"/>
        <w:spacing w:after="0" w:line="246"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Key Competitive Strengths</w:t>
      </w:r>
    </w:p>
    <w:p>
      <w:pPr>
        <w:spacing w:after="0" w:line="234" w:lineRule="exact"/>
        <w:rPr>
          <w:sz w:val="20"/>
          <w:szCs w:val="20"/>
          <w:color w:val="auto"/>
        </w:rPr>
      </w:pPr>
    </w:p>
    <w:p>
      <w:pPr>
        <w:ind w:left="300" w:right="60" w:firstLine="532"/>
        <w:spacing w:after="0" w:line="246"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8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0"/>
        <w:spacing w:after="0" w:line="238" w:lineRule="auto"/>
        <w:rPr>
          <w:sz w:val="20"/>
          <w:szCs w:val="20"/>
          <w:color w:val="auto"/>
        </w:rPr>
      </w:pPr>
      <w:r>
        <w:rPr>
          <w:rFonts w:ascii="Arial" w:cs="Arial" w:eastAsia="Arial" w:hAnsi="Arial"/>
          <w:sz w:val="18"/>
          <w:szCs w:val="18"/>
          <w:color w:val="auto"/>
        </w:rPr>
        <w:t>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82" w:lineRule="exact"/>
        <w:rPr>
          <w:sz w:val="20"/>
          <w:szCs w:val="20"/>
          <w:color w:val="auto"/>
        </w:rPr>
      </w:pPr>
    </w:p>
    <w:p>
      <w:pPr>
        <w:ind w:left="300" w:firstLine="532"/>
        <w:spacing w:after="0"/>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decisions 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80" w:lineRule="exact"/>
        <w:rPr>
          <w:sz w:val="20"/>
          <w:szCs w:val="20"/>
          <w:color w:val="auto"/>
        </w:rPr>
      </w:pPr>
    </w:p>
    <w:p>
      <w:pPr>
        <w:ind w:left="300" w:right="80" w:firstLine="532"/>
        <w:spacing w:after="0" w:line="242"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 out 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79" w:lineRule="exact"/>
        <w:rPr>
          <w:sz w:val="20"/>
          <w:szCs w:val="20"/>
          <w:color w:val="auto"/>
        </w:rPr>
      </w:pPr>
    </w:p>
    <w:p>
      <w:pPr>
        <w:ind w:left="300" w:right="60" w:firstLine="532"/>
        <w:spacing w:after="0" w:line="244"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exceptional 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76" w:lineRule="exact"/>
        <w:rPr>
          <w:sz w:val="20"/>
          <w:szCs w:val="20"/>
          <w:color w:val="auto"/>
        </w:rPr>
      </w:pPr>
    </w:p>
    <w:p>
      <w:pPr>
        <w:ind w:left="300" w:right="60" w:firstLine="532"/>
        <w:spacing w:after="0" w:line="242"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79" w:lineRule="exact"/>
        <w:rPr>
          <w:sz w:val="20"/>
          <w:szCs w:val="20"/>
          <w:color w:val="auto"/>
        </w:rPr>
      </w:pPr>
    </w:p>
    <w:p>
      <w:pPr>
        <w:ind w:left="300" w:right="220" w:firstLine="532"/>
        <w:spacing w:after="0" w:line="239"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creative ideas. 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4" w:lineRule="exact"/>
        <w:rPr>
          <w:sz w:val="20"/>
          <w:szCs w:val="20"/>
          <w:color w:val="auto"/>
        </w:rPr>
      </w:pPr>
    </w:p>
    <w:p>
      <w:pPr>
        <w:ind w:left="300" w:right="280" w:firstLine="532"/>
        <w:spacing w:after="0" w:line="246"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w:t>
      </w: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color w:val="auto"/>
        </w:rPr>
        <w:t>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82"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which 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79"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sectors across 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85" w:lineRule="exact"/>
        <w:rPr>
          <w:sz w:val="20"/>
          <w:szCs w:val="20"/>
          <w:color w:val="auto"/>
        </w:rPr>
      </w:pPr>
    </w:p>
    <w:p>
      <w:pPr>
        <w:ind w:left="300" w:firstLine="532"/>
        <w:spacing w:after="0"/>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85" w:lineRule="exact"/>
        <w:rPr>
          <w:sz w:val="20"/>
          <w:szCs w:val="20"/>
          <w:color w:val="auto"/>
        </w:rPr>
      </w:pPr>
    </w:p>
    <w:p>
      <w:pPr>
        <w:ind w:left="300" w:right="420" w:firstLine="532"/>
        <w:spacing w:after="0" w:line="271"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away from solely transactional advice. Independent thought</w:t>
      </w: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00"/>
        <w:spacing w:after="0" w:line="238" w:lineRule="auto"/>
        <w:rPr>
          <w:sz w:val="20"/>
          <w:szCs w:val="20"/>
          <w:color w:val="auto"/>
        </w:rPr>
      </w:pPr>
      <w:r>
        <w:rPr>
          <w:rFonts w:ascii="Arial" w:cs="Arial" w:eastAsia="Arial" w:hAnsi="Arial"/>
          <w:sz w:val="18"/>
          <w:szCs w:val="18"/>
          <w:color w:val="auto"/>
        </w:rPr>
        <w:t>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83"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b w:val="1"/>
          <w:bCs w:val="1"/>
          <w:i w:val="1"/>
          <w:iCs w:val="1"/>
          <w:color w:val="auto"/>
        </w:rPr>
        <w:t xml:space="preserve">Attracting, Developing and Retaining World-Class Talent to the Firm: </w:t>
      </w:r>
      <w:r>
        <w:rPr>
          <w:rFonts w:ascii="Arial" w:cs="Arial" w:eastAsia="Arial" w:hAnsi="Arial"/>
          <w:sz w:val="18"/>
          <w:szCs w:val="18"/>
          <w:color w:val="auto"/>
        </w:rPr>
        <w:t>Attracting and retaining world-class talent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is a 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207" w:lineRule="exact"/>
        <w:rPr>
          <w:sz w:val="20"/>
          <w:szCs w:val="20"/>
          <w:color w:val="auto"/>
        </w:rPr>
      </w:pPr>
    </w:p>
    <w:p>
      <w:pPr>
        <w:ind w:left="300" w:right="200" w:firstLine="532"/>
        <w:spacing w:after="0" w:line="255" w:lineRule="auto"/>
        <w:rPr>
          <w:sz w:val="20"/>
          <w:szCs w:val="20"/>
          <w:color w:val="auto"/>
        </w:rPr>
      </w:pPr>
      <w:r>
        <w:rPr>
          <w:rFonts w:ascii="Arial" w:cs="Arial" w:eastAsia="Arial" w:hAnsi="Arial"/>
          <w:sz w:val="17"/>
          <w:szCs w:val="17"/>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68" w:lineRule="exact"/>
        <w:rPr>
          <w:sz w:val="20"/>
          <w:szCs w:val="20"/>
          <w:color w:val="auto"/>
        </w:rPr>
      </w:pPr>
    </w:p>
    <w:p>
      <w:pPr>
        <w:ind w:left="300" w:right="100" w:firstLine="532"/>
        <w:spacing w:after="0" w:line="242" w:lineRule="auto"/>
        <w:rPr>
          <w:sz w:val="20"/>
          <w:szCs w:val="20"/>
          <w:color w:val="auto"/>
        </w:rPr>
      </w:pPr>
      <w:r>
        <w:rPr>
          <w:rFonts w:ascii="Arial" w:cs="Arial" w:eastAsia="Arial" w:hAnsi="Arial"/>
          <w:sz w:val="18"/>
          <w:szCs w:val="18"/>
          <w:b w:val="1"/>
          <w:bCs w:val="1"/>
          <w:i w:val="1"/>
          <w:iCs w:val="1"/>
          <w:color w:val="auto"/>
        </w:rPr>
        <w:t xml:space="preserve">Maintaining Discipline in How We Manage Our Business: </w:t>
      </w:r>
      <w:r>
        <w:rPr>
          <w:rFonts w:ascii="Arial" w:cs="Arial" w:eastAsia="Arial" w:hAnsi="Arial"/>
          <w:sz w:val="18"/>
          <w:szCs w:val="18"/>
          <w:color w:val="auto"/>
        </w:rPr>
        <w:t>We manage our business in an effort to deliver value creation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201" w:lineRule="exact"/>
        <w:rPr>
          <w:sz w:val="20"/>
          <w:szCs w:val="20"/>
          <w:color w:val="auto"/>
        </w:rPr>
      </w:pPr>
    </w:p>
    <w:p>
      <w:pPr>
        <w:jc w:val="both"/>
        <w:ind w:left="300" w:right="280" w:firstLine="532"/>
        <w:spacing w:after="0"/>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Benefits of Being a Public Company</w:t>
      </w:r>
    </w:p>
    <w:p>
      <w:pPr>
        <w:spacing w:after="0" w:line="234" w:lineRule="exact"/>
        <w:rPr>
          <w:sz w:val="20"/>
          <w:szCs w:val="20"/>
          <w:color w:val="auto"/>
        </w:rPr>
      </w:pPr>
    </w:p>
    <w:p>
      <w:pPr>
        <w:ind w:left="300" w:right="620" w:firstLine="532"/>
        <w:spacing w:after="0" w:line="246" w:lineRule="auto"/>
        <w:rPr>
          <w:sz w:val="20"/>
          <w:szCs w:val="20"/>
          <w:color w:val="auto"/>
        </w:rPr>
      </w:pPr>
      <w:r>
        <w:rPr>
          <w:rFonts w:ascii="Arial" w:cs="Arial" w:eastAsia="Arial" w:hAnsi="Arial"/>
          <w:sz w:val="18"/>
          <w:szCs w:val="18"/>
          <w:color w:val="auto"/>
        </w:rPr>
        <w:t>We believe that being a public company pursuant to the Business Combination is an important evolutionary step for our business and will allow us to:</w:t>
      </w:r>
    </w:p>
    <w:p>
      <w:pPr>
        <w:spacing w:after="0" w:line="102" w:lineRule="exact"/>
        <w:rPr>
          <w:sz w:val="20"/>
          <w:szCs w:val="20"/>
          <w:color w:val="auto"/>
        </w:rPr>
      </w:pPr>
    </w:p>
    <w:p>
      <w:pPr>
        <w:ind w:left="1020" w:hanging="195"/>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business, including through the improved ability to attract, hire and retain talented advisory professionals utilizing publicly traded equity;</w:t>
      </w:r>
    </w:p>
    <w:p>
      <w:pPr>
        <w:spacing w:after="0" w:line="102" w:lineRule="exact"/>
        <w:rPr>
          <w:rFonts w:ascii="Arial" w:cs="Arial" w:eastAsia="Arial" w:hAnsi="Arial"/>
          <w:sz w:val="18"/>
          <w:szCs w:val="18"/>
          <w:color w:val="auto"/>
        </w:rPr>
      </w:pPr>
    </w:p>
    <w:p>
      <w:pPr>
        <w:ind w:left="1020" w:right="240" w:hanging="195"/>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capabilities, including through investments in additional technology-enabled services and data that we believe can improve our overall advisory service offerings;</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strengthen our brand and further position us as a leading global independent advisor;</w:t>
      </w:r>
    </w:p>
    <w:p>
      <w:pPr>
        <w:spacing w:after="0" w:line="117" w:lineRule="exact"/>
        <w:rPr>
          <w:rFonts w:ascii="Arial" w:cs="Arial" w:eastAsia="Arial" w:hAnsi="Arial"/>
          <w:sz w:val="18"/>
          <w:szCs w:val="18"/>
          <w:color w:val="auto"/>
        </w:rPr>
      </w:pPr>
    </w:p>
    <w:p>
      <w:pPr>
        <w:ind w:left="1020" w:right="920" w:hanging="195"/>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deepen and broaden our ownership culture through continued equity-based compensation to a broad base of our employees;</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liquidity to our ILPs and Limited Partners;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 means for broad alignment of our partners with the value creation of the firm.</w:t>
      </w: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Advisory Offerings</w:t>
      </w:r>
    </w:p>
    <w:p>
      <w:pPr>
        <w:spacing w:after="0" w:line="234" w:lineRule="exact"/>
        <w:rPr>
          <w:sz w:val="20"/>
          <w:szCs w:val="20"/>
          <w:color w:val="auto"/>
        </w:rPr>
      </w:pPr>
    </w:p>
    <w:p>
      <w:pPr>
        <w:ind w:left="300" w:right="20" w:firstLine="532"/>
        <w:spacing w:after="0" w:line="238"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Clients</w:t>
      </w:r>
    </w:p>
    <w:p>
      <w:pPr>
        <w:spacing w:after="0" w:line="126" w:lineRule="exact"/>
        <w:rPr>
          <w:sz w:val="20"/>
          <w:szCs w:val="20"/>
          <w:color w:val="auto"/>
        </w:rPr>
      </w:pPr>
    </w:p>
    <w:p>
      <w:pPr>
        <w:ind w:left="300" w:right="340" w:firstLine="532"/>
        <w:spacing w:after="0" w:line="238"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205"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203" w:lineRule="exact"/>
        <w:rPr>
          <w:sz w:val="20"/>
          <w:szCs w:val="20"/>
          <w:color w:val="auto"/>
        </w:rPr>
      </w:pPr>
    </w:p>
    <w:p>
      <w:pPr>
        <w:jc w:val="both"/>
        <w:ind w:left="300" w:right="120" w:firstLine="532"/>
        <w:spacing w:after="0" w:line="238"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900 clients on transactions in over 40 countries.</w:t>
      </w:r>
    </w:p>
    <w:p>
      <w:pPr>
        <w:spacing w:after="0" w:line="205"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26" w:lineRule="exact"/>
        <w:rPr>
          <w:sz w:val="20"/>
          <w:szCs w:val="20"/>
          <w:color w:val="auto"/>
        </w:rPr>
      </w:pPr>
    </w:p>
    <w:p>
      <w:pPr>
        <w:ind w:left="300" w:right="20" w:firstLine="532"/>
        <w:spacing w:after="0"/>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3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35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right="60" w:firstLine="532"/>
        <w:spacing w:after="0" w:line="242"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range 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79" w:lineRule="exact"/>
        <w:rPr>
          <w:sz w:val="20"/>
          <w:szCs w:val="20"/>
          <w:color w:val="auto"/>
        </w:rPr>
      </w:pPr>
    </w:p>
    <w:p>
      <w:pPr>
        <w:ind w:left="300" w:firstLine="532"/>
        <w:spacing w:after="0"/>
        <w:rPr>
          <w:sz w:val="20"/>
          <w:szCs w:val="20"/>
          <w:color w:val="auto"/>
        </w:rPr>
      </w:pPr>
      <w:r>
        <w:rPr>
          <w:rFonts w:ascii="Arial" w:cs="Arial" w:eastAsia="Arial" w:hAnsi="Arial"/>
          <w:sz w:val="18"/>
          <w:szCs w:val="18"/>
          <w:b w:val="1"/>
          <w:bCs w:val="1"/>
          <w:i w:val="1"/>
          <w:iCs w:val="1"/>
          <w:color w:val="auto"/>
        </w:rPr>
        <w:t xml:space="preserve">Liability Management and Capital Structure Advisory: </w:t>
      </w:r>
      <w:r>
        <w:rPr>
          <w:rFonts w:ascii="Arial" w:cs="Arial" w:eastAsia="Arial" w:hAnsi="Arial"/>
          <w:sz w:val="18"/>
          <w:szCs w:val="18"/>
          <w:color w:val="auto"/>
        </w:rPr>
        <w:t>We have built a leading franchise to serve the liability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85"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financing 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85" w:lineRule="exact"/>
        <w:rPr>
          <w:sz w:val="20"/>
          <w:szCs w:val="20"/>
          <w:color w:val="auto"/>
        </w:rPr>
      </w:pPr>
    </w:p>
    <w:p>
      <w:pPr>
        <w:ind w:left="300" w:right="20" w:firstLine="532"/>
        <w:spacing w:after="0" w:line="242" w:lineRule="auto"/>
        <w:rPr>
          <w:sz w:val="20"/>
          <w:szCs w:val="20"/>
          <w:color w:val="auto"/>
        </w:rPr>
      </w:pPr>
      <w:r>
        <w:rPr>
          <w:rFonts w:ascii="Arial" w:cs="Arial" w:eastAsia="Arial" w:hAnsi="Arial"/>
          <w:sz w:val="18"/>
          <w:szCs w:val="18"/>
          <w:b w:val="1"/>
          <w:bCs w:val="1"/>
          <w:i w:val="1"/>
          <w:iCs w:val="1"/>
          <w:color w:val="auto"/>
        </w:rPr>
        <w:t xml:space="preserve">Special Purpose Acquisition Companies: </w:t>
      </w:r>
      <w:r>
        <w:rPr>
          <w:rFonts w:ascii="Arial" w:cs="Arial" w:eastAsia="Arial" w:hAnsi="Arial"/>
          <w:sz w:val="18"/>
          <w:szCs w:val="18"/>
          <w:color w:val="auto"/>
        </w:rPr>
        <w:t>We have a relationship with the sponsor of PWP Forward Acquisition Corp.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PFAC</w:t>
      </w:r>
      <w:r>
        <w:rPr>
          <w:rFonts w:ascii="Arial" w:cs="Arial" w:eastAsia="Arial" w:hAnsi="Arial"/>
          <w:sz w:val="18"/>
          <w:szCs w:val="18"/>
          <w:color w:val="auto"/>
        </w:rPr>
        <w:t>”), a special purpose acquisition company (“</w:t>
      </w:r>
      <w:r>
        <w:rPr>
          <w:rFonts w:ascii="Arial" w:cs="Arial" w:eastAsia="Arial" w:hAnsi="Arial"/>
          <w:sz w:val="18"/>
          <w:szCs w:val="18"/>
          <w:u w:val="single" w:color="auto"/>
          <w:color w:val="auto"/>
        </w:rPr>
        <w:t>SPAC</w:t>
      </w:r>
      <w:r>
        <w:rPr>
          <w:rFonts w:ascii="Arial" w:cs="Arial" w:eastAsia="Arial" w:hAnsi="Arial"/>
          <w:sz w:val="18"/>
          <w:szCs w:val="18"/>
          <w:color w:val="auto"/>
        </w:rPr>
        <w:t>”) that was formed to effect a business combination with a company that is founded by, led by or enriches the lives of women. We may in the future have relationships with subsequent SPACs and similar entities. SPACs provide us with opportunities to use our expertise to assist private companies in accessing growth capital and becoming publicly-traded companies. We believe working with growth companies enhances our network and facilitates dialogues with other participants in the industry, and subsequently may lead to business opportunities.</w:t>
      </w:r>
    </w:p>
    <w:p>
      <w:pPr>
        <w:spacing w:after="0" w:line="179" w:lineRule="exact"/>
        <w:rPr>
          <w:sz w:val="20"/>
          <w:szCs w:val="20"/>
          <w:color w:val="auto"/>
        </w:rPr>
      </w:pPr>
    </w:p>
    <w:p>
      <w:pPr>
        <w:ind w:left="300" w:right="60" w:firstLine="532"/>
        <w:spacing w:after="0" w:line="239" w:lineRule="auto"/>
        <w:rPr>
          <w:sz w:val="20"/>
          <w:szCs w:val="20"/>
          <w:color w:val="auto"/>
        </w:rPr>
      </w:pPr>
      <w:r>
        <w:rPr>
          <w:rFonts w:ascii="Arial" w:cs="Arial" w:eastAsia="Arial" w:hAnsi="Arial"/>
          <w:sz w:val="18"/>
          <w:szCs w:val="18"/>
          <w:b w:val="1"/>
          <w:bCs w:val="1"/>
          <w:i w:val="1"/>
          <w:iCs w:val="1"/>
          <w:color w:val="auto"/>
        </w:rPr>
        <w:t xml:space="preserve">Collaborations with Other Firms: </w:t>
      </w:r>
      <w:r>
        <w:rPr>
          <w:rFonts w:ascii="Arial" w:cs="Arial" w:eastAsia="Arial" w:hAnsi="Arial"/>
          <w:sz w:val="18"/>
          <w:szCs w:val="18"/>
          <w:color w:val="auto"/>
        </w:rPr>
        <w:t>The Company has entered into collaborative relationships with certain other firms,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Mizuho 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Results</w:t>
      </w:r>
    </w:p>
    <w:p>
      <w:pPr>
        <w:spacing w:after="0" w:line="126" w:lineRule="exact"/>
        <w:rPr>
          <w:sz w:val="20"/>
          <w:szCs w:val="20"/>
          <w:color w:val="auto"/>
        </w:rPr>
      </w:pPr>
    </w:p>
    <w:p>
      <w:pPr>
        <w:ind w:left="300" w:right="40" w:firstLine="532"/>
        <w:spacing w:after="0" w:line="238" w:lineRule="auto"/>
        <w:rPr>
          <w:sz w:val="20"/>
          <w:szCs w:val="20"/>
          <w:color w:val="auto"/>
        </w:rPr>
      </w:pPr>
      <w:r>
        <w:rPr>
          <w:rFonts w:ascii="Arial" w:cs="Arial" w:eastAsia="Arial" w:hAnsi="Arial"/>
          <w:sz w:val="18"/>
          <w:szCs w:val="18"/>
          <w:color w:val="auto"/>
        </w:rPr>
        <w:t>Since our inception, we have advised on over $1 trillion of M&amp;A transactions with over 900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219" w:lineRule="exact"/>
        <w:rPr>
          <w:sz w:val="20"/>
          <w:szCs w:val="20"/>
          <w:color w:val="auto"/>
        </w:rPr>
      </w:pPr>
    </w:p>
    <w:tbl>
      <w:tblPr>
        <w:tblLayout w:type="fixed"/>
        <w:tblInd w:w="310" w:type="dxa"/>
        <w:tblCellMar>
          <w:top w:w="0" w:type="dxa"/>
          <w:left w:w="0" w:type="dxa"/>
          <w:bottom w:w="0" w:type="dxa"/>
          <w:right w:w="0" w:type="dxa"/>
        </w:tblCellMar>
      </w:tblPr>
      <w:tr>
        <w:trPr>
          <w:trHeight w:val="254"/>
        </w:trPr>
        <w:tc>
          <w:tcPr>
            <w:tcW w:w="900" w:type="dxa"/>
            <w:vAlign w:val="bottom"/>
            <w:tcBorders>
              <w:top w:val="single" w:sz="8" w:color="auto"/>
              <w:left w:val="single" w:sz="8" w:color="auto"/>
              <w:bottom w:val="single" w:sz="8" w:color="auto"/>
            </w:tcBorders>
            <w:shd w:val="clear" w:color="auto" w:fill="01649D"/>
          </w:tcPr>
          <w:p>
            <w:pPr>
              <w:spacing w:after="0"/>
              <w:rPr>
                <w:sz w:val="22"/>
                <w:szCs w:val="22"/>
                <w:color w:val="auto"/>
              </w:rPr>
            </w:pPr>
          </w:p>
        </w:tc>
        <w:tc>
          <w:tcPr>
            <w:tcW w:w="2640" w:type="dxa"/>
            <w:vAlign w:val="bottom"/>
            <w:tcBorders>
              <w:top w:val="single" w:sz="8" w:color="auto"/>
              <w:bottom w:val="single" w:sz="8" w:color="auto"/>
              <w:right w:val="single" w:sz="8" w:color="auto"/>
            </w:tcBorders>
            <w:gridSpan w:val="2"/>
            <w:shd w:val="clear" w:color="auto" w:fill="01649D"/>
          </w:tcPr>
          <w:p>
            <w:pPr>
              <w:ind w:left="100"/>
              <w:spacing w:after="0"/>
              <w:rPr>
                <w:sz w:val="20"/>
                <w:szCs w:val="20"/>
                <w:color w:val="auto"/>
              </w:rPr>
            </w:pPr>
            <w:r>
              <w:rPr>
                <w:rFonts w:ascii="Arial" w:cs="Arial" w:eastAsia="Arial" w:hAnsi="Arial"/>
                <w:sz w:val="18"/>
                <w:szCs w:val="18"/>
                <w:b w:val="1"/>
                <w:bCs w:val="1"/>
                <w:color w:val="FFFFFF"/>
              </w:rPr>
              <w:t>Large-Cap Advisory</w:t>
            </w:r>
          </w:p>
        </w:tc>
        <w:tc>
          <w:tcPr>
            <w:tcW w:w="940" w:type="dxa"/>
            <w:vAlign w:val="bottom"/>
            <w:tcBorders>
              <w:top w:val="single" w:sz="8" w:color="auto"/>
              <w:bottom w:val="single" w:sz="8" w:color="auto"/>
            </w:tcBorders>
            <w:shd w:val="clear" w:color="auto" w:fill="01649D"/>
          </w:tcPr>
          <w:p>
            <w:pPr>
              <w:spacing w:after="0"/>
              <w:rPr>
                <w:sz w:val="22"/>
                <w:szCs w:val="22"/>
                <w:color w:val="auto"/>
              </w:rPr>
            </w:pPr>
          </w:p>
        </w:tc>
        <w:tc>
          <w:tcPr>
            <w:tcW w:w="2700" w:type="dxa"/>
            <w:vAlign w:val="bottom"/>
            <w:tcBorders>
              <w:top w:val="single" w:sz="8" w:color="auto"/>
              <w:bottom w:val="single" w:sz="8" w:color="auto"/>
              <w:right w:val="single" w:sz="8" w:color="auto"/>
            </w:tcBorders>
            <w:gridSpan w:val="2"/>
            <w:shd w:val="clear" w:color="auto" w:fill="01649D"/>
          </w:tcPr>
          <w:p>
            <w:pPr>
              <w:ind w:left="160"/>
              <w:spacing w:after="0"/>
              <w:rPr>
                <w:sz w:val="20"/>
                <w:szCs w:val="20"/>
                <w:color w:val="auto"/>
              </w:rPr>
            </w:pPr>
            <w:r>
              <w:rPr>
                <w:rFonts w:ascii="Arial" w:cs="Arial" w:eastAsia="Arial" w:hAnsi="Arial"/>
                <w:sz w:val="18"/>
                <w:szCs w:val="18"/>
                <w:b w:val="1"/>
                <w:bCs w:val="1"/>
                <w:color w:val="FFFFFF"/>
              </w:rPr>
              <w:t>Mid-Cap Advisory</w:t>
            </w:r>
          </w:p>
        </w:tc>
        <w:tc>
          <w:tcPr>
            <w:tcW w:w="3480" w:type="dxa"/>
            <w:vAlign w:val="bottom"/>
            <w:tcBorders>
              <w:top w:val="single" w:sz="8" w:color="auto"/>
              <w:bottom w:val="single" w:sz="8" w:color="auto"/>
              <w:right w:val="single" w:sz="8" w:color="auto"/>
            </w:tcBorders>
            <w:gridSpan w:val="2"/>
            <w:shd w:val="clear" w:color="auto" w:fill="01649D"/>
          </w:tcPr>
          <w:p>
            <w:pPr>
              <w:ind w:left="420"/>
              <w:spacing w:after="0"/>
              <w:rPr>
                <w:sz w:val="20"/>
                <w:szCs w:val="20"/>
                <w:color w:val="auto"/>
              </w:rPr>
            </w:pPr>
            <w:r>
              <w:rPr>
                <w:rFonts w:ascii="Arial" w:cs="Arial" w:eastAsia="Arial" w:hAnsi="Arial"/>
                <w:sz w:val="18"/>
                <w:szCs w:val="18"/>
                <w:b w:val="1"/>
                <w:bCs w:val="1"/>
                <w:color w:val="FFFFFF"/>
              </w:rPr>
              <w:t>Restructuring / Capital Markets</w:t>
            </w:r>
          </w:p>
        </w:tc>
        <w:tc>
          <w:tcPr>
            <w:tcW w:w="0" w:type="dxa"/>
            <w:vAlign w:val="bottom"/>
          </w:tcPr>
          <w:p>
            <w:pPr>
              <w:spacing w:after="0"/>
              <w:rPr>
                <w:sz w:val="1"/>
                <w:szCs w:val="1"/>
                <w:color w:val="auto"/>
              </w:rPr>
            </w:pPr>
          </w:p>
        </w:tc>
      </w:tr>
      <w:tr>
        <w:trPr>
          <w:trHeight w:val="167"/>
        </w:trPr>
        <w:tc>
          <w:tcPr>
            <w:tcW w:w="900" w:type="dxa"/>
            <w:vAlign w:val="bottom"/>
            <w:tcBorders>
              <w:left w:val="single" w:sz="8" w:color="auto"/>
              <w:bottom w:val="single" w:sz="8" w:color="auto"/>
            </w:tcBorders>
            <w:shd w:val="clear" w:color="auto" w:fill="9CB3D5"/>
          </w:tcPr>
          <w:p>
            <w:pPr>
              <w:ind w:left="440"/>
              <w:spacing w:after="0"/>
              <w:rPr>
                <w:sz w:val="20"/>
                <w:szCs w:val="20"/>
                <w:color w:val="auto"/>
              </w:rPr>
            </w:pPr>
            <w:r>
              <w:rPr>
                <w:rFonts w:ascii="Arial" w:cs="Arial" w:eastAsia="Arial" w:hAnsi="Arial"/>
                <w:sz w:val="13"/>
                <w:szCs w:val="13"/>
                <w:b w:val="1"/>
                <w:bCs w:val="1"/>
                <w:color w:val="FFFFFF"/>
              </w:rPr>
              <w:t>Client</w:t>
            </w:r>
          </w:p>
        </w:tc>
        <w:tc>
          <w:tcPr>
            <w:tcW w:w="200" w:type="dxa"/>
            <w:vAlign w:val="bottom"/>
            <w:tcBorders>
              <w:bottom w:val="single" w:sz="8" w:color="auto"/>
              <w:right w:val="single" w:sz="8" w:color="auto"/>
            </w:tcBorders>
            <w:shd w:val="clear" w:color="auto" w:fill="9CB3D5"/>
          </w:tcPr>
          <w:p>
            <w:pPr>
              <w:spacing w:after="0"/>
              <w:rPr>
                <w:sz w:val="14"/>
                <w:szCs w:val="14"/>
                <w:color w:val="auto"/>
              </w:rPr>
            </w:pPr>
          </w:p>
        </w:tc>
        <w:tc>
          <w:tcPr>
            <w:tcW w:w="2440" w:type="dxa"/>
            <w:vAlign w:val="bottom"/>
            <w:tcBorders>
              <w:bottom w:val="single" w:sz="8" w:color="auto"/>
              <w:right w:val="single" w:sz="8" w:color="auto"/>
            </w:tcBorders>
            <w:shd w:val="clear" w:color="auto" w:fill="9CB3D5"/>
          </w:tcPr>
          <w:p>
            <w:pPr>
              <w:ind w:left="900"/>
              <w:spacing w:after="0"/>
              <w:rPr>
                <w:sz w:val="20"/>
                <w:szCs w:val="20"/>
                <w:color w:val="auto"/>
              </w:rPr>
            </w:pPr>
            <w:r>
              <w:rPr>
                <w:rFonts w:ascii="Arial" w:cs="Arial" w:eastAsia="Arial" w:hAnsi="Arial"/>
                <w:sz w:val="13"/>
                <w:szCs w:val="13"/>
                <w:b w:val="1"/>
                <w:bCs w:val="1"/>
                <w:color w:val="FFFFFF"/>
              </w:rPr>
              <w:t>Transaction</w:t>
            </w:r>
          </w:p>
        </w:tc>
        <w:tc>
          <w:tcPr>
            <w:tcW w:w="940" w:type="dxa"/>
            <w:vAlign w:val="bottom"/>
            <w:tcBorders>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40" w:type="dxa"/>
            <w:vAlign w:val="bottom"/>
            <w:tcBorders>
              <w:bottom w:val="single" w:sz="8" w:color="auto"/>
              <w:right w:val="single" w:sz="8" w:color="auto"/>
            </w:tcBorders>
            <w:shd w:val="clear" w:color="auto" w:fill="9CB3D5"/>
          </w:tcPr>
          <w:p>
            <w:pPr>
              <w:spacing w:after="0"/>
              <w:rPr>
                <w:sz w:val="14"/>
                <w:szCs w:val="14"/>
                <w:color w:val="auto"/>
              </w:rPr>
            </w:pPr>
          </w:p>
        </w:tc>
        <w:tc>
          <w:tcPr>
            <w:tcW w:w="2460" w:type="dxa"/>
            <w:vAlign w:val="bottom"/>
            <w:tcBorders>
              <w:bottom w:val="single" w:sz="8" w:color="auto"/>
              <w:right w:val="single" w:sz="8" w:color="auto"/>
            </w:tcBorders>
            <w:shd w:val="clear" w:color="auto" w:fill="9CB3D5"/>
          </w:tcPr>
          <w:p>
            <w:pPr>
              <w:ind w:left="920"/>
              <w:spacing w:after="0"/>
              <w:rPr>
                <w:sz w:val="20"/>
                <w:szCs w:val="20"/>
                <w:color w:val="auto"/>
              </w:rPr>
            </w:pPr>
            <w:r>
              <w:rPr>
                <w:rFonts w:ascii="Arial" w:cs="Arial" w:eastAsia="Arial" w:hAnsi="Arial"/>
                <w:sz w:val="13"/>
                <w:szCs w:val="13"/>
                <w:b w:val="1"/>
                <w:bCs w:val="1"/>
                <w:color w:val="FFFFFF"/>
              </w:rPr>
              <w:t>Transaction</w:t>
            </w:r>
          </w:p>
        </w:tc>
        <w:tc>
          <w:tcPr>
            <w:tcW w:w="1160" w:type="dxa"/>
            <w:vAlign w:val="bottom"/>
            <w:tcBorders>
              <w:bottom w:val="single" w:sz="8" w:color="auto"/>
              <w:right w:val="single" w:sz="8" w:color="auto"/>
            </w:tcBorders>
            <w:shd w:val="clear" w:color="auto" w:fill="9CB3D5"/>
          </w:tcPr>
          <w:p>
            <w:pPr>
              <w:ind w:left="440"/>
              <w:spacing w:after="0"/>
              <w:rPr>
                <w:sz w:val="20"/>
                <w:szCs w:val="20"/>
                <w:color w:val="auto"/>
              </w:rPr>
            </w:pPr>
            <w:r>
              <w:rPr>
                <w:rFonts w:ascii="Arial" w:cs="Arial" w:eastAsia="Arial" w:hAnsi="Arial"/>
                <w:sz w:val="13"/>
                <w:szCs w:val="13"/>
                <w:b w:val="1"/>
                <w:bCs w:val="1"/>
                <w:color w:val="FFFFFF"/>
              </w:rPr>
              <w:t>Client</w:t>
            </w:r>
          </w:p>
        </w:tc>
        <w:tc>
          <w:tcPr>
            <w:tcW w:w="2320" w:type="dxa"/>
            <w:vAlign w:val="bottom"/>
            <w:tcBorders>
              <w:bottom w:val="single" w:sz="8" w:color="auto"/>
              <w:right w:val="single" w:sz="8" w:color="auto"/>
            </w:tcBorders>
            <w:shd w:val="clear" w:color="auto" w:fill="9CB3D5"/>
          </w:tcPr>
          <w:p>
            <w:pPr>
              <w:ind w:left="820"/>
              <w:spacing w:after="0"/>
              <w:rPr>
                <w:sz w:val="20"/>
                <w:szCs w:val="20"/>
                <w:color w:val="auto"/>
              </w:rPr>
            </w:pPr>
            <w:r>
              <w:rPr>
                <w:rFonts w:ascii="Arial" w:cs="Arial" w:eastAsia="Arial" w:hAnsi="Arial"/>
                <w:sz w:val="13"/>
                <w:szCs w:val="13"/>
                <w:b w:val="1"/>
                <w:bCs w:val="1"/>
                <w:color w:val="FFFFFF"/>
              </w:rPr>
              <w:t>Transaction</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right w:val="single" w:sz="8" w:color="auto"/>
            </w:tcBorders>
          </w:tcPr>
          <w:p>
            <w:pPr>
              <w:ind w:left="80"/>
              <w:spacing w:after="0" w:line="140" w:lineRule="exact"/>
              <w:rPr>
                <w:sz w:val="20"/>
                <w:szCs w:val="20"/>
                <w:color w:val="auto"/>
              </w:rPr>
            </w:pPr>
            <w:r>
              <w:rPr>
                <w:rFonts w:ascii="Arial" w:cs="Arial" w:eastAsia="Arial" w:hAnsi="Arial"/>
                <w:sz w:val="13"/>
                <w:szCs w:val="13"/>
                <w:color w:val="auto"/>
              </w:rPr>
              <w:t>Exclusive financial advisor to the PSTH</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Board of Directors in connection with</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Financial advisor to MKS Instruments in</w:t>
            </w:r>
          </w:p>
        </w:tc>
        <w:tc>
          <w:tcPr>
            <w:tcW w:w="1160" w:type="dxa"/>
            <w:vAlign w:val="bottom"/>
          </w:tcPr>
          <w:p>
            <w:pPr>
              <w:spacing w:after="0"/>
              <w:rPr>
                <w:sz w:val="11"/>
                <w:szCs w:val="11"/>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Garrett Motion in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PSTH’s acquisition of 10% of Universal</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9"/>
              </w:rPr>
              <w:t>connection with MKS’s $6.5B acquisition</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8"/>
              </w:rPr>
              <w:t>connection with its Chapter 11 process</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Music Group from Vivendi for</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of Atotech</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auto"/>
            </w:tcBorders>
            <w:vMerge w:val="continue"/>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approximately $4B</w:t>
            </w: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28" w:lineRule="exact"/>
              <w:rPr>
                <w:sz w:val="20"/>
                <w:szCs w:val="20"/>
                <w:color w:val="auto"/>
              </w:rPr>
            </w:pPr>
            <w:r>
              <w:rPr>
                <w:rFonts w:ascii="Arial" w:cs="Arial" w:eastAsia="Arial" w:hAnsi="Arial"/>
                <w:sz w:val="13"/>
                <w:szCs w:val="13"/>
                <w:color w:val="auto"/>
                <w:w w:val="95"/>
              </w:rPr>
              <w:t>Financial advisor to Vonovia in connection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Financial advisor to Luminex in</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28" w:lineRule="exact"/>
              <w:rPr>
                <w:sz w:val="20"/>
                <w:szCs w:val="20"/>
                <w:color w:val="auto"/>
              </w:rPr>
            </w:pPr>
            <w:r>
              <w:rPr>
                <w:rFonts w:ascii="Arial" w:cs="Arial" w:eastAsia="Arial" w:hAnsi="Arial"/>
                <w:sz w:val="13"/>
                <w:szCs w:val="13"/>
                <w:color w:val="auto"/>
              </w:rPr>
              <w:t>Capital markets advisor to Maravai</w:t>
            </w:r>
          </w:p>
        </w:tc>
        <w:tc>
          <w:tcPr>
            <w:tcW w:w="0" w:type="dxa"/>
            <w:vAlign w:val="bottom"/>
          </w:tcPr>
          <w:p>
            <w:pPr>
              <w:spacing w:after="0"/>
              <w:rPr>
                <w:sz w:val="1"/>
                <w:szCs w:val="1"/>
                <w:color w:val="auto"/>
              </w:rPr>
            </w:pPr>
          </w:p>
        </w:tc>
      </w:tr>
      <w:tr>
        <w:trPr>
          <w:trHeight w:val="76"/>
        </w:trPr>
        <w:tc>
          <w:tcPr>
            <w:tcW w:w="90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rPr>
              <w:t>with Vonovia’s €29B business</w:t>
            </w: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160" w:type="dxa"/>
            <w:vAlign w:val="bottom"/>
          </w:tcPr>
          <w:p>
            <w:pPr>
              <w:spacing w:after="0"/>
              <w:rPr>
                <w:sz w:val="6"/>
                <w:szCs w:val="6"/>
                <w:color w:val="auto"/>
              </w:rPr>
            </w:pPr>
          </w:p>
        </w:tc>
        <w:tc>
          <w:tcPr>
            <w:tcW w:w="232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rPr>
              <w:t>LifeSciences on pricing of upsized</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6"/>
              </w:rPr>
              <w:t>connection with its $1.8B sale to DiaSorin</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combination with Deutsche Wohnen</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Initial Public Offering</w:t>
            </w:r>
          </w:p>
        </w:tc>
        <w:tc>
          <w:tcPr>
            <w:tcW w:w="0" w:type="dxa"/>
            <w:vAlign w:val="bottom"/>
          </w:tcPr>
          <w:p>
            <w:pPr>
              <w:spacing w:after="0"/>
              <w:rPr>
                <w:sz w:val="1"/>
                <w:szCs w:val="1"/>
                <w:color w:val="auto"/>
              </w:rPr>
            </w:pPr>
          </w:p>
        </w:tc>
      </w:tr>
      <w:tr>
        <w:trPr>
          <w:trHeight w:val="57"/>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0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Advisor to the Independent Transaction</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w w:val="99"/>
              </w:rPr>
              <w:t>Exclusive financial advisor to Kraft Heinz</w:t>
            </w:r>
          </w:p>
        </w:tc>
        <w:tc>
          <w:tcPr>
            <w:tcW w:w="1160" w:type="dxa"/>
            <w:vAlign w:val="bottom"/>
          </w:tcPr>
          <w:p>
            <w:pPr>
              <w:spacing w:after="0"/>
              <w:rPr>
                <w:sz w:val="10"/>
                <w:szCs w:val="10"/>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8"/>
              </w:rPr>
              <w:t>Independent capital markets advisor to</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Committee of Discovery, Inc. in</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 connection with the $3.35B sale of its</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Maravai LifeSciences on its follow-on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connection with Discovery’s business</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Planters brand to Hormel Foods</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offering of common stock</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combination with AT&amp;T’s WarnerMedia</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Corporation</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Financial advisor to PureCycle</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Financial advisor to Royal Caribbean</w:t>
            </w:r>
          </w:p>
        </w:tc>
        <w:tc>
          <w:tcPr>
            <w:tcW w:w="0" w:type="dxa"/>
            <w:vAlign w:val="bottom"/>
          </w:tcPr>
          <w:p>
            <w:pPr>
              <w:spacing w:after="0"/>
              <w:rPr>
                <w:sz w:val="1"/>
                <w:szCs w:val="1"/>
                <w:color w:val="auto"/>
              </w:rPr>
            </w:pPr>
          </w:p>
        </w:tc>
      </w:tr>
      <w:tr>
        <w:trPr>
          <w:trHeight w:val="127"/>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3"/>
                <w:szCs w:val="13"/>
                <w:color w:val="auto"/>
              </w:rPr>
              <w:t>Financial advisor to Veolia in connection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27" w:lineRule="exact"/>
              <w:rPr>
                <w:sz w:val="20"/>
                <w:szCs w:val="20"/>
                <w:color w:val="auto"/>
              </w:rPr>
            </w:pPr>
            <w:r>
              <w:rPr>
                <w:rFonts w:ascii="Arial" w:cs="Arial" w:eastAsia="Arial" w:hAnsi="Arial"/>
                <w:sz w:val="13"/>
                <w:szCs w:val="13"/>
                <w:color w:val="auto"/>
                <w:w w:val="99"/>
              </w:rPr>
              <w:t>Technologies in its merger with Roth CH</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3"/>
                <w:szCs w:val="13"/>
                <w:color w:val="auto"/>
                <w:w w:val="97"/>
              </w:rPr>
              <w:t>Cruises Ltd. in connection with multiple</w:t>
            </w:r>
          </w:p>
        </w:tc>
        <w:tc>
          <w:tcPr>
            <w:tcW w:w="0" w:type="dxa"/>
            <w:vAlign w:val="bottom"/>
          </w:tcPr>
          <w:p>
            <w:pPr>
              <w:spacing w:after="0"/>
              <w:rPr>
                <w:sz w:val="1"/>
                <w:szCs w:val="1"/>
                <w:color w:val="auto"/>
              </w:rPr>
            </w:pPr>
          </w:p>
        </w:tc>
      </w:tr>
      <w:tr>
        <w:trPr>
          <w:trHeight w:val="143"/>
        </w:trPr>
        <w:tc>
          <w:tcPr>
            <w:tcW w:w="9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with Veolia’s €25.9B merger with Suez</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3"/>
                <w:szCs w:val="13"/>
                <w:color w:val="auto"/>
                <w:w w:val="99"/>
              </w:rPr>
              <w:t>Acquisition I Co. and $1.2B listing on the</w:t>
            </w:r>
          </w:p>
        </w:tc>
        <w:tc>
          <w:tcPr>
            <w:tcW w:w="1160" w:type="dxa"/>
            <w:vAlign w:val="bottom"/>
          </w:tcPr>
          <w:p>
            <w:pPr>
              <w:spacing w:after="0"/>
              <w:rPr>
                <w:sz w:val="12"/>
                <w:szCs w:val="12"/>
                <w:color w:val="auto"/>
              </w:rPr>
            </w:pPr>
          </w:p>
        </w:tc>
        <w:tc>
          <w:tcPr>
            <w:tcW w:w="23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financing transactions across both the</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Nasdaq</w:t>
            </w: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debt and equity capital markets</w:t>
            </w: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w w:val="99"/>
              </w:rPr>
              <w:t>Advisor to Owl Rock Capital Partners LP</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in executing a definitive business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Financial advisor to Precision Medicine</w:t>
            </w:r>
          </w:p>
        </w:tc>
        <w:tc>
          <w:tcPr>
            <w:tcW w:w="1160" w:type="dxa"/>
            <w:vAlign w:val="bottom"/>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w w:val="98"/>
              </w:rPr>
              <w:t>combination agreement with Dyal Capital</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Advisor to the Ad Hoc Committee in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Group, LLC in majority investment and</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Partners to form Blue Owl Capital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Pacific Gas and Electric Company’s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recapitalization transaction led by The</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and list on NYSE via a $12.5B business</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debt restructuring</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Blackstone Group Inc.</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combination with Altimar Acquisition</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Corporation</w:t>
            </w: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Exclusive financial advisor to Northrop</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6"/>
              </w:rPr>
              <w:t>Grumman Corp. on the sale of its Federal</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Financial advisor to KKR in connection</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Financial advisor to Alta Mesa</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IT and Mission Support Services</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Resources, Inc. in connection with its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8"/>
              </w:rPr>
              <w:t>with KKR’s $5.3B acquisition of Cloudera</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Business to Veritas Capital Fund</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Chapter 11 process</w:t>
            </w:r>
          </w:p>
        </w:tc>
        <w:tc>
          <w:tcPr>
            <w:tcW w:w="0" w:type="dxa"/>
            <w:vAlign w:val="bottom"/>
          </w:tcPr>
          <w:p>
            <w:pPr>
              <w:spacing w:after="0"/>
              <w:rPr>
                <w:sz w:val="1"/>
                <w:szCs w:val="1"/>
                <w:color w:val="auto"/>
              </w:rPr>
            </w:pPr>
          </w:p>
        </w:tc>
      </w:tr>
      <w:tr>
        <w:trPr>
          <w:trHeight w:val="51"/>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Management, LLC for $3.4B</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90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w w:val="97"/>
              </w:rPr>
              <w:t>Financial advisor to KKR &amp; Co. Inc. on its</w:t>
            </w:r>
          </w:p>
        </w:tc>
        <w:tc>
          <w:tcPr>
            <w:tcW w:w="1160" w:type="dxa"/>
            <w:vAlign w:val="bottom"/>
          </w:tcPr>
          <w:p>
            <w:pPr>
              <w:spacing w:after="0"/>
              <w:rPr>
                <w:sz w:val="10"/>
                <w:szCs w:val="10"/>
                <w:color w:val="auto"/>
              </w:rPr>
            </w:pPr>
          </w:p>
        </w:tc>
        <w:tc>
          <w:tcPr>
            <w:tcW w:w="2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Exclusive advisor to Northrop Grumman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$4.3B acquisition of a majority stake in</w:t>
            </w:r>
          </w:p>
        </w:tc>
        <w:tc>
          <w:tcPr>
            <w:tcW w:w="1160" w:type="dxa"/>
            <w:vAlign w:val="bottom"/>
          </w:tcPr>
          <w:p>
            <w:pPr>
              <w:spacing w:after="0"/>
              <w:rPr>
                <w:sz w:val="11"/>
                <w:szCs w:val="11"/>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Del Monte Foods,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5"/>
              </w:rPr>
              <w:t>Coty Inc.’s Professional Beauty and Retail</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Corp. in its $9.2B acquisition of Orbital</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Inc. and Del Monte Pacific Limited on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8"/>
              </w:rPr>
              <w:t>Hair businesses and $1.0B investment in</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ATK,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capital structure refinancing</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Coty Inc. in the form of convertible</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righ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60" w:type="dxa"/>
            <w:vAlign w:val="bottom"/>
            <w:tcBorders>
              <w:right w:val="single" w:sz="8" w:color="auto"/>
            </w:tcBorders>
            <w:vMerge w:val="continue"/>
          </w:tcPr>
          <w:p>
            <w:pPr>
              <w:spacing w:after="0"/>
              <w:rPr>
                <w:sz w:val="4"/>
                <w:szCs w:val="4"/>
                <w:color w:val="auto"/>
              </w:rPr>
            </w:pPr>
          </w:p>
        </w:tc>
        <w:tc>
          <w:tcPr>
            <w:tcW w:w="1160" w:type="dxa"/>
            <w:vAlign w:val="bottom"/>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preferred shares</w:t>
            </w: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Advisor to the Supervisory Board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Lead financial advisor to Invitae Corp. in</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w w:val="99"/>
              </w:rPr>
              <w:t>Financial advisor to Sabre Corp. on its</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5"/>
              </w:rPr>
              <w:t>Peugeot S.A. on its $26B merger with Fiat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connection with $1.4B business</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9"/>
              </w:rPr>
              <w:t>$1.1 billion secured and exchangeable</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Chrysler Automobiles N.V.</w:t>
            </w: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combination with ArcherDX, Inc.</w:t>
            </w:r>
          </w:p>
        </w:tc>
        <w:tc>
          <w:tcPr>
            <w:tcW w:w="116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note offerings</w:t>
            </w: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Sole financial advisor to Oaktree Capital</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6"/>
              </w:rPr>
              <w:t>Sole financial advisor to PayPal Holdings,</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Financial advisor to the Ad Hoc Group</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of Constitutional Debtholders on</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Group, LLC in 62% sale to Brookfield</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Inc. on its $4B acquisition of Honey</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settlement with Puerto Rico Oversight</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Asset Management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Science Corporation</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and Management Board</w:t>
            </w:r>
          </w:p>
        </w:tc>
        <w:tc>
          <w:tcPr>
            <w:tcW w:w="0" w:type="dxa"/>
            <w:vAlign w:val="bottom"/>
          </w:tcPr>
          <w:p>
            <w:pPr>
              <w:spacing w:after="0"/>
              <w:rPr>
                <w:sz w:val="1"/>
                <w:szCs w:val="1"/>
                <w:color w:val="auto"/>
              </w:rPr>
            </w:pPr>
          </w:p>
        </w:tc>
      </w:tr>
      <w:tr>
        <w:trPr>
          <w:trHeight w:val="57"/>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32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10" w:type="dxa"/>
        <w:tblCellMar>
          <w:top w:w="0" w:type="dxa"/>
          <w:left w:w="0" w:type="dxa"/>
          <w:bottom w:w="0" w:type="dxa"/>
          <w:right w:w="0" w:type="dxa"/>
        </w:tblCellMar>
      </w:tblPr>
      <w:tr>
        <w:trPr>
          <w:trHeight w:val="254"/>
        </w:trPr>
        <w:tc>
          <w:tcPr>
            <w:tcW w:w="900" w:type="dxa"/>
            <w:vAlign w:val="bottom"/>
            <w:tcBorders>
              <w:top w:val="single" w:sz="8" w:color="auto"/>
              <w:left w:val="single" w:sz="8" w:color="auto"/>
              <w:bottom w:val="single" w:sz="8" w:color="auto"/>
            </w:tcBorders>
            <w:shd w:val="clear" w:color="auto" w:fill="01649D"/>
          </w:tcPr>
          <w:p>
            <w:pPr>
              <w:spacing w:after="0"/>
              <w:rPr>
                <w:sz w:val="22"/>
                <w:szCs w:val="22"/>
                <w:color w:val="auto"/>
              </w:rPr>
            </w:pPr>
          </w:p>
        </w:tc>
        <w:tc>
          <w:tcPr>
            <w:tcW w:w="2640" w:type="dxa"/>
            <w:vAlign w:val="bottom"/>
            <w:tcBorders>
              <w:top w:val="single" w:sz="8" w:color="auto"/>
              <w:bottom w:val="single" w:sz="8" w:color="auto"/>
              <w:right w:val="single" w:sz="8" w:color="auto"/>
            </w:tcBorders>
            <w:gridSpan w:val="2"/>
            <w:shd w:val="clear" w:color="auto" w:fill="01649D"/>
          </w:tcPr>
          <w:p>
            <w:pPr>
              <w:ind w:left="100"/>
              <w:spacing w:after="0"/>
              <w:rPr>
                <w:sz w:val="20"/>
                <w:szCs w:val="20"/>
                <w:color w:val="auto"/>
              </w:rPr>
            </w:pPr>
            <w:r>
              <w:rPr>
                <w:rFonts w:ascii="Arial" w:cs="Arial" w:eastAsia="Arial" w:hAnsi="Arial"/>
                <w:sz w:val="18"/>
                <w:szCs w:val="18"/>
                <w:b w:val="1"/>
                <w:bCs w:val="1"/>
                <w:color w:val="FFFFFF"/>
              </w:rPr>
              <w:t>Large-Cap Advisory</w:t>
            </w:r>
          </w:p>
        </w:tc>
        <w:tc>
          <w:tcPr>
            <w:tcW w:w="940" w:type="dxa"/>
            <w:vAlign w:val="bottom"/>
            <w:tcBorders>
              <w:top w:val="single" w:sz="8" w:color="auto"/>
              <w:bottom w:val="single" w:sz="8" w:color="auto"/>
            </w:tcBorders>
            <w:shd w:val="clear" w:color="auto" w:fill="01649D"/>
          </w:tcPr>
          <w:p>
            <w:pPr>
              <w:spacing w:after="0"/>
              <w:rPr>
                <w:sz w:val="22"/>
                <w:szCs w:val="22"/>
                <w:color w:val="auto"/>
              </w:rPr>
            </w:pPr>
          </w:p>
        </w:tc>
        <w:tc>
          <w:tcPr>
            <w:tcW w:w="2700" w:type="dxa"/>
            <w:vAlign w:val="bottom"/>
            <w:tcBorders>
              <w:top w:val="single" w:sz="8" w:color="auto"/>
              <w:bottom w:val="single" w:sz="8" w:color="auto"/>
              <w:right w:val="single" w:sz="8" w:color="auto"/>
            </w:tcBorders>
            <w:gridSpan w:val="2"/>
            <w:shd w:val="clear" w:color="auto" w:fill="01649D"/>
          </w:tcPr>
          <w:p>
            <w:pPr>
              <w:ind w:left="160"/>
              <w:spacing w:after="0"/>
              <w:rPr>
                <w:sz w:val="20"/>
                <w:szCs w:val="20"/>
                <w:color w:val="auto"/>
              </w:rPr>
            </w:pPr>
            <w:r>
              <w:rPr>
                <w:rFonts w:ascii="Arial" w:cs="Arial" w:eastAsia="Arial" w:hAnsi="Arial"/>
                <w:sz w:val="18"/>
                <w:szCs w:val="18"/>
                <w:b w:val="1"/>
                <w:bCs w:val="1"/>
                <w:color w:val="FFFFFF"/>
              </w:rPr>
              <w:t>Mid-Cap Advisory</w:t>
            </w:r>
          </w:p>
        </w:tc>
        <w:tc>
          <w:tcPr>
            <w:tcW w:w="3480" w:type="dxa"/>
            <w:vAlign w:val="bottom"/>
            <w:tcBorders>
              <w:top w:val="single" w:sz="8" w:color="auto"/>
              <w:bottom w:val="single" w:sz="8" w:color="auto"/>
              <w:right w:val="single" w:sz="8" w:color="auto"/>
            </w:tcBorders>
            <w:gridSpan w:val="2"/>
            <w:shd w:val="clear" w:color="auto" w:fill="01649D"/>
          </w:tcPr>
          <w:p>
            <w:pPr>
              <w:ind w:left="420"/>
              <w:spacing w:after="0"/>
              <w:rPr>
                <w:sz w:val="20"/>
                <w:szCs w:val="20"/>
                <w:color w:val="auto"/>
              </w:rPr>
            </w:pPr>
            <w:r>
              <w:rPr>
                <w:rFonts w:ascii="Arial" w:cs="Arial" w:eastAsia="Arial" w:hAnsi="Arial"/>
                <w:sz w:val="18"/>
                <w:szCs w:val="18"/>
                <w:b w:val="1"/>
                <w:bCs w:val="1"/>
                <w:color w:val="FFFFFF"/>
              </w:rPr>
              <w:t>Restructuring / Capital Markets</w:t>
            </w:r>
          </w:p>
        </w:tc>
        <w:tc>
          <w:tcPr>
            <w:tcW w:w="0" w:type="dxa"/>
            <w:vAlign w:val="bottom"/>
          </w:tcPr>
          <w:p>
            <w:pPr>
              <w:spacing w:after="0"/>
              <w:rPr>
                <w:sz w:val="1"/>
                <w:szCs w:val="1"/>
                <w:color w:val="auto"/>
              </w:rPr>
            </w:pPr>
          </w:p>
        </w:tc>
      </w:tr>
      <w:tr>
        <w:trPr>
          <w:trHeight w:val="167"/>
        </w:trPr>
        <w:tc>
          <w:tcPr>
            <w:tcW w:w="900" w:type="dxa"/>
            <w:vAlign w:val="bottom"/>
            <w:tcBorders>
              <w:left w:val="single" w:sz="8" w:color="auto"/>
              <w:bottom w:val="single" w:sz="8" w:color="auto"/>
            </w:tcBorders>
            <w:shd w:val="clear" w:color="auto" w:fill="9CB3D5"/>
          </w:tcPr>
          <w:p>
            <w:pPr>
              <w:ind w:left="440"/>
              <w:spacing w:after="0"/>
              <w:rPr>
                <w:sz w:val="20"/>
                <w:szCs w:val="20"/>
                <w:color w:val="auto"/>
              </w:rPr>
            </w:pPr>
            <w:r>
              <w:rPr>
                <w:rFonts w:ascii="Arial" w:cs="Arial" w:eastAsia="Arial" w:hAnsi="Arial"/>
                <w:sz w:val="13"/>
                <w:szCs w:val="13"/>
                <w:b w:val="1"/>
                <w:bCs w:val="1"/>
                <w:color w:val="FFFFFF"/>
              </w:rPr>
              <w:t>Client</w:t>
            </w:r>
          </w:p>
        </w:tc>
        <w:tc>
          <w:tcPr>
            <w:tcW w:w="200" w:type="dxa"/>
            <w:vAlign w:val="bottom"/>
            <w:tcBorders>
              <w:bottom w:val="single" w:sz="8" w:color="auto"/>
              <w:right w:val="single" w:sz="8" w:color="auto"/>
            </w:tcBorders>
            <w:shd w:val="clear" w:color="auto" w:fill="9CB3D5"/>
          </w:tcPr>
          <w:p>
            <w:pPr>
              <w:spacing w:after="0"/>
              <w:rPr>
                <w:sz w:val="14"/>
                <w:szCs w:val="14"/>
                <w:color w:val="auto"/>
              </w:rPr>
            </w:pPr>
          </w:p>
        </w:tc>
        <w:tc>
          <w:tcPr>
            <w:tcW w:w="2440" w:type="dxa"/>
            <w:vAlign w:val="bottom"/>
            <w:tcBorders>
              <w:bottom w:val="single" w:sz="8" w:color="auto"/>
              <w:right w:val="single" w:sz="8" w:color="auto"/>
            </w:tcBorders>
            <w:shd w:val="clear" w:color="auto" w:fill="9CB3D5"/>
          </w:tcPr>
          <w:p>
            <w:pPr>
              <w:ind w:left="900"/>
              <w:spacing w:after="0"/>
              <w:rPr>
                <w:sz w:val="20"/>
                <w:szCs w:val="20"/>
                <w:color w:val="auto"/>
              </w:rPr>
            </w:pPr>
            <w:r>
              <w:rPr>
                <w:rFonts w:ascii="Arial" w:cs="Arial" w:eastAsia="Arial" w:hAnsi="Arial"/>
                <w:sz w:val="13"/>
                <w:szCs w:val="13"/>
                <w:b w:val="1"/>
                <w:bCs w:val="1"/>
                <w:color w:val="FFFFFF"/>
              </w:rPr>
              <w:t>Transaction</w:t>
            </w:r>
          </w:p>
        </w:tc>
        <w:tc>
          <w:tcPr>
            <w:tcW w:w="940" w:type="dxa"/>
            <w:vAlign w:val="bottom"/>
            <w:tcBorders>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40" w:type="dxa"/>
            <w:vAlign w:val="bottom"/>
            <w:tcBorders>
              <w:bottom w:val="single" w:sz="8" w:color="auto"/>
              <w:right w:val="single" w:sz="8" w:color="auto"/>
            </w:tcBorders>
            <w:shd w:val="clear" w:color="auto" w:fill="9CB3D5"/>
          </w:tcPr>
          <w:p>
            <w:pPr>
              <w:spacing w:after="0"/>
              <w:rPr>
                <w:sz w:val="14"/>
                <w:szCs w:val="14"/>
                <w:color w:val="auto"/>
              </w:rPr>
            </w:pPr>
          </w:p>
        </w:tc>
        <w:tc>
          <w:tcPr>
            <w:tcW w:w="2460" w:type="dxa"/>
            <w:vAlign w:val="bottom"/>
            <w:tcBorders>
              <w:bottom w:val="single" w:sz="8" w:color="auto"/>
              <w:right w:val="single" w:sz="8" w:color="auto"/>
            </w:tcBorders>
            <w:shd w:val="clear" w:color="auto" w:fill="9CB3D5"/>
          </w:tcPr>
          <w:p>
            <w:pPr>
              <w:ind w:left="920"/>
              <w:spacing w:after="0"/>
              <w:rPr>
                <w:sz w:val="20"/>
                <w:szCs w:val="20"/>
                <w:color w:val="auto"/>
              </w:rPr>
            </w:pPr>
            <w:r>
              <w:rPr>
                <w:rFonts w:ascii="Arial" w:cs="Arial" w:eastAsia="Arial" w:hAnsi="Arial"/>
                <w:sz w:val="13"/>
                <w:szCs w:val="13"/>
                <w:b w:val="1"/>
                <w:bCs w:val="1"/>
                <w:color w:val="FFFFFF"/>
              </w:rPr>
              <w:t>Transaction</w:t>
            </w:r>
          </w:p>
        </w:tc>
        <w:tc>
          <w:tcPr>
            <w:tcW w:w="1160" w:type="dxa"/>
            <w:vAlign w:val="bottom"/>
            <w:tcBorders>
              <w:bottom w:val="single" w:sz="8" w:color="auto"/>
              <w:right w:val="single" w:sz="8" w:color="auto"/>
            </w:tcBorders>
            <w:shd w:val="clear" w:color="auto" w:fill="9CB3D5"/>
          </w:tcPr>
          <w:p>
            <w:pPr>
              <w:ind w:left="440"/>
              <w:spacing w:after="0"/>
              <w:rPr>
                <w:sz w:val="20"/>
                <w:szCs w:val="20"/>
                <w:color w:val="auto"/>
              </w:rPr>
            </w:pPr>
            <w:r>
              <w:rPr>
                <w:rFonts w:ascii="Arial" w:cs="Arial" w:eastAsia="Arial" w:hAnsi="Arial"/>
                <w:sz w:val="13"/>
                <w:szCs w:val="13"/>
                <w:b w:val="1"/>
                <w:bCs w:val="1"/>
                <w:color w:val="FFFFFF"/>
              </w:rPr>
              <w:t>Client</w:t>
            </w:r>
          </w:p>
        </w:tc>
        <w:tc>
          <w:tcPr>
            <w:tcW w:w="2320" w:type="dxa"/>
            <w:vAlign w:val="bottom"/>
            <w:tcBorders>
              <w:bottom w:val="single" w:sz="8" w:color="auto"/>
              <w:right w:val="single" w:sz="8" w:color="auto"/>
            </w:tcBorders>
            <w:shd w:val="clear" w:color="auto" w:fill="9CB3D5"/>
          </w:tcPr>
          <w:p>
            <w:pPr>
              <w:ind w:left="820"/>
              <w:spacing w:after="0"/>
              <w:rPr>
                <w:sz w:val="20"/>
                <w:szCs w:val="20"/>
                <w:color w:val="auto"/>
              </w:rPr>
            </w:pPr>
            <w:r>
              <w:rPr>
                <w:rFonts w:ascii="Arial" w:cs="Arial" w:eastAsia="Arial" w:hAnsi="Arial"/>
                <w:sz w:val="13"/>
                <w:szCs w:val="13"/>
                <w:b w:val="1"/>
                <w:bCs w:val="1"/>
                <w:color w:val="FFFFFF"/>
              </w:rPr>
              <w:t>Transaction</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right w:val="single" w:sz="8" w:color="auto"/>
            </w:tcBorders>
          </w:tcPr>
          <w:p>
            <w:pPr>
              <w:ind w:left="80"/>
              <w:spacing w:after="0" w:line="140" w:lineRule="exact"/>
              <w:rPr>
                <w:sz w:val="20"/>
                <w:szCs w:val="20"/>
                <w:color w:val="auto"/>
              </w:rPr>
            </w:pPr>
            <w:r>
              <w:rPr>
                <w:rFonts w:ascii="Arial" w:cs="Arial" w:eastAsia="Arial" w:hAnsi="Arial"/>
                <w:sz w:val="13"/>
                <w:szCs w:val="13"/>
                <w:color w:val="auto"/>
                <w:w w:val="96"/>
              </w:rPr>
              <w:t>Advisor to Altria Group, Inc. in connection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right w:val="single" w:sz="8" w:color="auto"/>
            </w:tcBorders>
          </w:tcPr>
          <w:p>
            <w:pPr>
              <w:ind w:left="100"/>
              <w:spacing w:after="0" w:line="140" w:lineRule="exact"/>
              <w:rPr>
                <w:sz w:val="20"/>
                <w:szCs w:val="20"/>
                <w:color w:val="auto"/>
              </w:rPr>
            </w:pPr>
            <w:r>
              <w:rPr>
                <w:rFonts w:ascii="Arial" w:cs="Arial" w:eastAsia="Arial" w:hAnsi="Arial"/>
                <w:sz w:val="13"/>
                <w:szCs w:val="13"/>
                <w:color w:val="auto"/>
                <w:w w:val="96"/>
              </w:rPr>
              <w:t>Advisor to Occidental Petroleum Corp. on</w:t>
            </w:r>
          </w:p>
        </w:tc>
        <w:tc>
          <w:tcPr>
            <w:tcW w:w="1160" w:type="dxa"/>
            <w:vAlign w:val="bottom"/>
          </w:tcPr>
          <w:p>
            <w:pPr>
              <w:spacing w:after="0"/>
              <w:rPr>
                <w:sz w:val="12"/>
                <w:szCs w:val="12"/>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Legacy Reserves Inc. in its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with its stake in SABMiller plc’s $107B</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formation of Midland Basin JV with</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9"/>
              </w:rPr>
              <w:t>joint Chapter 11 plan of reorganization</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sale to Anheuser-Busch InBev SA/NV</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EcoPetrol for $1.5B</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0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9"/>
              </w:rPr>
              <w:t>Advisor to Altria Group, Inc. in its $12.8B</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Exclusive financial advisor to Cantel</w:t>
            </w:r>
          </w:p>
        </w:tc>
        <w:tc>
          <w:tcPr>
            <w:tcW w:w="1160" w:type="dxa"/>
            <w:vAlign w:val="bottom"/>
          </w:tcPr>
          <w:p>
            <w:pPr>
              <w:spacing w:after="0"/>
              <w:rPr>
                <w:sz w:val="10"/>
                <w:szCs w:val="10"/>
                <w:color w:val="auto"/>
              </w:rPr>
            </w:pPr>
          </w:p>
        </w:tc>
        <w:tc>
          <w:tcPr>
            <w:tcW w:w="23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Exclusive financial advisor to the</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7"/>
              </w:rPr>
              <w:t>Medical Corp. on its $775M acquisition of</w:t>
            </w: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Special Committee of the WeWork</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investment in JUUL Labs,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Hu-Friedy Mfg. Co.</w:t>
            </w: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Board of Directors</w:t>
            </w:r>
          </w:p>
        </w:tc>
        <w:tc>
          <w:tcPr>
            <w:tcW w:w="0" w:type="dxa"/>
            <w:vAlign w:val="bottom"/>
          </w:tcPr>
          <w:p>
            <w:pPr>
              <w:spacing w:after="0"/>
              <w:rPr>
                <w:sz w:val="1"/>
                <w:szCs w:val="1"/>
                <w:color w:val="auto"/>
              </w:rPr>
            </w:pPr>
          </w:p>
        </w:tc>
      </w:tr>
      <w:tr>
        <w:trPr>
          <w:trHeight w:val="56"/>
        </w:trPr>
        <w:tc>
          <w:tcPr>
            <w:tcW w:w="9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90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Altria Group, Inc. on</w:t>
            </w: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60" w:type="dxa"/>
            <w:vAlign w:val="bottom"/>
            <w:tcBorders>
              <w:right w:val="single" w:sz="8" w:color="auto"/>
            </w:tcBorders>
          </w:tcPr>
          <w:p>
            <w:pPr>
              <w:ind w:left="100"/>
              <w:spacing w:after="0" w:line="114" w:lineRule="exact"/>
              <w:rPr>
                <w:sz w:val="20"/>
                <w:szCs w:val="20"/>
                <w:color w:val="auto"/>
              </w:rPr>
            </w:pPr>
            <w:r>
              <w:rPr>
                <w:rFonts w:ascii="Arial" w:cs="Arial" w:eastAsia="Arial" w:hAnsi="Arial"/>
                <w:sz w:val="13"/>
                <w:szCs w:val="13"/>
                <w:color w:val="auto"/>
              </w:rPr>
              <w:t>Advisor to Altran Technologies SA in</w:t>
            </w:r>
          </w:p>
        </w:tc>
        <w:tc>
          <w:tcPr>
            <w:tcW w:w="1160" w:type="dxa"/>
            <w:vAlign w:val="bottom"/>
          </w:tcPr>
          <w:p>
            <w:pPr>
              <w:spacing w:after="0"/>
              <w:rPr>
                <w:sz w:val="9"/>
                <w:szCs w:val="9"/>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8"/>
              </w:rPr>
              <w:t>Advisor to the Ad Hoc Group in Hexion</w:t>
            </w:r>
          </w:p>
        </w:tc>
        <w:tc>
          <w:tcPr>
            <w:tcW w:w="0" w:type="dxa"/>
            <w:vAlign w:val="bottom"/>
          </w:tcPr>
          <w:p>
            <w:pPr>
              <w:spacing w:after="0"/>
              <w:rPr>
                <w:sz w:val="1"/>
                <w:szCs w:val="1"/>
                <w:color w:val="auto"/>
              </w:rPr>
            </w:pPr>
          </w:p>
        </w:tc>
      </w:tr>
      <w:tr>
        <w:trPr>
          <w:trHeight w:val="76"/>
        </w:trPr>
        <w:tc>
          <w:tcPr>
            <w:tcW w:w="90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Borders>
              <w:right w:val="single" w:sz="8" w:color="auto"/>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6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rPr>
              <w:t>relation to Capgemini SE’s €5B public</w:t>
            </w:r>
          </w:p>
        </w:tc>
        <w:tc>
          <w:tcPr>
            <w:tcW w:w="1160" w:type="dxa"/>
            <w:vAlign w:val="bottom"/>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w w:val="96"/>
              </w:rPr>
              <w:t>its $1.8B acquisition of Cronos Group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Inc.’s debt restructuring</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takeover offer</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28" w:lineRule="exact"/>
              <w:rPr>
                <w:sz w:val="20"/>
                <w:szCs w:val="20"/>
                <w:color w:val="auto"/>
              </w:rPr>
            </w:pPr>
            <w:r>
              <w:rPr>
                <w:rFonts w:ascii="Arial" w:cs="Arial" w:eastAsia="Arial" w:hAnsi="Arial"/>
                <w:sz w:val="13"/>
                <w:szCs w:val="13"/>
                <w:color w:val="auto"/>
                <w:w w:val="97"/>
              </w:rPr>
              <w:t>Advisor to OSRAM Licht AG in relation to</w:t>
            </w:r>
          </w:p>
        </w:tc>
        <w:tc>
          <w:tcPr>
            <w:tcW w:w="1160" w:type="dxa"/>
            <w:vAlign w:val="bottom"/>
          </w:tcPr>
          <w:p>
            <w:pPr>
              <w:spacing w:after="0"/>
              <w:rPr>
                <w:sz w:val="11"/>
                <w:szCs w:val="11"/>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one of the largest creditors</w:t>
            </w:r>
          </w:p>
        </w:tc>
        <w:tc>
          <w:tcPr>
            <w:tcW w:w="0" w:type="dxa"/>
            <w:vAlign w:val="bottom"/>
          </w:tcPr>
          <w:p>
            <w:pPr>
              <w:spacing w:after="0"/>
              <w:rPr>
                <w:sz w:val="1"/>
                <w:szCs w:val="1"/>
                <w:color w:val="auto"/>
              </w:rPr>
            </w:pPr>
          </w:p>
        </w:tc>
      </w:tr>
      <w:tr>
        <w:trPr>
          <w:trHeight w:val="76"/>
        </w:trPr>
        <w:tc>
          <w:tcPr>
            <w:tcW w:w="90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rPr>
              <w:t>Sole advisor to RSP Permian, Inc. in its</w:t>
            </w: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6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rPr>
              <w:t>the announced intended €4B takeover</w:t>
            </w:r>
          </w:p>
        </w:tc>
        <w:tc>
          <w:tcPr>
            <w:tcW w:w="1160" w:type="dxa"/>
            <w:vAlign w:val="bottom"/>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in Sears, Roebuck and Co.’s debt</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$9.5B sale to Concho Resources, Inc.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offer by Bain Capital and The Carlyle</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restructuring</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Group</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Lead advisor to Becton, Dickinson and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Exclusive advisor to SodaStream</w:t>
            </w:r>
          </w:p>
        </w:tc>
        <w:tc>
          <w:tcPr>
            <w:tcW w:w="1160" w:type="dxa"/>
            <w:vAlign w:val="bottom"/>
          </w:tcPr>
          <w:p>
            <w:pPr>
              <w:spacing w:after="0"/>
              <w:rPr>
                <w:sz w:val="11"/>
                <w:szCs w:val="11"/>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iHeartMedia, Inc.</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 in its $24B acquisition of C.R. Bard,</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International, Ltd. in its $3.2B sale to</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independent directors</w:t>
            </w: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Inc.</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PepsiCo Inc.</w:t>
            </w:r>
          </w:p>
        </w:tc>
        <w:tc>
          <w:tcPr>
            <w:tcW w:w="11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Medtronic, Inc., in its $42.9B</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Advisor to Apache Corporation in the</w:t>
            </w:r>
          </w:p>
        </w:tc>
        <w:tc>
          <w:tcPr>
            <w:tcW w:w="1160" w:type="dxa"/>
            <w:vAlign w:val="bottom"/>
          </w:tcPr>
          <w:p>
            <w:pPr>
              <w:spacing w:after="0"/>
              <w:rPr>
                <w:sz w:val="11"/>
                <w:szCs w:val="11"/>
                <w:color w:val="auto"/>
              </w:rPr>
            </w:pPr>
          </w:p>
        </w:tc>
        <w:tc>
          <w:tcPr>
            <w:tcW w:w="23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Advisor to Concordia International</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23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Corp. in its restructuring and capital</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acquisition of Covidien plc</w:t>
            </w: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$3.5B formation of Altus Midstream LP</w:t>
            </w:r>
          </w:p>
        </w:tc>
        <w:tc>
          <w:tcPr>
            <w:tcW w:w="1160" w:type="dxa"/>
            <w:vAlign w:val="bottom"/>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160" w:type="dxa"/>
            <w:vAlign w:val="bottom"/>
          </w:tcPr>
          <w:p>
            <w:pPr>
              <w:spacing w:after="0"/>
              <w:rPr>
                <w:sz w:val="7"/>
                <w:szCs w:val="7"/>
                <w:color w:val="auto"/>
              </w:rPr>
            </w:pPr>
          </w:p>
        </w:tc>
        <w:tc>
          <w:tcPr>
            <w:tcW w:w="23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w w:val="98"/>
              </w:rPr>
              <w:t>raise through Canadian CBCA process</w:t>
            </w: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234" w:lineRule="exact"/>
        <w:rPr>
          <w:sz w:val="20"/>
          <w:szCs w:val="20"/>
          <w:color w:val="auto"/>
        </w:rPr>
      </w:pPr>
    </w:p>
    <w:p>
      <w:pPr>
        <w:ind w:left="300" w:right="40" w:firstLine="532"/>
        <w:spacing w:after="0" w:line="237" w:lineRule="auto"/>
        <w:rPr>
          <w:sz w:val="20"/>
          <w:szCs w:val="20"/>
          <w:color w:val="auto"/>
        </w:rPr>
      </w:pPr>
      <w:r>
        <w:rPr>
          <w:rFonts w:ascii="Arial" w:cs="Arial" w:eastAsia="Arial" w:hAnsi="Arial"/>
          <w:sz w:val="18"/>
          <w:szCs w:val="18"/>
          <w:color w:val="auto"/>
        </w:rPr>
        <w:t>We believe that leadership in the Environmental, Social and Governance (“</w:t>
      </w:r>
      <w:r>
        <w:rPr>
          <w:rFonts w:ascii="Arial" w:cs="Arial" w:eastAsia="Arial" w:hAnsi="Arial"/>
          <w:sz w:val="18"/>
          <w:szCs w:val="18"/>
          <w:u w:val="single" w:color="auto"/>
          <w:color w:val="auto"/>
        </w:rPr>
        <w:t>ESG</w:t>
      </w:r>
      <w:r>
        <w:rPr>
          <w:rFonts w:ascii="Arial" w:cs="Arial" w:eastAsia="Arial" w:hAnsi="Arial"/>
          <w:sz w:val="18"/>
          <w:szCs w:val="18"/>
          <w:color w:val="auto"/>
        </w:rPr>
        <w:t>”)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86" w:lineRule="exact"/>
        <w:rPr>
          <w:sz w:val="20"/>
          <w:szCs w:val="20"/>
          <w:color w:val="auto"/>
        </w:rPr>
      </w:pPr>
    </w:p>
    <w:p>
      <w:pPr>
        <w:ind w:left="1020" w:right="200" w:hanging="195"/>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auto"/>
        </w:rPr>
        <w:t>The Environmental pillar is focused on assessing and monitoring our environmental footprint,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proactively raising our firm-wide awareness of environmental risk and opportunity by committing to sustainable practices to oversee environmental aspects in our business activities.</w:t>
      </w:r>
    </w:p>
    <w:p>
      <w:pPr>
        <w:spacing w:after="0" w:line="74" w:lineRule="exact"/>
        <w:rPr>
          <w:rFonts w:ascii="Arial" w:cs="Arial" w:eastAsia="Arial" w:hAnsi="Arial"/>
          <w:sz w:val="18"/>
          <w:szCs w:val="18"/>
          <w:color w:val="auto"/>
        </w:rPr>
      </w:pPr>
    </w:p>
    <w:p>
      <w:pPr>
        <w:ind w:left="1020" w:right="260" w:hanging="195"/>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motivate our employees, and maintaining a rigorous cybersecurity program to protect our valuable data.</w:t>
      </w:r>
    </w:p>
    <w:p>
      <w:pPr>
        <w:spacing w:after="0" w:line="59" w:lineRule="exact"/>
        <w:rPr>
          <w:rFonts w:ascii="Arial" w:cs="Arial" w:eastAsia="Arial" w:hAnsi="Arial"/>
          <w:sz w:val="18"/>
          <w:szCs w:val="18"/>
          <w:color w:val="auto"/>
        </w:rPr>
      </w:pPr>
    </w:p>
    <w:p>
      <w:pPr>
        <w:ind w:left="1020" w:right="180" w:hanging="195"/>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The Governance pillar is focused on upholding our commitment to ethical business conduct,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and corporate responsibility by integrating strong governance and enterprise risk management oversight across all aspects of our business.</w:t>
      </w:r>
    </w:p>
    <w:p>
      <w:pPr>
        <w:spacing w:after="0" w:line="191" w:lineRule="exact"/>
        <w:rPr>
          <w:sz w:val="20"/>
          <w:szCs w:val="20"/>
          <w:color w:val="auto"/>
        </w:rPr>
      </w:pPr>
    </w:p>
    <w:p>
      <w:pPr>
        <w:ind w:left="300" w:right="580" w:firstLine="532"/>
        <w:spacing w:after="0" w:line="261" w:lineRule="auto"/>
        <w:rPr>
          <w:sz w:val="20"/>
          <w:szCs w:val="20"/>
          <w:color w:val="auto"/>
        </w:rPr>
      </w:pPr>
      <w:r>
        <w:rPr>
          <w:rFonts w:ascii="Arial" w:cs="Arial" w:eastAsia="Arial" w:hAnsi="Arial"/>
          <w:sz w:val="17"/>
          <w:szCs w:val="17"/>
          <w:color w:val="auto"/>
        </w:rPr>
        <w:t>We plan to report how we oversee and manage ESG factors material to our business under the industry-specific ESG framework recommended by the Sustainability Accounting Standards Board (“</w:t>
      </w:r>
      <w:r>
        <w:rPr>
          <w:rFonts w:ascii="Arial" w:cs="Arial" w:eastAsia="Arial" w:hAnsi="Arial"/>
          <w:sz w:val="17"/>
          <w:szCs w:val="17"/>
          <w:u w:val="single" w:color="auto"/>
          <w:color w:val="auto"/>
        </w:rPr>
        <w:t>SASB</w:t>
      </w:r>
      <w:r>
        <w:rPr>
          <w:rFonts w:ascii="Arial" w:cs="Arial" w:eastAsia="Arial" w:hAnsi="Arial"/>
          <w:sz w:val="17"/>
          <w:szCs w:val="17"/>
          <w:color w:val="auto"/>
        </w:rPr>
        <w:t>”) for the Financials—Investment Banking industry, and also evaluate how our ESG objectives align with elements of the United Nations Sustainable Development Goals.</w:t>
      </w:r>
    </w:p>
    <w:p>
      <w:pPr>
        <w:spacing w:after="0" w:line="3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320" w:top="459"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15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215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People and Inclusive Culture</w:t>
      </w:r>
    </w:p>
    <w:p>
      <w:pPr>
        <w:spacing w:after="0" w:line="234" w:lineRule="exact"/>
        <w:rPr>
          <w:sz w:val="20"/>
          <w:szCs w:val="20"/>
          <w:color w:val="auto"/>
        </w:rPr>
      </w:pPr>
    </w:p>
    <w:p>
      <w:pPr>
        <w:jc w:val="both"/>
        <w:ind w:left="300" w:right="40" w:firstLine="532"/>
        <w:spacing w:after="0"/>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203"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June 30, 2021, we serve our clients with 372 advisory professionals, including 57 advisory partners, based in ten offices, located in five countries around the world.</w:t>
      </w:r>
    </w:p>
    <w:p>
      <w:pPr>
        <w:spacing w:after="0" w:line="202" w:lineRule="exact"/>
        <w:rPr>
          <w:sz w:val="20"/>
          <w:szCs w:val="20"/>
          <w:color w:val="auto"/>
        </w:rPr>
      </w:pPr>
    </w:p>
    <w:p>
      <w:pPr>
        <w:ind w:left="300" w:right="40" w:firstLine="532"/>
        <w:spacing w:after="0" w:line="237" w:lineRule="auto"/>
        <w:rPr>
          <w:sz w:val="20"/>
          <w:szCs w:val="20"/>
          <w:color w:val="auto"/>
        </w:rPr>
      </w:pPr>
      <w:r>
        <w:rPr>
          <w:rFonts w:ascii="Arial" w:cs="Arial" w:eastAsia="Arial" w:hAnsi="Arial"/>
          <w:sz w:val="18"/>
          <w:szCs w:val="18"/>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203" w:lineRule="exact"/>
        <w:rPr>
          <w:sz w:val="20"/>
          <w:szCs w:val="20"/>
          <w:color w:val="auto"/>
        </w:rPr>
      </w:pPr>
    </w:p>
    <w:p>
      <w:pPr>
        <w:ind w:left="300" w:right="200" w:firstLine="532"/>
        <w:spacing w:after="0" w:line="237"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205" w:lineRule="exact"/>
        <w:rPr>
          <w:sz w:val="20"/>
          <w:szCs w:val="20"/>
          <w:color w:val="auto"/>
        </w:rPr>
      </w:pPr>
    </w:p>
    <w:p>
      <w:pPr>
        <w:ind w:left="300" w:right="60" w:firstLine="532"/>
        <w:spacing w:after="0" w:line="236" w:lineRule="auto"/>
        <w:rPr>
          <w:sz w:val="20"/>
          <w:szCs w:val="20"/>
          <w:color w:val="auto"/>
        </w:rPr>
      </w:pPr>
      <w:r>
        <w:rPr>
          <w:rFonts w:ascii="Arial" w:cs="Arial" w:eastAsia="Arial" w:hAnsi="Arial"/>
          <w:sz w:val="18"/>
          <w:szCs w:val="18"/>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57 advisory partners were promoted internally.</w:t>
      </w: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 w:firstLine="532"/>
        <w:spacing w:after="0" w:line="236" w:lineRule="auto"/>
        <w:rPr>
          <w:sz w:val="20"/>
          <w:szCs w:val="20"/>
          <w:color w:val="auto"/>
        </w:rPr>
      </w:pPr>
      <w:r>
        <w:rPr>
          <w:rFonts w:ascii="Arial" w:cs="Arial" w:eastAsia="Arial" w:hAnsi="Arial"/>
          <w:sz w:val="18"/>
          <w:szCs w:val="18"/>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204"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Focus on Cybersecurity</w:t>
      </w:r>
    </w:p>
    <w:p>
      <w:pPr>
        <w:spacing w:after="0" w:line="234"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w:t>
      </w:r>
      <w:r>
        <w:rPr>
          <w:rFonts w:ascii="Arial" w:cs="Arial" w:eastAsia="Arial" w:hAnsi="Arial"/>
          <w:sz w:val="18"/>
          <w:szCs w:val="18"/>
          <w:u w:val="single" w:color="auto"/>
          <w:color w:val="auto"/>
        </w:rPr>
        <w:t>NIST</w:t>
      </w:r>
      <w:r>
        <w:rPr>
          <w:rFonts w:ascii="Arial" w:cs="Arial" w:eastAsia="Arial" w:hAnsi="Arial"/>
          <w:sz w:val="18"/>
          <w:szCs w:val="18"/>
          <w:color w:val="auto"/>
        </w:rPr>
        <w:t>”) and International Organization for Standardization (“</w:t>
      </w:r>
      <w:r>
        <w:rPr>
          <w:rFonts w:ascii="Arial" w:cs="Arial" w:eastAsia="Arial" w:hAnsi="Arial"/>
          <w:sz w:val="18"/>
          <w:szCs w:val="18"/>
          <w:u w:val="single" w:color="auto"/>
          <w:color w:val="auto"/>
        </w:rPr>
        <w:t>ISO</w:t>
      </w:r>
      <w:r>
        <w:rPr>
          <w:rFonts w:ascii="Arial" w:cs="Arial" w:eastAsia="Arial" w:hAnsi="Arial"/>
          <w:sz w:val="18"/>
          <w:szCs w:val="18"/>
          <w:color w:val="auto"/>
        </w:rPr>
        <w:t>”) frameworks, and our policies and procedures in managing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are in compliance with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requirements.</w:t>
      </w:r>
    </w:p>
    <w:p>
      <w:pPr>
        <w:spacing w:after="0" w:line="202"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202" w:lineRule="exact"/>
        <w:rPr>
          <w:sz w:val="20"/>
          <w:szCs w:val="20"/>
          <w:color w:val="auto"/>
        </w:rPr>
      </w:pPr>
    </w:p>
    <w:p>
      <w:pPr>
        <w:ind w:left="300" w:right="220" w:firstLine="532"/>
        <w:spacing w:after="0" w:line="237"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w:t>
      </w: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multiple steps to ensure our ability to restore data in the event of data failure, corruption, accidental deletion, or malicious tampering.</w:t>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TPH Business Combination</w:t>
      </w:r>
    </w:p>
    <w:p>
      <w:pPr>
        <w:spacing w:after="0" w:line="234" w:lineRule="exact"/>
        <w:rPr>
          <w:sz w:val="20"/>
          <w:szCs w:val="20"/>
          <w:color w:val="auto"/>
        </w:rPr>
      </w:pPr>
    </w:p>
    <w:p>
      <w:pPr>
        <w:jc w:val="both"/>
        <w:ind w:left="300" w:right="580" w:firstLine="532"/>
        <w:spacing w:after="0"/>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203" w:lineRule="exact"/>
        <w:rPr>
          <w:sz w:val="20"/>
          <w:szCs w:val="20"/>
          <w:color w:val="auto"/>
        </w:rPr>
      </w:pPr>
    </w:p>
    <w:p>
      <w:pPr>
        <w:ind w:left="300" w:right="260" w:firstLine="532"/>
        <w:spacing w:after="0" w:line="238"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the success of this combination can be derived from many factors including:</w:t>
      </w:r>
    </w:p>
    <w:p>
      <w:pPr>
        <w:spacing w:after="0" w:line="95" w:lineRule="exact"/>
        <w:rPr>
          <w:sz w:val="20"/>
          <w:szCs w:val="20"/>
          <w:color w:val="auto"/>
        </w:rPr>
      </w:pPr>
    </w:p>
    <w:p>
      <w:pPr>
        <w:jc w:val="both"/>
        <w:ind w:left="1020" w:hanging="195"/>
        <w:spacing w:after="0" w:line="25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Shared Common Culture: </w:t>
      </w:r>
      <w:r>
        <w:rPr>
          <w:rFonts w:ascii="Arial" w:cs="Arial" w:eastAsia="Arial" w:hAnsi="Arial"/>
          <w:sz w:val="18"/>
          <w:szCs w:val="18"/>
          <w:color w:val="auto"/>
        </w:rPr>
        <w:t>The founders of both our Company and TPH have long-standing relationships, initially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common Wall Street investment banks. This unique shared heritage of our founders provided a common foundation upon which each firm was built and we believe has allowed for seamless integration and successful commercial synergy.</w:t>
      </w:r>
    </w:p>
    <w:p>
      <w:pPr>
        <w:spacing w:after="0" w:line="74" w:lineRule="exact"/>
        <w:rPr>
          <w:rFonts w:ascii="Arial" w:cs="Arial" w:eastAsia="Arial" w:hAnsi="Arial"/>
          <w:sz w:val="18"/>
          <w:szCs w:val="18"/>
          <w:color w:val="auto"/>
        </w:rPr>
      </w:pPr>
    </w:p>
    <w:p>
      <w:pPr>
        <w:ind w:left="1020" w:right="4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Advisory Synergy: </w:t>
      </w:r>
      <w:r>
        <w:rPr>
          <w:rFonts w:ascii="Arial" w:cs="Arial" w:eastAsia="Arial" w:hAnsi="Arial"/>
          <w:sz w:val="18"/>
          <w:szCs w:val="18"/>
          <w:color w:val="auto"/>
        </w:rPr>
        <w:t>As standalone businesses, we believed our Company and TPH were not fully capitalizing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potential of the respective franchises. In the case of TPH, their sole focus on energy limited their ability to justify investments in a broader advisory offering, including most notably in restructuring advice. In the case of our Company, despite a strong restructuring advisory franchise, a limited presence in the energy sector left our Company less equipped to penetrate the sector as deeply as the opportunity would warrant. As a combined entity, we believe we have seen significant potential of the combined organization, as we have leveraged industry or advisory service knowledge across the respective businesses.</w:t>
      </w:r>
    </w:p>
    <w:p>
      <w:pPr>
        <w:spacing w:after="0" w:line="90" w:lineRule="exact"/>
        <w:rPr>
          <w:rFonts w:ascii="Arial" w:cs="Arial" w:eastAsia="Arial" w:hAnsi="Arial"/>
          <w:sz w:val="18"/>
          <w:szCs w:val="18"/>
          <w:color w:val="auto"/>
        </w:rPr>
      </w:pPr>
    </w:p>
    <w:p>
      <w:pPr>
        <w:ind w:left="1020" w:right="660" w:hanging="195"/>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Aligned Interests: </w:t>
      </w:r>
      <w:r>
        <w:rPr>
          <w:rFonts w:ascii="Arial" w:cs="Arial" w:eastAsia="Arial" w:hAnsi="Arial"/>
          <w:sz w:val="18"/>
          <w:szCs w:val="18"/>
          <w:color w:val="auto"/>
        </w:rPr>
        <w:t>Through the TPH Business Combination, we combined two firms with shared cultures into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focused on a common goal of independence with a particularly deep focus on sector expertise.</w:t>
      </w: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PWP Separation</w:t>
      </w:r>
    </w:p>
    <w:p>
      <w:pPr>
        <w:spacing w:after="0" w:line="234" w:lineRule="exact"/>
        <w:rPr>
          <w:sz w:val="20"/>
          <w:szCs w:val="20"/>
          <w:color w:val="auto"/>
        </w:rPr>
      </w:pPr>
    </w:p>
    <w:p>
      <w:pPr>
        <w:ind w:left="300" w:right="120" w:firstLine="532"/>
        <w:spacing w:after="0" w:line="238" w:lineRule="auto"/>
        <w:rPr>
          <w:sz w:val="20"/>
          <w:szCs w:val="20"/>
          <w:color w:val="auto"/>
        </w:rPr>
      </w:pPr>
      <w:r>
        <w:rPr>
          <w:rFonts w:ascii="Arial" w:cs="Arial" w:eastAsia="Arial" w:hAnsi="Arial"/>
          <w:sz w:val="18"/>
          <w:szCs w:val="18"/>
          <w:color w:val="auto"/>
        </w:rPr>
        <w:t>On February 28, 2019, we effected the PWP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8"/>
          <w:szCs w:val="18"/>
          <w:i w:val="1"/>
          <w:iCs w:val="1"/>
          <w:color w:val="auto"/>
        </w:rPr>
        <w:t>Certain Relationships and Related Persons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PWP’s Related Party Transactions—Agreements with PWP Capital.</w:t>
      </w:r>
      <w:r>
        <w:rPr>
          <w:rFonts w:ascii="Arial" w:cs="Arial" w:eastAsia="Arial" w:hAnsi="Arial"/>
          <w:sz w:val="18"/>
          <w:szCs w:val="18"/>
          <w:color w:val="auto"/>
        </w:rPr>
        <w:t>”</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Organizational Structure</w:t>
      </w:r>
    </w:p>
    <w:p>
      <w:pPr>
        <w:spacing w:after="0" w:line="234" w:lineRule="exact"/>
        <w:rPr>
          <w:sz w:val="20"/>
          <w:szCs w:val="20"/>
          <w:color w:val="auto"/>
        </w:rPr>
      </w:pPr>
    </w:p>
    <w:p>
      <w:pPr>
        <w:jc w:val="both"/>
        <w:ind w:left="300" w:right="120" w:firstLine="532"/>
        <w:spacing w:after="0"/>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3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320" w:top="459" w:right="6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16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ind w:left="300" w:right="100" w:firstLine="532"/>
        <w:spacing w:after="0" w:line="238"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10" w:lineRule="exact"/>
        <w:rPr>
          <w:sz w:val="20"/>
          <w:szCs w:val="20"/>
          <w:color w:val="auto"/>
        </w:rPr>
      </w:pPr>
    </w:p>
    <w:p>
      <w:pPr>
        <w:ind w:left="1460" w:right="140" w:hanging="635"/>
        <w:spacing w:after="0" w:line="238"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w:t>
      </w:r>
    </w:p>
    <w:p>
      <w:pPr>
        <w:spacing w:after="0" w:line="110" w:lineRule="exact"/>
        <w:rPr>
          <w:rFonts w:ascii="Arial" w:cs="Arial" w:eastAsia="Arial" w:hAnsi="Arial"/>
          <w:sz w:val="18"/>
          <w:szCs w:val="18"/>
          <w:color w:val="auto"/>
        </w:rPr>
      </w:pPr>
    </w:p>
    <w:p>
      <w:pPr>
        <w:ind w:left="1460" w:hanging="635"/>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17" w:lineRule="exact"/>
        <w:rPr>
          <w:rFonts w:ascii="Arial" w:cs="Arial" w:eastAsia="Arial" w:hAnsi="Arial"/>
          <w:sz w:val="18"/>
          <w:szCs w:val="18"/>
          <w:color w:val="auto"/>
        </w:rPr>
      </w:pPr>
    </w:p>
    <w:p>
      <w:pPr>
        <w:ind w:left="1460" w:right="160" w:hanging="635"/>
        <w:spacing w:after="0" w:line="253" w:lineRule="auto"/>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6" w:lineRule="exact"/>
        <w:rPr>
          <w:rFonts w:ascii="Arial" w:cs="Arial" w:eastAsia="Arial" w:hAnsi="Arial"/>
          <w:sz w:val="17"/>
          <w:szCs w:val="17"/>
          <w:color w:val="auto"/>
        </w:rPr>
      </w:pPr>
    </w:p>
    <w:p>
      <w:pPr>
        <w:ind w:left="1460" w:right="20" w:hanging="635"/>
        <w:spacing w:after="0" w:line="238"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the repayment of all outstanding borrowings under the Revolving Credit Agreement (as defined below)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202" w:lineRule="exact"/>
        <w:rPr>
          <w:sz w:val="20"/>
          <w:szCs w:val="20"/>
          <w:color w:val="auto"/>
        </w:rPr>
      </w:pPr>
    </w:p>
    <w:p>
      <w:pPr>
        <w:jc w:val="both"/>
        <w:ind w:left="300" w:right="520" w:firstLine="532"/>
        <w:spacing w:after="0"/>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definitive proxy statement filed with the SEC on May 27, 2021 (the “Proxy Statement”).</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w:t>
      </w:r>
    </w:p>
    <w:p>
      <w:pPr>
        <w:ind w:left="300"/>
        <w:spacing w:after="0" w:line="234" w:lineRule="auto"/>
        <w:rPr>
          <w:sz w:val="20"/>
          <w:szCs w:val="20"/>
          <w:color w:val="auto"/>
        </w:rPr>
      </w:pPr>
      <w:r>
        <w:rPr>
          <w:rFonts w:ascii="Arial" w:cs="Arial" w:eastAsia="Arial" w:hAnsi="Arial"/>
          <w:sz w:val="18"/>
          <w:szCs w:val="18"/>
          <w:color w:val="auto"/>
        </w:rPr>
        <w:t>$975,000,000, including certain cash consideration in the approximate amount of $230,000,000, which was financed with the funds</w:t>
      </w:r>
    </w:p>
    <w:p>
      <w:pPr>
        <w:ind w:left="300"/>
        <w:spacing w:after="0" w:line="235" w:lineRule="auto"/>
        <w:rPr>
          <w:sz w:val="20"/>
          <w:szCs w:val="20"/>
          <w:color w:val="auto"/>
        </w:rPr>
      </w:pPr>
      <w:r>
        <w:rPr>
          <w:rFonts w:ascii="Arial" w:cs="Arial" w:eastAsia="Arial" w:hAnsi="Arial"/>
          <w:sz w:val="18"/>
          <w:szCs w:val="18"/>
          <w:color w:val="auto"/>
        </w:rPr>
        <w:t>available in the trust account established in connection with the IPO (the “</w:t>
      </w:r>
      <w:r>
        <w:rPr>
          <w:rFonts w:ascii="Arial" w:cs="Arial" w:eastAsia="Arial" w:hAnsi="Arial"/>
          <w:sz w:val="18"/>
          <w:szCs w:val="18"/>
          <w:u w:val="single" w:color="auto"/>
          <w:color w:val="auto"/>
        </w:rPr>
        <w:t>Trust Account</w:t>
      </w:r>
      <w:r>
        <w:rPr>
          <w:rFonts w:ascii="Arial" w:cs="Arial" w:eastAsia="Arial" w:hAnsi="Arial"/>
          <w:sz w:val="18"/>
          <w:szCs w:val="18"/>
          <w:color w:val="auto"/>
        </w:rPr>
        <w:t>”) as well as a $125,000,000 fully committed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private placement in private equity.</w:t>
      </w:r>
    </w:p>
    <w:p>
      <w:pPr>
        <w:spacing w:after="0" w:line="212"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 summary of the Subscription Agreements.</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32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535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8535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160" w:firstLine="532"/>
        <w:spacing w:after="0"/>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in the section 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203"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 The following diagram illustrates our structure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Recent Developments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26"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On the Closing Date, all outstanding borrowings under the Revolving Credit Agreement (as defined below) were repaid and the amount of outstanding borrowings was zero. In anticipation of the Closing, on June 15, 2021, PWP OpCo and certain of its subsidiaries executed an Amendment Agreement in respect of its Amended and Restated Credit Agreement, dated as of December 11, 2018</w:t>
      </w:r>
    </w:p>
    <w:p>
      <w:pPr>
        <w:spacing w:after="0" w:line="3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200"/>
        <w:spacing w:after="0"/>
        <w:rPr>
          <w:sz w:val="20"/>
          <w:szCs w:val="20"/>
          <w:color w:val="auto"/>
        </w:rPr>
      </w:pPr>
      <w:r>
        <w:rPr>
          <w:rFonts w:ascii="Arial" w:cs="Arial" w:eastAsia="Arial" w:hAnsi="Arial"/>
          <w:sz w:val="18"/>
          <w:szCs w:val="18"/>
          <w:color w:val="auto"/>
        </w:rPr>
        <w:t>(as amended on December 11, 2018, as further amended on November 11, 2020, and as further amended on December 28, 2020, the “</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among Perella Weinberg Partners Group LP, as the borrower, PWP OpCo, as holdings, certain domestic subsidiaries of PWP OpCo, as guarantors, and Cadence Bank, N.A., as administrative agent and lender.</w:t>
      </w:r>
    </w:p>
    <w:p>
      <w:pPr>
        <w:spacing w:after="0" w:line="203" w:lineRule="exact"/>
        <w:rPr>
          <w:sz w:val="20"/>
          <w:szCs w:val="20"/>
          <w:color w:val="auto"/>
        </w:rPr>
      </w:pPr>
    </w:p>
    <w:p>
      <w:pPr>
        <w:ind w:left="300" w:right="620" w:firstLine="532"/>
        <w:spacing w:after="0" w:line="246" w:lineRule="auto"/>
        <w:rPr>
          <w:sz w:val="20"/>
          <w:szCs w:val="20"/>
          <w:color w:val="auto"/>
        </w:rPr>
      </w:pPr>
      <w:r>
        <w:rPr>
          <w:rFonts w:ascii="Arial" w:cs="Arial" w:eastAsia="Arial" w:hAnsi="Arial"/>
          <w:sz w:val="18"/>
          <w:szCs w:val="18"/>
          <w:color w:val="auto"/>
        </w:rPr>
        <w:t>On the date of the Closing, the Revolving Credit Agreement was modified pursuant to the amendment to implement the following changes, among other things:</w:t>
      </w:r>
    </w:p>
    <w:p>
      <w:pPr>
        <w:spacing w:after="0" w:line="102" w:lineRule="exact"/>
        <w:rPr>
          <w:sz w:val="20"/>
          <w:szCs w:val="20"/>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maturity was extended to July 1, 2025;</w:t>
      </w:r>
    </w:p>
    <w:p>
      <w:pPr>
        <w:spacing w:after="0" w:line="117" w:lineRule="exact"/>
        <w:rPr>
          <w:rFonts w:ascii="Arial" w:cs="Arial" w:eastAsia="Arial" w:hAnsi="Arial"/>
          <w:sz w:val="18"/>
          <w:szCs w:val="18"/>
          <w:color w:val="auto"/>
        </w:rPr>
      </w:pPr>
    </w:p>
    <w:p>
      <w:pPr>
        <w:jc w:val="both"/>
        <w:ind w:left="1020" w:right="50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accrues at LIBOR plus a fixed rate of 2.00% per annum (with a 0.25% LIBOR floor) with an alternate base rate option equal to Cadence’s prime rate minus 1.00% (with a 3.25% floor), and the two-month interest period option is no longer available;</w:t>
      </w:r>
    </w:p>
    <w:p>
      <w:pPr>
        <w:spacing w:after="0" w:line="108"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unused commitment fee accrues at a rate of 0.25% per annum;</w:t>
      </w:r>
    </w:p>
    <w:p>
      <w:pPr>
        <w:spacing w:after="0" w:line="117" w:lineRule="exact"/>
        <w:rPr>
          <w:rFonts w:ascii="Arial" w:cs="Arial" w:eastAsia="Arial" w:hAnsi="Arial"/>
          <w:sz w:val="18"/>
          <w:szCs w:val="18"/>
          <w:color w:val="auto"/>
        </w:rPr>
      </w:pPr>
    </w:p>
    <w:p>
      <w:pPr>
        <w:ind w:left="1020" w:right="240" w:hanging="195"/>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$15,000,000 of the Revolving Credit Agreement may be used for the issuance of letters of credit, subject to a 1.00% per annum fee on outstanding letters of credit;</w:t>
      </w:r>
    </w:p>
    <w:p>
      <w:pPr>
        <w:spacing w:after="0" w:line="9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modifications to the affirmative and negative covenants, including: (1) the debt service coverage ratio is reset at</w:t>
      </w:r>
    </w:p>
    <w:p>
      <w:pPr>
        <w:ind w:left="1020" w:right="60"/>
        <w:spacing w:after="0" w:line="237" w:lineRule="auto"/>
        <w:rPr>
          <w:rFonts w:ascii="Arial" w:cs="Arial" w:eastAsia="Arial" w:hAnsi="Arial"/>
          <w:sz w:val="18"/>
          <w:szCs w:val="18"/>
          <w:color w:val="auto"/>
        </w:rPr>
      </w:pPr>
      <w:r>
        <w:rPr>
          <w:rFonts w:ascii="Arial" w:cs="Arial" w:eastAsia="Arial" w:hAnsi="Arial"/>
          <w:sz w:val="18"/>
          <w:szCs w:val="18"/>
          <w:color w:val="auto"/>
        </w:rPr>
        <w:t>1.50x (after taking into account the repayment of the convertible notes) and all deductions from EBITDA were removed from the numerator of the ratio; (2)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 (4) the removal of certain negative covenants, the increase in certain baskets and the provision for certain additional exceptions; and</w:t>
      </w:r>
    </w:p>
    <w:p>
      <w:pPr>
        <w:spacing w:after="0" w:line="110"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Agreement.</w:t>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Emerging Growth Company</w:t>
      </w:r>
    </w:p>
    <w:p>
      <w:pPr>
        <w:spacing w:after="0" w:line="234"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205"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w:t>
      </w:r>
    </w:p>
    <w:p>
      <w:pPr>
        <w:spacing w:after="0" w:line="3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320" w:top="459" w:right="6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
        <w:spacing w:after="0"/>
        <w:rPr>
          <w:sz w:val="20"/>
          <w:szCs w:val="20"/>
          <w:color w:val="auto"/>
        </w:rPr>
      </w:pPr>
      <w:r>
        <w:rPr>
          <w:rFonts w:ascii="Arial" w:cs="Arial" w:eastAsia="Arial" w:hAnsi="Arial"/>
          <w:sz w:val="18"/>
          <w:szCs w:val="18"/>
          <w:color w:val="auto"/>
        </w:rPr>
        <w:t>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203" w:lineRule="exact"/>
        <w:rPr>
          <w:sz w:val="20"/>
          <w:szCs w:val="20"/>
          <w:color w:val="auto"/>
        </w:rPr>
      </w:pPr>
    </w:p>
    <w:p>
      <w:pPr>
        <w:ind w:left="300" w:right="220" w:firstLine="532"/>
        <w:spacing w:after="0" w:line="23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 Factor Summary</w:t>
      </w:r>
    </w:p>
    <w:p>
      <w:pPr>
        <w:spacing w:after="0" w:line="234" w:lineRule="exact"/>
        <w:rPr>
          <w:sz w:val="20"/>
          <w:szCs w:val="20"/>
          <w:color w:val="auto"/>
        </w:rPr>
      </w:pPr>
    </w:p>
    <w:p>
      <w:pPr>
        <w:ind w:left="300" w:firstLine="532"/>
        <w:spacing w:after="0" w:line="252" w:lineRule="auto"/>
        <w:rPr>
          <w:sz w:val="20"/>
          <w:szCs w:val="20"/>
          <w:color w:val="auto"/>
        </w:rPr>
      </w:pPr>
      <w:r>
        <w:rPr>
          <w:rFonts w:ascii="Arial" w:cs="Arial" w:eastAsia="Arial" w:hAnsi="Arial"/>
          <w:sz w:val="17"/>
          <w:szCs w:val="17"/>
          <w:color w:val="auto"/>
        </w:rPr>
        <w:t>Our business and financial condition is subject to numerous risks and uncertainties. Below is a summary of material factors that make an investment in our securities speculative or risky. The occurrence of one or more of the events or circumstances described below, alone or in combination with other events or circumstances, may have an adverse effect on our business, cash flows, financial condition and results of operations.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beginning on page 42.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as part of your evaluation of an investment in our securities:</w:t>
      </w:r>
    </w:p>
    <w:p>
      <w:pPr>
        <w:spacing w:after="0" w:line="100" w:lineRule="exact"/>
        <w:rPr>
          <w:sz w:val="20"/>
          <w:szCs w:val="20"/>
          <w:color w:val="auto"/>
        </w:rPr>
      </w:pPr>
    </w:p>
    <w:p>
      <w:pPr>
        <w:ind w:left="1020" w:right="80" w:hanging="195"/>
        <w:spacing w:after="0" w:line="23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0"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pacing w:after="0" w:line="117" w:lineRule="exact"/>
        <w:rPr>
          <w:rFonts w:ascii="Arial" w:cs="Arial" w:eastAsia="Arial" w:hAnsi="Arial"/>
          <w:sz w:val="18"/>
          <w:szCs w:val="18"/>
          <w:color w:val="auto"/>
        </w:rPr>
      </w:pPr>
    </w:p>
    <w:p>
      <w:pPr>
        <w:ind w:left="1020" w:right="200" w:hanging="195"/>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102" w:lineRule="exact"/>
        <w:rPr>
          <w:rFonts w:ascii="Arial" w:cs="Arial" w:eastAsia="Arial" w:hAnsi="Arial"/>
          <w:sz w:val="18"/>
          <w:szCs w:val="18"/>
          <w:color w:val="auto"/>
        </w:rPr>
      </w:pPr>
    </w:p>
    <w:p>
      <w:pPr>
        <w:ind w:left="1020" w:right="580" w:hanging="195"/>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successfully identify, consummate and integrate strategic transactions such as joint ventures, strategic investments and acquisitions may result in additional risks and uncertainties in our business.</w:t>
      </w:r>
    </w:p>
    <w:p>
      <w:pPr>
        <w:spacing w:after="0" w:line="102" w:lineRule="exact"/>
        <w:rPr>
          <w:rFonts w:ascii="Arial" w:cs="Arial" w:eastAsia="Arial" w:hAnsi="Arial"/>
          <w:sz w:val="18"/>
          <w:szCs w:val="18"/>
          <w:color w:val="auto"/>
        </w:rPr>
      </w:pPr>
    </w:p>
    <w:p>
      <w:pPr>
        <w:ind w:left="1020" w:right="600" w:hanging="195"/>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102" w:lineRule="exact"/>
        <w:rPr>
          <w:rFonts w:ascii="Arial" w:cs="Arial" w:eastAsia="Arial" w:hAnsi="Arial"/>
          <w:sz w:val="18"/>
          <w:szCs w:val="18"/>
          <w:color w:val="auto"/>
        </w:rPr>
      </w:pPr>
    </w:p>
    <w:p>
      <w:pPr>
        <w:ind w:left="1020" w:right="4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08" w:lineRule="exact"/>
        <w:rPr>
          <w:rFonts w:ascii="Arial" w:cs="Arial" w:eastAsia="Arial" w:hAnsi="Arial"/>
          <w:sz w:val="18"/>
          <w:szCs w:val="18"/>
          <w:color w:val="auto"/>
        </w:rPr>
      </w:pPr>
    </w:p>
    <w:p>
      <w:pPr>
        <w:jc w:val="both"/>
        <w:ind w:left="1020" w:right="1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320" w:top="459" w:right="6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right="36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17" w:lineRule="exact"/>
        <w:rPr>
          <w:rFonts w:ascii="Arial" w:cs="Arial" w:eastAsia="Arial" w:hAnsi="Arial"/>
          <w:sz w:val="18"/>
          <w:szCs w:val="18"/>
          <w:color w:val="auto"/>
        </w:rPr>
      </w:pPr>
    </w:p>
    <w:p>
      <w:pPr>
        <w:ind w:left="1020" w:right="32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pacing w:after="0" w:line="102" w:lineRule="exact"/>
        <w:rPr>
          <w:rFonts w:ascii="Arial" w:cs="Arial" w:eastAsia="Arial" w:hAnsi="Arial"/>
          <w:sz w:val="18"/>
          <w:szCs w:val="18"/>
          <w:color w:val="auto"/>
        </w:rPr>
      </w:pPr>
    </w:p>
    <w:p>
      <w:pPr>
        <w:ind w:left="1020" w:right="60" w:hanging="195"/>
        <w:spacing w:after="0" w:line="26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91" w:lineRule="exact"/>
        <w:rPr>
          <w:rFonts w:ascii="Arial" w:cs="Arial" w:eastAsia="Arial" w:hAnsi="Arial"/>
          <w:sz w:val="17"/>
          <w:szCs w:val="17"/>
          <w:color w:val="auto"/>
        </w:rPr>
      </w:pPr>
    </w:p>
    <w:p>
      <w:pPr>
        <w:ind w:left="1020" w:right="8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17" w:lineRule="exact"/>
        <w:rPr>
          <w:rFonts w:ascii="Arial" w:cs="Arial" w:eastAsia="Arial" w:hAnsi="Arial"/>
          <w:sz w:val="18"/>
          <w:szCs w:val="18"/>
          <w:color w:val="auto"/>
        </w:rPr>
      </w:pPr>
    </w:p>
    <w:p>
      <w:pPr>
        <w:jc w:val="both"/>
        <w:ind w:left="1020" w:right="380" w:hanging="195"/>
        <w:spacing w:after="0" w:line="274"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80" w:lineRule="exact"/>
        <w:rPr>
          <w:rFonts w:ascii="Arial" w:cs="Arial" w:eastAsia="Arial" w:hAnsi="Arial"/>
          <w:sz w:val="17"/>
          <w:szCs w:val="17"/>
          <w:color w:val="auto"/>
        </w:rPr>
      </w:pPr>
    </w:p>
    <w:p>
      <w:pPr>
        <w:jc w:val="both"/>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3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00"/>
          </w:cols>
          <w:pgMar w:left="320" w:top="459" w:right="7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OFFERING</w:t>
      </w:r>
    </w:p>
    <w:p>
      <w:pPr>
        <w:spacing w:after="0" w:line="234" w:lineRule="exact"/>
        <w:rPr>
          <w:sz w:val="20"/>
          <w:szCs w:val="20"/>
          <w:color w:val="auto"/>
        </w:rPr>
      </w:pPr>
    </w:p>
    <w:p>
      <w:pPr>
        <w:ind w:left="300" w:right="460" w:firstLine="532"/>
        <w:spacing w:after="0" w:line="238" w:lineRule="auto"/>
        <w:rPr>
          <w:sz w:val="20"/>
          <w:szCs w:val="20"/>
          <w:color w:val="auto"/>
        </w:rPr>
      </w:pPr>
      <w:r>
        <w:rPr>
          <w:rFonts w:ascii="Arial" w:cs="Arial" w:eastAsia="Arial" w:hAnsi="Arial"/>
          <w:sz w:val="18"/>
          <w:szCs w:val="18"/>
          <w:color w:val="auto"/>
        </w:rPr>
        <w:t>We are registering the issuance by us of up to 7,870,000 shares of our Class A common stock that may be issued upon exercise of warrants to purchase Class A common stock, including the public warrants and the private placement warrants. We are also registering the resale by the Selling Holders or their permitted transferees of (i) up to 70,364,353 shares of Class A common stock and (ii) up to 203,333 warrants. Any investment in the securities offered hereby is speculative and involves a high degree of risk. 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on page 42 of this prospectus.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Issuance of Class A Common Stock</w:t>
      </w:r>
    </w:p>
    <w:p>
      <w:pPr>
        <w:spacing w:after="0" w:line="234" w:lineRule="exact"/>
        <w:rPr>
          <w:sz w:val="20"/>
          <w:szCs w:val="20"/>
          <w:color w:val="auto"/>
        </w:rPr>
      </w:pPr>
    </w:p>
    <w:p>
      <w:pPr>
        <w:ind w:left="300" w:right="900" w:firstLine="532"/>
        <w:spacing w:after="0" w:line="246" w:lineRule="auto"/>
        <w:rPr>
          <w:sz w:val="20"/>
          <w:szCs w:val="20"/>
          <w:color w:val="auto"/>
        </w:rPr>
      </w:pPr>
      <w:r>
        <w:rPr>
          <w:rFonts w:ascii="Arial" w:cs="Arial" w:eastAsia="Arial" w:hAnsi="Arial"/>
          <w:sz w:val="18"/>
          <w:szCs w:val="18"/>
          <w:color w:val="auto"/>
        </w:rPr>
        <w:t>The following information is as of June 30, 2021 and does not give effect to issuances of our Class A common stock or warrants after such date, or the exercise of warrants after such date.</w:t>
      </w:r>
    </w:p>
    <w:p>
      <w:pPr>
        <w:sectPr>
          <w:pgSz w:w="11900" w:h="16838" w:orient="portrait"/>
          <w:cols w:equalWidth="0" w:num="1">
            <w:col w:w="11140"/>
          </w:cols>
          <w:pgMar w:left="320" w:top="459" w:right="439" w:bottom="1440" w:gutter="0" w:footer="0" w:header="0"/>
        </w:sectPr>
      </w:pPr>
    </w:p>
    <w:p>
      <w:pPr>
        <w:spacing w:after="0" w:line="224" w:lineRule="exact"/>
        <w:rPr>
          <w:sz w:val="20"/>
          <w:szCs w:val="20"/>
          <w:color w:val="auto"/>
        </w:rPr>
      </w:pPr>
    </w:p>
    <w:p>
      <w:pPr>
        <w:ind w:left="480" w:hanging="179"/>
        <w:spacing w:after="0" w:line="246" w:lineRule="auto"/>
        <w:rPr>
          <w:sz w:val="20"/>
          <w:szCs w:val="20"/>
          <w:color w:val="auto"/>
        </w:rPr>
      </w:pPr>
      <w:r>
        <w:rPr>
          <w:rFonts w:ascii="Arial" w:cs="Arial" w:eastAsia="Arial" w:hAnsi="Arial"/>
          <w:sz w:val="18"/>
          <w:szCs w:val="18"/>
          <w:color w:val="auto"/>
        </w:rPr>
        <w:t>Shares of our Class A common stock to be issued upon exercise of all public warrants and private placement warrants</w:t>
      </w:r>
    </w:p>
    <w:p>
      <w:pPr>
        <w:spacing w:after="0" w:line="48" w:lineRule="exact"/>
        <w:rPr>
          <w:sz w:val="20"/>
          <w:szCs w:val="20"/>
          <w:color w:val="auto"/>
        </w:rPr>
      </w:pPr>
    </w:p>
    <w:p>
      <w:pPr>
        <w:ind w:left="480" w:right="80" w:hanging="179"/>
        <w:spacing w:after="0" w:line="246" w:lineRule="auto"/>
        <w:rPr>
          <w:sz w:val="20"/>
          <w:szCs w:val="20"/>
          <w:color w:val="auto"/>
        </w:rPr>
      </w:pPr>
      <w:r>
        <w:rPr>
          <w:rFonts w:ascii="Arial" w:cs="Arial" w:eastAsia="Arial" w:hAnsi="Arial"/>
          <w:sz w:val="18"/>
          <w:szCs w:val="18"/>
          <w:color w:val="auto"/>
        </w:rPr>
        <w:t>Shares of our Class A common stock outstanding prior to exercise of all public warrants and private placement warrants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7,870,000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42,956,667 shares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up to an aggregate of approximately</w:t>
      </w:r>
    </w:p>
    <w:p>
      <w:pPr>
        <w:ind w:right="240"/>
        <w:spacing w:after="0" w:line="236" w:lineRule="auto"/>
        <w:rPr>
          <w:sz w:val="20"/>
          <w:szCs w:val="20"/>
          <w:color w:val="auto"/>
        </w:rPr>
      </w:pPr>
      <w:r>
        <w:rPr>
          <w:rFonts w:ascii="Arial" w:cs="Arial" w:eastAsia="Arial" w:hAnsi="Arial"/>
          <w:sz w:val="18"/>
          <w:szCs w:val="18"/>
          <w:color w:val="auto"/>
        </w:rPr>
        <w:t>$90,505,000 from the exercise of all public warrants and private placement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200" w:lineRule="exact"/>
        <w:rPr>
          <w:sz w:val="20"/>
          <w:szCs w:val="20"/>
          <w:color w:val="auto"/>
        </w:rPr>
      </w:pPr>
    </w:p>
    <w:p>
      <w:pPr>
        <w:sectPr>
          <w:pgSz w:w="11900" w:h="16838" w:orient="portrait"/>
          <w:cols w:equalWidth="0" w:num="2">
            <w:col w:w="5640" w:space="200"/>
            <w:col w:w="5300"/>
          </w:cols>
          <w:pgMar w:left="320" w:top="459" w:right="439" w:bottom="1440" w:gutter="0" w:footer="0" w:header="0"/>
          <w:type w:val="continuous"/>
        </w:sectPr>
      </w:pP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Resale of Class A common stock and warrants</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60" w:type="dxa"/>
            <w:vAlign w:val="bottom"/>
          </w:tcPr>
          <w:p>
            <w:pPr>
              <w:ind w:left="180"/>
              <w:spacing w:after="0"/>
              <w:rPr>
                <w:sz w:val="20"/>
                <w:szCs w:val="20"/>
                <w:color w:val="auto"/>
              </w:rPr>
            </w:pPr>
            <w:r>
              <w:rPr>
                <w:rFonts w:ascii="Arial" w:cs="Arial" w:eastAsia="Arial" w:hAnsi="Arial"/>
                <w:sz w:val="18"/>
                <w:szCs w:val="18"/>
                <w:color w:val="auto"/>
              </w:rPr>
              <w:t>Shares of Class A common stock offered by the Selling Holders</w:t>
            </w:r>
          </w:p>
        </w:tc>
        <w:tc>
          <w:tcPr>
            <w:tcW w:w="5360" w:type="dxa"/>
            <w:vAlign w:val="bottom"/>
          </w:tcPr>
          <w:p>
            <w:pPr>
              <w:spacing w:after="0"/>
              <w:rPr>
                <w:sz w:val="18"/>
                <w:szCs w:val="18"/>
                <w:color w:val="auto"/>
              </w:rPr>
            </w:pPr>
          </w:p>
        </w:tc>
      </w:tr>
      <w:tr>
        <w:trPr>
          <w:trHeight w:val="203"/>
        </w:trPr>
        <w:tc>
          <w:tcPr>
            <w:tcW w:w="5660" w:type="dxa"/>
            <w:vAlign w:val="bottom"/>
          </w:tcPr>
          <w:p>
            <w:pPr>
              <w:ind w:left="360"/>
              <w:spacing w:after="0" w:line="202" w:lineRule="exact"/>
              <w:rPr>
                <w:sz w:val="20"/>
                <w:szCs w:val="20"/>
                <w:color w:val="auto"/>
              </w:rPr>
            </w:pPr>
            <w:r>
              <w:rPr>
                <w:rFonts w:ascii="Arial" w:cs="Arial" w:eastAsia="Arial" w:hAnsi="Arial"/>
                <w:sz w:val="18"/>
                <w:szCs w:val="18"/>
                <w:color w:val="auto"/>
              </w:rPr>
              <w:t>(including 203,333 shares of Class A common stock that may be</w:t>
            </w:r>
          </w:p>
        </w:tc>
        <w:tc>
          <w:tcPr>
            <w:tcW w:w="5360" w:type="dxa"/>
            <w:vAlign w:val="bottom"/>
          </w:tcPr>
          <w:p>
            <w:pPr>
              <w:spacing w:after="0"/>
              <w:rPr>
                <w:sz w:val="17"/>
                <w:szCs w:val="17"/>
                <w:color w:val="auto"/>
              </w:rPr>
            </w:pPr>
          </w:p>
        </w:tc>
      </w:tr>
      <w:tr>
        <w:trPr>
          <w:trHeight w:val="203"/>
        </w:trPr>
        <w:tc>
          <w:tcPr>
            <w:tcW w:w="5660" w:type="dxa"/>
            <w:vAlign w:val="bottom"/>
          </w:tcPr>
          <w:p>
            <w:pPr>
              <w:ind w:left="360"/>
              <w:spacing w:after="0" w:line="202" w:lineRule="exact"/>
              <w:rPr>
                <w:sz w:val="20"/>
                <w:szCs w:val="20"/>
                <w:color w:val="auto"/>
              </w:rPr>
            </w:pPr>
            <w:r>
              <w:rPr>
                <w:rFonts w:ascii="Arial" w:cs="Arial" w:eastAsia="Arial" w:hAnsi="Arial"/>
                <w:sz w:val="18"/>
                <w:szCs w:val="18"/>
                <w:color w:val="auto"/>
              </w:rPr>
              <w:t>issued upon exercise of the private placement warrants,</w:t>
            </w:r>
          </w:p>
        </w:tc>
        <w:tc>
          <w:tcPr>
            <w:tcW w:w="5360" w:type="dxa"/>
            <w:vAlign w:val="bottom"/>
          </w:tcPr>
          <w:p>
            <w:pPr>
              <w:spacing w:after="0"/>
              <w:rPr>
                <w:sz w:val="17"/>
                <w:szCs w:val="17"/>
                <w:color w:val="auto"/>
              </w:rPr>
            </w:pPr>
          </w:p>
        </w:tc>
      </w:tr>
      <w:tr>
        <w:trPr>
          <w:trHeight w:val="203"/>
        </w:trPr>
        <w:tc>
          <w:tcPr>
            <w:tcW w:w="5660" w:type="dxa"/>
            <w:vAlign w:val="bottom"/>
          </w:tcPr>
          <w:p>
            <w:pPr>
              <w:ind w:left="360"/>
              <w:spacing w:after="0" w:line="202" w:lineRule="exact"/>
              <w:rPr>
                <w:sz w:val="20"/>
                <w:szCs w:val="20"/>
                <w:color w:val="auto"/>
              </w:rPr>
            </w:pPr>
            <w:r>
              <w:rPr>
                <w:rFonts w:ascii="Arial" w:cs="Arial" w:eastAsia="Arial" w:hAnsi="Arial"/>
                <w:sz w:val="18"/>
                <w:szCs w:val="18"/>
                <w:color w:val="auto"/>
              </w:rPr>
              <w:t>6,846,667 founder shares, 12,500,000 PIPE Shares, 610,000</w:t>
            </w:r>
          </w:p>
        </w:tc>
        <w:tc>
          <w:tcPr>
            <w:tcW w:w="5360" w:type="dxa"/>
            <w:vAlign w:val="bottom"/>
          </w:tcPr>
          <w:p>
            <w:pPr>
              <w:spacing w:after="0"/>
              <w:rPr>
                <w:sz w:val="17"/>
                <w:szCs w:val="17"/>
                <w:color w:val="auto"/>
              </w:rPr>
            </w:pPr>
          </w:p>
        </w:tc>
      </w:tr>
      <w:tr>
        <w:trPr>
          <w:trHeight w:val="217"/>
        </w:trPr>
        <w:tc>
          <w:tcPr>
            <w:tcW w:w="5660" w:type="dxa"/>
            <w:vAlign w:val="bottom"/>
          </w:tcPr>
          <w:p>
            <w:pPr>
              <w:ind w:left="360"/>
              <w:spacing w:after="0"/>
              <w:rPr>
                <w:sz w:val="20"/>
                <w:szCs w:val="20"/>
                <w:color w:val="auto"/>
              </w:rPr>
            </w:pPr>
            <w:r>
              <w:rPr>
                <w:rFonts w:ascii="Arial" w:cs="Arial" w:eastAsia="Arial" w:hAnsi="Arial"/>
                <w:sz w:val="18"/>
                <w:szCs w:val="18"/>
                <w:color w:val="auto"/>
              </w:rPr>
              <w:t>Placement Shares, and 50,204,353 Exchange Shares)</w:t>
            </w:r>
          </w:p>
        </w:tc>
        <w:tc>
          <w:tcPr>
            <w:tcW w:w="5360" w:type="dxa"/>
            <w:vAlign w:val="bottom"/>
          </w:tcPr>
          <w:p>
            <w:pPr>
              <w:ind w:left="60"/>
              <w:spacing w:after="0"/>
              <w:rPr>
                <w:sz w:val="20"/>
                <w:szCs w:val="20"/>
                <w:color w:val="auto"/>
              </w:rPr>
            </w:pPr>
            <w:r>
              <w:rPr>
                <w:rFonts w:ascii="Arial" w:cs="Arial" w:eastAsia="Arial" w:hAnsi="Arial"/>
                <w:sz w:val="18"/>
                <w:szCs w:val="18"/>
                <w:color w:val="auto"/>
              </w:rPr>
              <w:t>70,364,353 shares</w:t>
            </w:r>
          </w:p>
        </w:tc>
      </w:tr>
      <w:tr>
        <w:trPr>
          <w:trHeight w:val="270"/>
        </w:trPr>
        <w:tc>
          <w:tcPr>
            <w:tcW w:w="5660" w:type="dxa"/>
            <w:vAlign w:val="bottom"/>
          </w:tcPr>
          <w:p>
            <w:pPr>
              <w:ind w:left="180"/>
              <w:spacing w:after="0"/>
              <w:rPr>
                <w:sz w:val="20"/>
                <w:szCs w:val="20"/>
                <w:color w:val="auto"/>
              </w:rPr>
            </w:pPr>
            <w:r>
              <w:rPr>
                <w:rFonts w:ascii="Arial" w:cs="Arial" w:eastAsia="Arial" w:hAnsi="Arial"/>
                <w:sz w:val="18"/>
                <w:szCs w:val="18"/>
                <w:color w:val="auto"/>
              </w:rPr>
              <w:t>Warrants offered by the Selling Holders</w:t>
            </w:r>
          </w:p>
        </w:tc>
        <w:tc>
          <w:tcPr>
            <w:tcW w:w="5360" w:type="dxa"/>
            <w:vAlign w:val="bottom"/>
          </w:tcPr>
          <w:p>
            <w:pPr>
              <w:ind w:left="60"/>
              <w:spacing w:after="0"/>
              <w:rPr>
                <w:sz w:val="20"/>
                <w:szCs w:val="20"/>
                <w:color w:val="auto"/>
              </w:rPr>
            </w:pPr>
            <w:r>
              <w:rPr>
                <w:rFonts w:ascii="Arial" w:cs="Arial" w:eastAsia="Arial" w:hAnsi="Arial"/>
                <w:sz w:val="18"/>
                <w:szCs w:val="18"/>
                <w:color w:val="auto"/>
              </w:rPr>
              <w:t>203,333 warrants</w:t>
            </w:r>
          </w:p>
        </w:tc>
      </w:tr>
      <w:tr>
        <w:trPr>
          <w:trHeight w:val="270"/>
        </w:trPr>
        <w:tc>
          <w:tcPr>
            <w:tcW w:w="5660" w:type="dxa"/>
            <w:vAlign w:val="bottom"/>
          </w:tcPr>
          <w:p>
            <w:pPr>
              <w:ind w:left="180"/>
              <w:spacing w:after="0"/>
              <w:rPr>
                <w:sz w:val="20"/>
                <w:szCs w:val="20"/>
                <w:color w:val="auto"/>
              </w:rPr>
            </w:pPr>
            <w:r>
              <w:rPr>
                <w:rFonts w:ascii="Arial" w:cs="Arial" w:eastAsia="Arial" w:hAnsi="Arial"/>
                <w:sz w:val="18"/>
                <w:szCs w:val="18"/>
                <w:color w:val="auto"/>
              </w:rPr>
              <w:t>Exercise Price</w:t>
            </w:r>
          </w:p>
        </w:tc>
        <w:tc>
          <w:tcPr>
            <w:tcW w:w="5360" w:type="dxa"/>
            <w:vAlign w:val="bottom"/>
          </w:tcPr>
          <w:p>
            <w:pPr>
              <w:ind w:left="60"/>
              <w:spacing w:after="0"/>
              <w:rPr>
                <w:sz w:val="20"/>
                <w:szCs w:val="20"/>
                <w:color w:val="auto"/>
              </w:rPr>
            </w:pPr>
            <w:r>
              <w:rPr>
                <w:rFonts w:ascii="Arial" w:cs="Arial" w:eastAsia="Arial" w:hAnsi="Arial"/>
                <w:sz w:val="18"/>
                <w:szCs w:val="18"/>
                <w:color w:val="auto"/>
              </w:rPr>
              <w:t>$11.50 per share, subject to adjustment as described herein</w:t>
            </w:r>
          </w:p>
        </w:tc>
      </w:tr>
      <w:tr>
        <w:trPr>
          <w:trHeight w:val="226"/>
        </w:trPr>
        <w:tc>
          <w:tcPr>
            <w:tcW w:w="566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tcPr>
          <w:p>
            <w:pPr>
              <w:spacing w:after="0"/>
              <w:rPr>
                <w:sz w:val="19"/>
                <w:szCs w:val="19"/>
                <w:color w:val="auto"/>
              </w:rPr>
            </w:pPr>
          </w:p>
        </w:tc>
      </w:tr>
      <w:tr>
        <w:trPr>
          <w:trHeight w:val="361"/>
        </w:trPr>
        <w:tc>
          <w:tcPr>
            <w:tcW w:w="5660" w:type="dxa"/>
            <w:vAlign w:val="bottom"/>
          </w:tcPr>
          <w:p>
            <w:pPr>
              <w:ind w:left="5400"/>
              <w:spacing w:after="0"/>
              <w:rPr>
                <w:sz w:val="20"/>
                <w:szCs w:val="20"/>
                <w:color w:val="auto"/>
              </w:rPr>
            </w:pPr>
            <w:r>
              <w:rPr>
                <w:rFonts w:ascii="Arial" w:cs="Arial" w:eastAsia="Arial" w:hAnsi="Arial"/>
                <w:sz w:val="18"/>
                <w:szCs w:val="18"/>
                <w:color w:val="auto"/>
              </w:rPr>
              <w:t>28</w:t>
            </w:r>
          </w:p>
        </w:tc>
        <w:tc>
          <w:tcPr>
            <w:tcW w:w="53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Redemption</w:t>
            </w:r>
          </w:p>
        </w:tc>
        <w:tc>
          <w:tcPr>
            <w:tcW w:w="728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color w:val="auto"/>
              </w:rPr>
              <w:t>The warrants are redeemable in certain circumstances. See</w:t>
            </w:r>
          </w:p>
        </w:tc>
      </w:tr>
      <w:tr>
        <w:trPr>
          <w:trHeight w:val="221"/>
        </w:trPr>
        <w:tc>
          <w:tcPr>
            <w:tcW w:w="37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Securities—Private Placement Warrants</w:t>
            </w:r>
            <w:r>
              <w:rPr>
                <w:rFonts w:ascii="Arial" w:cs="Arial" w:eastAsia="Arial" w:hAnsi="Arial"/>
                <w:sz w:val="18"/>
                <w:szCs w:val="18"/>
                <w:color w:val="auto"/>
              </w:rPr>
              <w:t>” for</w:t>
            </w:r>
          </w:p>
        </w:tc>
      </w:tr>
      <w:tr>
        <w:trPr>
          <w:trHeight w:val="217"/>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further discussion.</w:t>
            </w:r>
          </w:p>
        </w:tc>
      </w:tr>
      <w:tr>
        <w:trPr>
          <w:trHeight w:val="25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We will not receive any proceeds from the sale of the Class A</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common stock and warrants to be offered by the Selling</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Holders. With respect to shares of Class A common stock</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underlying the warrants, we will not receive any proceeds from</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such shares except with respect to amounts received by us</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upon exercise of such warrants to the extent such warrants are</w:t>
            </w:r>
          </w:p>
        </w:tc>
      </w:tr>
      <w:tr>
        <w:trPr>
          <w:trHeight w:val="217"/>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exercised for cash.</w:t>
            </w:r>
          </w:p>
        </w:tc>
      </w:tr>
      <w:tr>
        <w:trPr>
          <w:trHeight w:val="25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Lock-up Agreements</w:t>
            </w: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Each of the founder shares, the Placement Shares, the private</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placement warrants and the Class A common stock issuable</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upon exercise of the private placement warrants that are owned</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by the Sponsor are subject to certain restrictions on transfer</w:t>
            </w:r>
          </w:p>
        </w:tc>
      </w:tr>
      <w:tr>
        <w:trPr>
          <w:trHeight w:val="184"/>
        </w:trPr>
        <w:tc>
          <w:tcPr>
            <w:tcW w:w="3740" w:type="dxa"/>
            <w:vAlign w:val="bottom"/>
            <w:tcBorders>
              <w:left w:val="single" w:sz="8" w:color="auto"/>
            </w:tcBorders>
          </w:tcPr>
          <w:p>
            <w:pPr>
              <w:spacing w:after="0"/>
              <w:rPr>
                <w:sz w:val="16"/>
                <w:szCs w:val="16"/>
                <w:color w:val="auto"/>
              </w:rPr>
            </w:pPr>
          </w:p>
        </w:tc>
        <w:tc>
          <w:tcPr>
            <w:tcW w:w="7280" w:type="dxa"/>
            <w:vAlign w:val="bottom"/>
            <w:tcBorders>
              <w:right w:val="single" w:sz="8" w:color="auto"/>
            </w:tcBorders>
          </w:tcPr>
          <w:p>
            <w:pPr>
              <w:ind w:left="1980"/>
              <w:spacing w:after="0" w:line="184" w:lineRule="exact"/>
              <w:rPr>
                <w:sz w:val="20"/>
                <w:szCs w:val="20"/>
                <w:color w:val="auto"/>
              </w:rPr>
            </w:pPr>
            <w:r>
              <w:rPr>
                <w:rFonts w:ascii="Arial" w:cs="Arial" w:eastAsia="Arial" w:hAnsi="Arial"/>
                <w:sz w:val="18"/>
                <w:szCs w:val="18"/>
                <w:color w:val="auto"/>
              </w:rPr>
              <w:t>until the termination of applicable lock-up periods. See</w:t>
            </w:r>
          </w:p>
        </w:tc>
      </w:tr>
      <w:tr>
        <w:trPr>
          <w:trHeight w:val="221"/>
        </w:trPr>
        <w:tc>
          <w:tcPr>
            <w:tcW w:w="37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for further discussion. In addition,</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PWP OpCo Class A partnership units are subject to certain</w:t>
            </w:r>
          </w:p>
        </w:tc>
      </w:tr>
      <w:tr>
        <w:trPr>
          <w:trHeight w:val="184"/>
        </w:trPr>
        <w:tc>
          <w:tcPr>
            <w:tcW w:w="3740" w:type="dxa"/>
            <w:vAlign w:val="bottom"/>
            <w:tcBorders>
              <w:left w:val="single" w:sz="8" w:color="auto"/>
            </w:tcBorders>
          </w:tcPr>
          <w:p>
            <w:pPr>
              <w:spacing w:after="0"/>
              <w:rPr>
                <w:sz w:val="16"/>
                <w:szCs w:val="16"/>
                <w:color w:val="auto"/>
              </w:rPr>
            </w:pPr>
          </w:p>
        </w:tc>
        <w:tc>
          <w:tcPr>
            <w:tcW w:w="7280" w:type="dxa"/>
            <w:vAlign w:val="bottom"/>
            <w:tcBorders>
              <w:right w:val="single" w:sz="8" w:color="auto"/>
            </w:tcBorders>
          </w:tcPr>
          <w:p>
            <w:pPr>
              <w:ind w:left="1980"/>
              <w:spacing w:after="0" w:line="184" w:lineRule="exact"/>
              <w:rPr>
                <w:sz w:val="20"/>
                <w:szCs w:val="20"/>
                <w:color w:val="auto"/>
              </w:rPr>
            </w:pPr>
            <w:r>
              <w:rPr>
                <w:rFonts w:ascii="Arial" w:cs="Arial" w:eastAsia="Arial" w:hAnsi="Arial"/>
                <w:sz w:val="18"/>
                <w:szCs w:val="18"/>
                <w:color w:val="auto"/>
              </w:rPr>
              <w:t>restrictions on exchange for Exchange Shares until the</w:t>
            </w:r>
          </w:p>
        </w:tc>
      </w:tr>
      <w:tr>
        <w:trPr>
          <w:trHeight w:val="203"/>
        </w:trPr>
        <w:tc>
          <w:tcPr>
            <w:tcW w:w="374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980"/>
              <w:spacing w:after="0" w:line="202" w:lineRule="exact"/>
              <w:rPr>
                <w:sz w:val="20"/>
                <w:szCs w:val="20"/>
                <w:color w:val="auto"/>
              </w:rPr>
            </w:pPr>
            <w:r>
              <w:rPr>
                <w:rFonts w:ascii="Arial" w:cs="Arial" w:eastAsia="Arial" w:hAnsi="Arial"/>
                <w:sz w:val="18"/>
                <w:szCs w:val="18"/>
                <w:color w:val="auto"/>
              </w:rPr>
              <w:t>termination of applicable lock-up periods. See “</w:t>
            </w:r>
            <w:r>
              <w:rPr>
                <w:rFonts w:ascii="Arial" w:cs="Arial" w:eastAsia="Arial" w:hAnsi="Arial"/>
                <w:sz w:val="18"/>
                <w:szCs w:val="18"/>
                <w:i w:val="1"/>
                <w:iCs w:val="1"/>
                <w:color w:val="auto"/>
              </w:rPr>
              <w:t>Securities Act</w:t>
            </w:r>
          </w:p>
        </w:tc>
      </w:tr>
      <w:tr>
        <w:trPr>
          <w:trHeight w:val="221"/>
        </w:trPr>
        <w:tc>
          <w:tcPr>
            <w:tcW w:w="37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i w:val="1"/>
                <w:iCs w:val="1"/>
                <w:color w:val="auto"/>
              </w:rPr>
              <w:t>Restrictions on Resale of Securities—Lock-Up Agreements</w:t>
            </w:r>
            <w:r>
              <w:rPr>
                <w:rFonts w:ascii="Arial" w:cs="Arial" w:eastAsia="Arial" w:hAnsi="Arial"/>
                <w:sz w:val="18"/>
                <w:szCs w:val="18"/>
                <w:color w:val="auto"/>
              </w:rPr>
              <w:t>” for</w:t>
            </w:r>
          </w:p>
        </w:tc>
      </w:tr>
      <w:tr>
        <w:trPr>
          <w:trHeight w:val="217"/>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further discussion.</w:t>
            </w:r>
          </w:p>
        </w:tc>
      </w:tr>
      <w:tr>
        <w:trPr>
          <w:trHeight w:val="270"/>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Nasdaq Ticker Symbols</w:t>
            </w: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Class A common stock: “PWP”</w:t>
            </w:r>
          </w:p>
        </w:tc>
      </w:tr>
      <w:tr>
        <w:trPr>
          <w:trHeight w:val="270"/>
        </w:trPr>
        <w:tc>
          <w:tcPr>
            <w:tcW w:w="3740" w:type="dxa"/>
            <w:vAlign w:val="bottom"/>
            <w:tcBorders>
              <w:left w:val="single" w:sz="8" w:color="auto"/>
            </w:tcBorders>
          </w:tcPr>
          <w:p>
            <w:pPr>
              <w:spacing w:after="0"/>
              <w:rPr>
                <w:sz w:val="23"/>
                <w:szCs w:val="23"/>
                <w:color w:val="auto"/>
              </w:rPr>
            </w:pPr>
          </w:p>
        </w:tc>
        <w:tc>
          <w:tcPr>
            <w:tcW w:w="728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rPr>
              <w:t>Warrants: “PWPPW”</w:t>
            </w:r>
          </w:p>
        </w:tc>
      </w:tr>
      <w:tr>
        <w:trPr>
          <w:trHeight w:val="226"/>
        </w:trPr>
        <w:tc>
          <w:tcPr>
            <w:tcW w:w="3740" w:type="dxa"/>
            <w:vAlign w:val="bottom"/>
            <w:tcBorders>
              <w:left w:val="single" w:sz="8" w:color="auto"/>
              <w:bottom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spacing w:after="0"/>
              <w:rPr>
                <w:sz w:val="19"/>
                <w:szCs w:val="19"/>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66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HISTORICAL FINANCIAL AND OTHER INFORMATION OF PWP</w:t>
      </w:r>
    </w:p>
    <w:p>
      <w:pPr>
        <w:spacing w:after="0" w:line="234" w:lineRule="exact"/>
        <w:rPr>
          <w:sz w:val="20"/>
          <w:szCs w:val="20"/>
          <w:color w:val="auto"/>
        </w:rPr>
      </w:pPr>
    </w:p>
    <w:p>
      <w:pPr>
        <w:ind w:left="300" w:right="200" w:firstLine="532"/>
        <w:spacing w:after="0" w:line="236" w:lineRule="auto"/>
        <w:rPr>
          <w:sz w:val="20"/>
          <w:szCs w:val="20"/>
          <w:color w:val="auto"/>
        </w:rPr>
      </w:pPr>
      <w:r>
        <w:rPr>
          <w:rFonts w:ascii="Arial" w:cs="Arial" w:eastAsia="Arial" w:hAnsi="Arial"/>
          <w:sz w:val="18"/>
          <w:szCs w:val="18"/>
          <w:color w:val="auto"/>
        </w:rPr>
        <w:t>The selected historical financial and operating data of PWP is presented below as of the dates and for the periods indicated. The statements of operations data for the years ended December 31, 2020, 2019 and 2018 and the statements of financial condition data as of December 31, 2020 and 2019 have been derived from PWP’s audited historical consolidated financial statements included elsewhere in this prospectus. The statement of operations data for the year ended December 31, 2017 and the statements of financial condition data as of December 31, 2018 and 2017 have been derived from PWP’s audited historical consolidated financial statements not included in this prospectus. The statements of operations data for the unaudited three months ended March 31, 2021 and 2020 and statements of financial condition data presented as of March 31, 2021 have been derived from PWP’s unaudited condensed consolidated financial statements included elsewhere in this prospectus. The statement of financial condition data presented as of March 31, 2020 has been derived from PWP’s unaudited condensed consolidated financial statements not included in this prospectus. The unaudited condensed consolidated financial statements have been prepared on a basis consistent with the basis on which PWP’s audited historical consolidated financial statements have been prepared and, in the opinion of its management, reflect all adjustments, of a normal recurring nature, considered necessary for a fair presentation of such data.</w:t>
      </w:r>
    </w:p>
    <w:p>
      <w:pPr>
        <w:spacing w:after="0" w:line="204" w:lineRule="exact"/>
        <w:rPr>
          <w:sz w:val="20"/>
          <w:szCs w:val="20"/>
          <w:color w:val="auto"/>
        </w:rPr>
      </w:pPr>
    </w:p>
    <w:p>
      <w:pPr>
        <w:ind w:left="300" w:right="400" w:firstLine="532"/>
        <w:spacing w:after="0" w:line="238" w:lineRule="auto"/>
        <w:rPr>
          <w:sz w:val="20"/>
          <w:szCs w:val="20"/>
          <w:color w:val="auto"/>
        </w:rPr>
      </w:pPr>
      <w:r>
        <w:rPr>
          <w:rFonts w:ascii="Arial" w:cs="Arial" w:eastAsia="Arial" w:hAnsi="Arial"/>
          <w:sz w:val="18"/>
          <w:szCs w:val="18"/>
          <w:color w:val="auto"/>
        </w:rPr>
        <w:t>PWP’s historical results and revenue information presented below are not necessarily indicative of the results to be expected for any future period and results for the three months ended March 31, 2021 are not necessarily indicative of the results to be expected for the full year or any other period. In connection with the Business Combination, PWP was determined to be the accounting acquirer.</w:t>
      </w:r>
    </w:p>
    <w:p>
      <w:pPr>
        <w:spacing w:after="0" w:line="187" w:lineRule="exact"/>
        <w:rPr>
          <w:sz w:val="20"/>
          <w:szCs w:val="20"/>
          <w:color w:val="auto"/>
        </w:rPr>
      </w:pPr>
    </w:p>
    <w:p>
      <w:pPr>
        <w:ind w:left="300" w:right="240" w:firstLine="532"/>
        <w:spacing w:after="0" w:line="250" w:lineRule="auto"/>
        <w:rPr>
          <w:sz w:val="20"/>
          <w:szCs w:val="20"/>
          <w:color w:val="auto"/>
        </w:rPr>
      </w:pPr>
      <w:r>
        <w:rPr>
          <w:rFonts w:ascii="Arial" w:cs="Arial" w:eastAsia="Arial" w:hAnsi="Arial"/>
          <w:sz w:val="18"/>
          <w:szCs w:val="18"/>
          <w:color w:val="auto"/>
        </w:rPr>
        <w:t>The following selected financial and other data should be read together with “</w:t>
      </w:r>
      <w:r>
        <w:rPr>
          <w:rFonts w:ascii="Arial" w:cs="Arial" w:eastAsia="Arial" w:hAnsi="Arial"/>
          <w:sz w:val="18"/>
          <w:szCs w:val="18"/>
          <w:i w:val="1"/>
          <w:iCs w:val="1"/>
          <w:color w:val="auto"/>
        </w:rPr>
        <w:t>PWP’s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PWP’s historical consolidated financial statements and related notes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right"/>
              <w:ind w:right="380"/>
              <w:spacing w:after="0" w:line="155"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b w:val="1"/>
                <w:bCs w:val="1"/>
                <w:color w:val="auto"/>
              </w:rPr>
              <w:t>Revenues(1)(2)</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169,802</w:t>
            </w: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$92,396</w:t>
            </w:r>
          </w:p>
        </w:tc>
        <w:tc>
          <w:tcPr>
            <w:tcW w:w="1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$518,986</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$ 533,297</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$ 701,989</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$ 418,443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ind w:left="360"/>
              <w:spacing w:after="0" w:line="202" w:lineRule="exact"/>
              <w:rPr>
                <w:sz w:val="20"/>
                <w:szCs w:val="20"/>
                <w:color w:val="auto"/>
              </w:rPr>
            </w:pPr>
            <w:r>
              <w:rPr>
                <w:rFonts w:ascii="Arial" w:cs="Arial" w:eastAsia="Arial" w:hAnsi="Arial"/>
                <w:sz w:val="18"/>
                <w:szCs w:val="18"/>
                <w:color w:val="auto"/>
              </w:rPr>
              <w:t>Compensation and benefits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109,470</w:t>
            </w: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58,511</w:t>
            </w:r>
          </w:p>
        </w:tc>
        <w:tc>
          <w:tcPr>
            <w:tcW w:w="1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374,332</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349,819</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477,606</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279,055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24,815</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193,299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199,052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206,849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20" w:type="dxa"/>
            <w:vAlign w:val="bottom"/>
          </w:tcPr>
          <w:p>
            <w:pPr>
              <w:ind w:left="720"/>
              <w:spacing w:after="0"/>
              <w:rPr>
                <w:sz w:val="20"/>
                <w:szCs w:val="20"/>
                <w:color w:val="auto"/>
              </w:rPr>
            </w:pPr>
            <w:r>
              <w:rPr>
                <w:rFonts w:ascii="Arial" w:cs="Arial" w:eastAsia="Arial" w:hAnsi="Arial"/>
                <w:sz w:val="18"/>
                <w:szCs w:val="18"/>
                <w:color w:val="auto"/>
              </w:rPr>
              <w:t>Total compensation and benefits</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115,627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485,904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Non-compensation 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26,131</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31,295</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134,435</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145,298</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132,748</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106,442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141,758</w:t>
            </w: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95,991</w:t>
            </w:r>
          </w:p>
        </w:tc>
        <w:tc>
          <w:tcPr>
            <w:tcW w:w="1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533,582</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688,416</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809,406</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592,346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28,044</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(3,595)</w:t>
            </w: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(14,596)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(155,119)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(107,417)</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(173,903)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Related party revenues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2,369</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9,263</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(1,854)</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1,848</w:t>
            </w:r>
          </w:p>
        </w:tc>
        <w:tc>
          <w:tcPr>
            <w:tcW w:w="1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(634)</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(3,868)</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(3,974)</w:t>
            </w: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(15,741)</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(15,395)</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(15,164)</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4120" w:type="dxa"/>
            <w:vAlign w:val="bottom"/>
          </w:tcPr>
          <w:p>
            <w:pPr>
              <w:ind w:left="360"/>
              <w:spacing w:after="0"/>
              <w:rPr>
                <w:sz w:val="20"/>
                <w:szCs w:val="20"/>
                <w:color w:val="auto"/>
              </w:rPr>
            </w:pPr>
            <w:r>
              <w:rPr>
                <w:rFonts w:ascii="Arial" w:cs="Arial" w:eastAsia="Arial" w:hAnsi="Arial"/>
                <w:sz w:val="18"/>
                <w:szCs w:val="18"/>
                <w:color w:val="auto"/>
              </w:rPr>
              <w:t>Total non-operating income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(6,293)</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(6,477)</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(15,798)</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(17,225)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24,531</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(3,352)</w:t>
            </w: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(20,889)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(161,596)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(123,215)</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(191,128)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12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 (expense)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(2,024)</w:t>
            </w: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(710)</w:t>
            </w: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(3,453)</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(2,423)</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(2,542)</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22,507</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(4,062)</w:t>
            </w: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(24,342)</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(164,019)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(125,757)</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(190,482)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As of or For the Three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44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As of or For the Year Ended December 31,</w:t>
            </w:r>
          </w:p>
        </w:tc>
      </w:tr>
      <w:tr>
        <w:trPr>
          <w:trHeight w:val="155"/>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11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1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r>
      <w:tr>
        <w:trPr>
          <w:trHeight w:val="156"/>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right"/>
              <w:ind w:right="592"/>
              <w:spacing w:after="0" w:line="155" w:lineRule="exact"/>
              <w:rPr>
                <w:sz w:val="20"/>
                <w:szCs w:val="20"/>
                <w:color w:val="auto"/>
              </w:rPr>
            </w:pPr>
            <w:r>
              <w:rPr>
                <w:rFonts w:ascii="Arial" w:cs="Arial" w:eastAsia="Arial" w:hAnsi="Arial"/>
                <w:sz w:val="14"/>
                <w:szCs w:val="14"/>
                <w:b w:val="1"/>
                <w:bCs w:val="1"/>
                <w:color w:val="auto"/>
              </w:rPr>
              <w:t>($ in thousands)</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Statement of Financial Condition Data</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25"/>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(period end)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$429,089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$359,893</w:t>
            </w:r>
          </w:p>
        </w:tc>
        <w:tc>
          <w:tcPr>
            <w:tcW w:w="260" w:type="dxa"/>
            <w:vAlign w:val="bottom"/>
          </w:tcPr>
          <w:p>
            <w:pPr>
              <w:spacing w:after="0"/>
              <w:rPr>
                <w:sz w:val="17"/>
                <w:szCs w:val="17"/>
                <w:color w:val="auto"/>
              </w:rPr>
            </w:pP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$542,953</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$524,845</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$616,855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$391,610</w:t>
            </w:r>
          </w:p>
        </w:tc>
        <w:tc>
          <w:tcPr>
            <w:tcW w:w="220" w:type="dxa"/>
            <w:vAlign w:val="bottom"/>
          </w:tcPr>
          <w:p>
            <w:pPr>
              <w:spacing w:after="0"/>
              <w:rPr>
                <w:sz w:val="17"/>
                <w:szCs w:val="17"/>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net of unamortized debt discounts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issuance costs</w:t>
            </w:r>
          </w:p>
        </w:tc>
        <w:tc>
          <w:tcPr>
            <w:tcW w:w="1160" w:type="dxa"/>
            <w:vAlign w:val="bottom"/>
            <w:gridSpan w:val="2"/>
            <w:shd w:val="clear" w:color="auto" w:fill="CCEEFF"/>
          </w:tcPr>
          <w:p>
            <w:pPr>
              <w:jc w:val="right"/>
              <w:ind w:right="208"/>
              <w:spacing w:after="0" w:line="203" w:lineRule="exact"/>
              <w:rPr>
                <w:sz w:val="20"/>
                <w:szCs w:val="20"/>
                <w:color w:val="auto"/>
              </w:rPr>
            </w:pPr>
            <w:r>
              <w:rPr>
                <w:rFonts w:ascii="Arial" w:cs="Arial" w:eastAsia="Arial" w:hAnsi="Arial"/>
                <w:sz w:val="18"/>
                <w:szCs w:val="18"/>
                <w:color w:val="auto"/>
              </w:rPr>
              <w:t>147,999</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165,962</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8"/>
              <w:spacing w:after="0" w:line="203" w:lineRule="exact"/>
              <w:rPr>
                <w:sz w:val="20"/>
                <w:szCs w:val="20"/>
                <w:color w:val="auto"/>
              </w:rPr>
            </w:pPr>
            <w:r>
              <w:rPr>
                <w:rFonts w:ascii="Arial" w:cs="Arial" w:eastAsia="Arial" w:hAnsi="Arial"/>
                <w:sz w:val="18"/>
                <w:szCs w:val="18"/>
                <w:color w:val="auto"/>
              </w:rPr>
              <w:t>146,965</w:t>
            </w:r>
          </w:p>
        </w:tc>
        <w:tc>
          <w:tcPr>
            <w:tcW w:w="1140" w:type="dxa"/>
            <w:vAlign w:val="bottom"/>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153,001</w:t>
            </w:r>
          </w:p>
        </w:tc>
        <w:tc>
          <w:tcPr>
            <w:tcW w:w="1140" w:type="dxa"/>
            <w:vAlign w:val="bottom"/>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139,615</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136,389</w:t>
            </w:r>
          </w:p>
        </w:tc>
        <w:tc>
          <w:tcPr>
            <w:tcW w:w="220" w:type="dxa"/>
            <w:vAlign w:val="bottom"/>
            <w:shd w:val="clear" w:color="auto" w:fill="CCEEFF"/>
          </w:tcPr>
          <w:p>
            <w:pPr>
              <w:spacing w:after="0"/>
              <w:rPr>
                <w:sz w:val="17"/>
                <w:szCs w:val="17"/>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335,446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288,138</w:t>
            </w:r>
          </w:p>
        </w:tc>
        <w:tc>
          <w:tcPr>
            <w:tcW w:w="260" w:type="dxa"/>
            <w:vAlign w:val="bottom"/>
          </w:tcPr>
          <w:p>
            <w:pPr>
              <w:spacing w:after="0"/>
              <w:rPr>
                <w:sz w:val="17"/>
                <w:szCs w:val="17"/>
                <w:color w:val="auto"/>
              </w:rPr>
            </w:pP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468,770</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442,940</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524,336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346,222</w:t>
            </w:r>
          </w:p>
        </w:tc>
        <w:tc>
          <w:tcPr>
            <w:tcW w:w="2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93,643</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71,755</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74,183</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81,905</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92,519</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45,388</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b w:val="1"/>
                <w:bCs w:val="1"/>
                <w:color w:val="auto"/>
              </w:rPr>
              <w:t>Other Data and Metrics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professionals at period-end</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385</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395</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402</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371</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7"/>
                <w:szCs w:val="17"/>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Advisory Partners at period-end</w:t>
            </w: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57</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56</w:t>
            </w:r>
          </w:p>
        </w:tc>
        <w:tc>
          <w:tcPr>
            <w:tcW w:w="11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54</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54</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46</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fee-paying clients during the period</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95</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175</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179</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197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7"/>
                <w:szCs w:val="17"/>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Number of fee-paying clients $1 million or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800" w:type="dxa"/>
            <w:vAlign w:val="bottom"/>
          </w:tcPr>
          <w:p>
            <w:pPr>
              <w:ind w:left="180"/>
              <w:spacing w:after="0" w:line="203" w:lineRule="exact"/>
              <w:rPr>
                <w:sz w:val="20"/>
                <w:szCs w:val="20"/>
                <w:color w:val="auto"/>
              </w:rPr>
            </w:pPr>
            <w:r>
              <w:rPr>
                <w:rFonts w:ascii="Arial" w:cs="Arial" w:eastAsia="Arial" w:hAnsi="Arial"/>
                <w:sz w:val="18"/>
                <w:szCs w:val="18"/>
                <w:color w:val="auto"/>
              </w:rPr>
              <w:t>more during the period</w:t>
            </w:r>
          </w:p>
        </w:tc>
        <w:tc>
          <w:tcPr>
            <w:tcW w:w="1160" w:type="dxa"/>
            <w:vAlign w:val="bottom"/>
            <w:gridSpan w:val="2"/>
          </w:tcPr>
          <w:p>
            <w:pPr>
              <w:jc w:val="right"/>
              <w:ind w:right="208"/>
              <w:spacing w:after="0" w:line="203" w:lineRule="exact"/>
              <w:rPr>
                <w:sz w:val="20"/>
                <w:szCs w:val="20"/>
                <w:color w:val="auto"/>
              </w:rPr>
            </w:pPr>
            <w:r>
              <w:rPr>
                <w:rFonts w:ascii="Arial" w:cs="Arial" w:eastAsia="Arial" w:hAnsi="Arial"/>
                <w:sz w:val="18"/>
                <w:szCs w:val="18"/>
                <w:color w:val="auto"/>
              </w:rPr>
              <w:t>29</w:t>
            </w:r>
          </w:p>
        </w:tc>
        <w:tc>
          <w:tcPr>
            <w:tcW w:w="11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17</w:t>
            </w:r>
          </w:p>
        </w:tc>
        <w:tc>
          <w:tcPr>
            <w:tcW w:w="1160" w:type="dxa"/>
            <w:vAlign w:val="bottom"/>
            <w:gridSpan w:val="2"/>
          </w:tcPr>
          <w:p>
            <w:pPr>
              <w:jc w:val="right"/>
              <w:ind w:right="208"/>
              <w:spacing w:after="0" w:line="203" w:lineRule="exact"/>
              <w:rPr>
                <w:sz w:val="20"/>
                <w:szCs w:val="20"/>
                <w:color w:val="auto"/>
              </w:rPr>
            </w:pPr>
            <w:r>
              <w:rPr>
                <w:rFonts w:ascii="Arial" w:cs="Arial" w:eastAsia="Arial" w:hAnsi="Arial"/>
                <w:sz w:val="18"/>
                <w:szCs w:val="18"/>
                <w:color w:val="auto"/>
              </w:rPr>
              <w:t>99</w:t>
            </w:r>
          </w:p>
        </w:tc>
        <w:tc>
          <w:tcPr>
            <w:tcW w:w="1140" w:type="dxa"/>
            <w:vAlign w:val="bottom"/>
          </w:tcPr>
          <w:p>
            <w:pPr>
              <w:jc w:val="right"/>
              <w:ind w:right="172"/>
              <w:spacing w:after="0" w:line="203" w:lineRule="exact"/>
              <w:rPr>
                <w:sz w:val="20"/>
                <w:szCs w:val="20"/>
                <w:color w:val="auto"/>
              </w:rPr>
            </w:pPr>
            <w:r>
              <w:rPr>
                <w:rFonts w:ascii="Arial" w:cs="Arial" w:eastAsia="Arial" w:hAnsi="Arial"/>
                <w:sz w:val="18"/>
                <w:szCs w:val="18"/>
                <w:color w:val="auto"/>
              </w:rPr>
              <w:t>100</w:t>
            </w:r>
          </w:p>
        </w:tc>
        <w:tc>
          <w:tcPr>
            <w:tcW w:w="1140" w:type="dxa"/>
            <w:vAlign w:val="bottom"/>
          </w:tcPr>
          <w:p>
            <w:pPr>
              <w:jc w:val="right"/>
              <w:ind w:right="172"/>
              <w:spacing w:after="0" w:line="203" w:lineRule="exact"/>
              <w:rPr>
                <w:sz w:val="20"/>
                <w:szCs w:val="20"/>
                <w:color w:val="auto"/>
              </w:rPr>
            </w:pPr>
            <w:r>
              <w:rPr>
                <w:rFonts w:ascii="Arial" w:cs="Arial" w:eastAsia="Arial" w:hAnsi="Arial"/>
                <w:sz w:val="18"/>
                <w:szCs w:val="18"/>
                <w:color w:val="auto"/>
              </w:rPr>
              <w:t>105</w:t>
            </w:r>
          </w:p>
        </w:tc>
        <w:tc>
          <w:tcPr>
            <w:tcW w:w="11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94</w:t>
            </w: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of total revenues from top 10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transactions during the period</w:t>
            </w:r>
          </w:p>
        </w:tc>
        <w:tc>
          <w:tcPr>
            <w:tcW w:w="1160" w:type="dxa"/>
            <w:vAlign w:val="bottom"/>
            <w:gridSpan w:val="2"/>
            <w:shd w:val="clear" w:color="auto" w:fill="CCEEFF"/>
          </w:tcPr>
          <w:p>
            <w:pPr>
              <w:jc w:val="right"/>
              <w:ind w:right="48"/>
              <w:spacing w:after="0" w:line="203" w:lineRule="exact"/>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67%</w:t>
            </w:r>
          </w:p>
        </w:tc>
        <w:tc>
          <w:tcPr>
            <w:tcW w:w="1160" w:type="dxa"/>
            <w:vAlign w:val="bottom"/>
            <w:gridSpan w:val="2"/>
            <w:shd w:val="clear" w:color="auto" w:fill="CCEEFF"/>
          </w:tcPr>
          <w:p>
            <w:pPr>
              <w:jc w:val="right"/>
              <w:ind w:right="48"/>
              <w:spacing w:after="0" w:line="203" w:lineRule="exact"/>
              <w:rPr>
                <w:sz w:val="20"/>
                <w:szCs w:val="20"/>
                <w:color w:val="auto"/>
              </w:rPr>
            </w:pPr>
            <w:r>
              <w:rPr>
                <w:rFonts w:ascii="Arial" w:cs="Arial" w:eastAsia="Arial" w:hAnsi="Arial"/>
                <w:sz w:val="18"/>
                <w:szCs w:val="18"/>
                <w:color w:val="auto"/>
              </w:rPr>
              <w:t>33%</w:t>
            </w:r>
          </w:p>
        </w:tc>
        <w:tc>
          <w:tcPr>
            <w:tcW w:w="11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39%</w:t>
            </w:r>
          </w:p>
        </w:tc>
        <w:tc>
          <w:tcPr>
            <w:tcW w:w="11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37%</w:t>
            </w:r>
          </w:p>
        </w:tc>
        <w:tc>
          <w:tcPr>
            <w:tcW w:w="1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w:t>
            </w:r>
          </w:p>
        </w:tc>
      </w:tr>
    </w:tbl>
    <w:p>
      <w:pPr>
        <w:spacing w:after="0" w:line="188" w:lineRule="exact"/>
        <w:rPr>
          <w:sz w:val="20"/>
          <w:szCs w:val="20"/>
          <w:color w:val="auto"/>
        </w:rPr>
      </w:pPr>
    </w:p>
    <w:p>
      <w:pPr>
        <w:ind w:left="820" w:right="80" w:hanging="522"/>
        <w:spacing w:after="0" w:line="23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PWP OpCo was formed on November 30, 2016 in conjunction with a business combination (the “</w:t>
      </w:r>
      <w:r>
        <w:rPr>
          <w:rFonts w:ascii="Arial" w:cs="Arial" w:eastAsia="Arial" w:hAnsi="Arial"/>
          <w:sz w:val="18"/>
          <w:szCs w:val="18"/>
          <w:u w:val="single" w:color="auto"/>
          <w:color w:val="auto"/>
        </w:rPr>
        <w:t>TPH Business Combination</w:t>
      </w:r>
      <w:r>
        <w:rPr>
          <w:rFonts w:ascii="Arial" w:cs="Arial" w:eastAsia="Arial" w:hAnsi="Arial"/>
          <w:sz w:val="18"/>
          <w:szCs w:val="18"/>
          <w:color w:val="auto"/>
        </w:rPr>
        <w:t>”) between NoCo A L.P., together with certain of its related entities, and Tudor, Pickering, Holt &amp; Co., LLC (“</w:t>
      </w:r>
      <w:r>
        <w:rPr>
          <w:rFonts w:ascii="Arial" w:cs="Arial" w:eastAsia="Arial" w:hAnsi="Arial"/>
          <w:sz w:val="18"/>
          <w:szCs w:val="18"/>
          <w:u w:val="single" w:color="auto"/>
          <w:color w:val="auto"/>
        </w:rPr>
        <w:t>TPH</w:t>
      </w:r>
      <w:r>
        <w:rPr>
          <w:rFonts w:ascii="Arial" w:cs="Arial" w:eastAsia="Arial" w:hAnsi="Arial"/>
          <w:sz w:val="18"/>
          <w:szCs w:val="18"/>
          <w:color w:val="auto"/>
        </w:rPr>
        <w:t>”). The results of the advisory business acquired in the TPH Business Combination are included in PWP’s consolidated financial results from November 30, 2016, the date of acquisition.</w:t>
      </w:r>
    </w:p>
    <w:p>
      <w:pPr>
        <w:spacing w:after="0" w:line="2" w:lineRule="exact"/>
        <w:rPr>
          <w:rFonts w:ascii="Arial" w:cs="Arial" w:eastAsia="Arial" w:hAnsi="Arial"/>
          <w:sz w:val="18"/>
          <w:szCs w:val="18"/>
          <w:color w:val="auto"/>
        </w:rPr>
      </w:pPr>
    </w:p>
    <w:p>
      <w:pPr>
        <w:ind w:left="820" w:right="140" w:hanging="522"/>
        <w:spacing w:after="0" w:line="23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PWP’s revenues were $260.3 million, $356.1 million and $433.4 million for the years ended December 31, 2016, 2015 and 2014, respectively. These amounts were derived by combining the revenues in the audited financial statements of each of our broker-dealers (including TPH) for the 2016, 2015 and 2014 fiscal years, respectively, which are not included in this prospectus.</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top w:val="single" w:sz="8" w:color="auto"/>
              <w:bottom w:val="single" w:sz="8" w:color="auto"/>
            </w:tcBorders>
            <w:gridSpan w:val="2"/>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55"/>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3"/>
          </w:tcPr>
          <w:p>
            <w:pPr>
              <w:jc w:val="right"/>
              <w:ind w:right="199"/>
              <w:spacing w:after="0" w:line="155" w:lineRule="exact"/>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fees</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$ 168,021</w:t>
            </w:r>
          </w:p>
        </w:tc>
        <w:tc>
          <w:tcPr>
            <w:tcW w:w="10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$ 90,862</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$ 511,251</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$ 524,126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$ 684,945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$ 409,284</w:t>
            </w:r>
          </w:p>
        </w:tc>
        <w:tc>
          <w:tcPr>
            <w:tcW w:w="60" w:type="dxa"/>
            <w:vAlign w:val="bottom"/>
            <w:shd w:val="clear" w:color="auto" w:fill="CCEEFF"/>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Reimbursed expenses(1)</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1,603</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1,534</w:t>
            </w:r>
          </w:p>
        </w:tc>
        <w:tc>
          <w:tcPr>
            <w:tcW w:w="1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6,461</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6,729</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7,759</w:t>
            </w:r>
          </w:p>
        </w:tc>
        <w:tc>
          <w:tcPr>
            <w:tcW w:w="60" w:type="dxa"/>
            <w:vAlign w:val="bottom"/>
          </w:tcPr>
          <w:p>
            <w:pPr>
              <w:spacing w:after="0"/>
              <w:rPr>
                <w:sz w:val="17"/>
                <w:szCs w:val="17"/>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Co-advisor advisory fees(2)</w:t>
            </w: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1,274</w:t>
            </w:r>
          </w:p>
        </w:tc>
        <w:tc>
          <w:tcPr>
            <w:tcW w:w="2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2,442</w:t>
            </w:r>
          </w:p>
        </w:tc>
        <w:tc>
          <w:tcPr>
            <w:tcW w:w="2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9,786</w:t>
            </w:r>
          </w:p>
        </w:tc>
        <w:tc>
          <w:tcPr>
            <w:tcW w:w="2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7"/>
                <w:szCs w:val="17"/>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$ 169,802</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92,396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$ 518,986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$ 533,297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$ 701,989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$ 418,443</w:t>
            </w:r>
          </w:p>
        </w:tc>
        <w:tc>
          <w:tcPr>
            <w:tcW w:w="6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820" w:hanging="52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Reimbursed expenses include amounts reimbursed by PWP clients for collection of expenses.</w:t>
      </w:r>
    </w:p>
    <w:p>
      <w:pPr>
        <w:ind w:left="820" w:right="220" w:hanging="522"/>
        <w:spacing w:after="0" w:line="23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32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Revenue by Quarter</w:t>
      </w:r>
      <w:r>
        <w:rPr>
          <w:rFonts w:ascii="Arial" w:cs="Arial" w:eastAsia="Arial" w:hAnsi="Arial"/>
          <w:sz w:val="24"/>
          <w:szCs w:val="24"/>
          <w:b w:val="1"/>
          <w:bCs w:val="1"/>
          <w:color w:val="auto"/>
          <w:vertAlign w:val="superscript"/>
        </w:rPr>
        <w:t>(1)</w:t>
      </w:r>
    </w:p>
    <w:tbl>
      <w:tblPr>
        <w:tblLayout w:type="fixed"/>
        <w:tblInd w:w="300" w:type="dxa"/>
        <w:tblCellMar>
          <w:top w:w="0" w:type="dxa"/>
          <w:left w:w="0" w:type="dxa"/>
          <w:bottom w:w="0" w:type="dxa"/>
          <w:right w:w="0" w:type="dxa"/>
        </w:tblCellMar>
      </w:tblPr>
      <w:tr>
        <w:trPr>
          <w:trHeight w:val="142"/>
        </w:trPr>
        <w:tc>
          <w:tcPr>
            <w:tcW w:w="100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b w:val="1"/>
                <w:bCs w:val="1"/>
                <w:color w:val="auto"/>
              </w:rPr>
              <w:t>March 31,</w:t>
            </w:r>
          </w:p>
        </w:tc>
        <w:tc>
          <w:tcPr>
            <w:tcW w:w="13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December 31,</w:t>
            </w:r>
          </w:p>
        </w:tc>
        <w:tc>
          <w:tcPr>
            <w:tcW w:w="13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4"/>
                <w:szCs w:val="14"/>
                <w:b w:val="1"/>
                <w:bCs w:val="1"/>
                <w:color w:val="auto"/>
              </w:rPr>
              <w:t>June 30,</w:t>
            </w:r>
          </w:p>
        </w:tc>
        <w:tc>
          <w:tcPr>
            <w:tcW w:w="11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March 31,</w:t>
            </w:r>
          </w:p>
        </w:tc>
        <w:tc>
          <w:tcPr>
            <w:tcW w:w="12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December 31,</w:t>
            </w:r>
          </w:p>
        </w:tc>
        <w:tc>
          <w:tcPr>
            <w:tcW w:w="13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June 30,</w:t>
            </w:r>
          </w:p>
        </w:tc>
        <w:tc>
          <w:tcPr>
            <w:tcW w:w="106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r>
      <w:tr>
        <w:trPr>
          <w:trHeight w:val="175"/>
        </w:trPr>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55"/>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1000" w:type="dxa"/>
            <w:vAlign w:val="bottom"/>
            <w:shd w:val="clear" w:color="auto" w:fill="CCEEFF"/>
          </w:tcPr>
          <w:p>
            <w:pPr>
              <w:jc w:val="right"/>
              <w:ind w:right="62"/>
              <w:spacing w:after="0" w:line="202" w:lineRule="exact"/>
              <w:rPr>
                <w:sz w:val="20"/>
                <w:szCs w:val="20"/>
                <w:color w:val="auto"/>
              </w:rPr>
            </w:pPr>
            <w:r>
              <w:rPr>
                <w:rFonts w:ascii="Arial" w:cs="Arial" w:eastAsia="Arial" w:hAnsi="Arial"/>
                <w:sz w:val="18"/>
                <w:szCs w:val="18"/>
                <w:color w:val="auto"/>
              </w:rPr>
              <w:t>$ 169,802</w:t>
            </w:r>
          </w:p>
        </w:tc>
        <w:tc>
          <w:tcPr>
            <w:tcW w:w="36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189,145</w:t>
            </w:r>
          </w:p>
        </w:tc>
        <w:tc>
          <w:tcPr>
            <w:tcW w:w="38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122,844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$ 114,601</w:t>
            </w:r>
          </w:p>
        </w:tc>
        <w:tc>
          <w:tcPr>
            <w:tcW w:w="1180" w:type="dxa"/>
            <w:vAlign w:val="bottom"/>
            <w:shd w:val="clear" w:color="auto" w:fill="CCEEFF"/>
          </w:tcPr>
          <w:p>
            <w:pPr>
              <w:jc w:val="right"/>
              <w:ind w:right="124"/>
              <w:spacing w:after="0" w:line="202" w:lineRule="exact"/>
              <w:rPr>
                <w:sz w:val="20"/>
                <w:szCs w:val="20"/>
                <w:color w:val="auto"/>
              </w:rPr>
            </w:pPr>
            <w:r>
              <w:rPr>
                <w:rFonts w:ascii="Arial" w:cs="Arial" w:eastAsia="Arial" w:hAnsi="Arial"/>
                <w:sz w:val="18"/>
                <w:szCs w:val="18"/>
                <w:color w:val="auto"/>
              </w:rPr>
              <w:t>$ 92,396</w:t>
            </w:r>
          </w:p>
        </w:tc>
        <w:tc>
          <w:tcPr>
            <w:tcW w:w="3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171,881</w:t>
            </w:r>
          </w:p>
        </w:tc>
        <w:tc>
          <w:tcPr>
            <w:tcW w:w="38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169,795</w:t>
            </w:r>
          </w:p>
        </w:tc>
        <w:tc>
          <w:tcPr>
            <w:tcW w:w="1000" w:type="dxa"/>
            <w:vAlign w:val="bottom"/>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$ 91,521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100,100</w:t>
            </w:r>
          </w:p>
        </w:tc>
        <w:tc>
          <w:tcPr>
            <w:tcW w:w="6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820" w:right="300" w:hanging="52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information for each of the quarters in the years ended December 31, 2020 and 2019, have been derived from the books and records of PWP. Such quarterly revenue information has not been audited or reviewed in accordance with US generally accepted auditing standards.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addition to financial measures presented in accordance with United States generally accepted accounting principles</w:t>
      </w:r>
    </w:p>
    <w:p>
      <w:pPr>
        <w:ind w:left="3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PWP monitors Adjusted total compensation and benefits, Adjusted non-compensation expense, Adjusted operating income</w:t>
      </w:r>
    </w:p>
    <w:p>
      <w:pPr>
        <w:ind w:left="300"/>
        <w:spacing w:after="0" w:line="235" w:lineRule="auto"/>
        <w:rPr>
          <w:sz w:val="20"/>
          <w:szCs w:val="20"/>
          <w:color w:val="auto"/>
        </w:rPr>
      </w:pPr>
      <w:r>
        <w:rPr>
          <w:rFonts w:ascii="Arial" w:cs="Arial" w:eastAsia="Arial" w:hAnsi="Arial"/>
          <w:sz w:val="18"/>
          <w:szCs w:val="18"/>
          <w:color w:val="auto"/>
        </w:rPr>
        <w:t>(loss), Adjusted income (loss) before income taxes and Adjusted net income (loss), each of which is a non-GAAP measure, to</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manage its business, make planning decisions, evaluate its performance and allocate resources.</w:t>
      </w:r>
    </w:p>
    <w:p>
      <w:pPr>
        <w:spacing w:after="0" w:line="117" w:lineRule="exact"/>
        <w:rPr>
          <w:sz w:val="20"/>
          <w:szCs w:val="20"/>
          <w:color w:val="auto"/>
        </w:rPr>
      </w:pPr>
    </w:p>
    <w:p>
      <w:pPr>
        <w:ind w:left="1020" w:right="500" w:hanging="195"/>
        <w:spacing w:after="0" w:line="24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total compensation and benefits</w:t>
      </w:r>
      <w:r>
        <w:rPr>
          <w:rFonts w:ascii="Arial" w:cs="Arial" w:eastAsia="Arial" w:hAnsi="Arial"/>
          <w:sz w:val="17"/>
          <w:szCs w:val="17"/>
          <w:color w:val="auto"/>
        </w:rPr>
        <w:t>” as total compensation and benefits excluding (i) equity-based compensation related to Professional Partners ownership which is not dilutive to investors in PWP or PWP OpCo,</w:t>
      </w:r>
    </w:p>
    <w:p>
      <w:pPr>
        <w:spacing w:after="0" w:line="1" w:lineRule="exact"/>
        <w:rPr>
          <w:rFonts w:ascii="Arial" w:cs="Arial" w:eastAsia="Arial" w:hAnsi="Arial"/>
          <w:sz w:val="17"/>
          <w:szCs w:val="17"/>
          <w:color w:val="auto"/>
        </w:rPr>
      </w:pPr>
    </w:p>
    <w:p>
      <w:pPr>
        <w:ind w:left="1020" w:right="340" w:hanging="6"/>
        <w:spacing w:after="0" w:line="246" w:lineRule="auto"/>
        <w:tabs>
          <w:tab w:leader="none" w:pos="12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transaction-related compensation associated with initial public offering preparation and, prospectively, (iii) transaction-related compensation associated with the Business Combination.</w:t>
      </w:r>
    </w:p>
    <w:p>
      <w:pPr>
        <w:spacing w:after="0" w:line="102" w:lineRule="exact"/>
        <w:rPr>
          <w:rFonts w:ascii="Arial" w:cs="Arial" w:eastAsia="Arial" w:hAnsi="Arial"/>
          <w:sz w:val="18"/>
          <w:szCs w:val="18"/>
          <w:color w:val="auto"/>
        </w:rPr>
      </w:pPr>
    </w:p>
    <w:p>
      <w:pPr>
        <w:ind w:left="1020" w:right="760" w:hanging="195"/>
        <w:spacing w:after="0" w:line="24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non-compensation expense</w:t>
      </w:r>
      <w:r>
        <w:rPr>
          <w:rFonts w:ascii="Arial" w:cs="Arial" w:eastAsia="Arial" w:hAnsi="Arial"/>
          <w:sz w:val="17"/>
          <w:szCs w:val="17"/>
          <w:color w:val="auto"/>
        </w:rPr>
        <w:t>” as non-compensation expense excluding (i) TPH Business Combination related expenses, (ii) expenses related to the PWP Separation, (iii) delayed offering cost expense and</w:t>
      </w:r>
    </w:p>
    <w:p>
      <w:pPr>
        <w:spacing w:after="0" w:line="1" w:lineRule="exact"/>
        <w:rPr>
          <w:rFonts w:ascii="Arial" w:cs="Arial" w:eastAsia="Arial" w:hAnsi="Arial"/>
          <w:sz w:val="17"/>
          <w:szCs w:val="17"/>
          <w:color w:val="auto"/>
        </w:rPr>
      </w:pPr>
    </w:p>
    <w:p>
      <w:pPr>
        <w:ind w:left="1320" w:hanging="306"/>
        <w:spacing w:after="0"/>
        <w:tabs>
          <w:tab w:leader="none" w:pos="13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prospectively, transaction-related non-compensation expenses associated with the Business Combination.</w:t>
      </w:r>
    </w:p>
    <w:p>
      <w:pPr>
        <w:spacing w:after="0" w:line="117" w:lineRule="exact"/>
        <w:rPr>
          <w:rFonts w:ascii="Arial" w:cs="Arial" w:eastAsia="Arial" w:hAnsi="Arial"/>
          <w:sz w:val="18"/>
          <w:szCs w:val="18"/>
          <w:color w:val="auto"/>
        </w:rPr>
      </w:pPr>
    </w:p>
    <w:p>
      <w:pPr>
        <w:ind w:left="1020" w:right="60" w:hanging="195"/>
        <w:spacing w:after="0" w:line="23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operating income (loss)</w:t>
      </w:r>
      <w:r>
        <w:rPr>
          <w:rFonts w:ascii="Arial" w:cs="Arial" w:eastAsia="Arial" w:hAnsi="Arial"/>
          <w:sz w:val="18"/>
          <w:szCs w:val="18"/>
          <w:color w:val="auto"/>
        </w:rPr>
        <w:t>” as operating income (loss) excluding (i) equity-based compensation related to Professional Partners ownership which is not dilutive to investors in PWP or PWP OpCo, (ii) transaction-related compensation associated with initial public offering preparation, (iii) TPH Business Combination related expenses,</w:t>
      </w:r>
    </w:p>
    <w:p>
      <w:pPr>
        <w:spacing w:after="0" w:line="2" w:lineRule="exact"/>
        <w:rPr>
          <w:rFonts w:ascii="Arial" w:cs="Arial" w:eastAsia="Arial" w:hAnsi="Arial"/>
          <w:sz w:val="18"/>
          <w:szCs w:val="18"/>
          <w:color w:val="auto"/>
        </w:rPr>
      </w:pPr>
    </w:p>
    <w:p>
      <w:pPr>
        <w:ind w:left="1020" w:right="260" w:hanging="6"/>
        <w:spacing w:after="0" w:line="246" w:lineRule="auto"/>
        <w:tabs>
          <w:tab w:leader="none" w:pos="13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expenses related to the PWP Separation, (v) delayed offering cost expense and, prospectively, (vi) transaction-related compensation and non-compensation expenses associated with the Business Combination.</w:t>
      </w:r>
    </w:p>
    <w:p>
      <w:pPr>
        <w:spacing w:after="0" w:line="102" w:lineRule="exact"/>
        <w:rPr>
          <w:rFonts w:ascii="Arial" w:cs="Arial" w:eastAsia="Arial" w:hAnsi="Arial"/>
          <w:sz w:val="18"/>
          <w:szCs w:val="18"/>
          <w:color w:val="auto"/>
        </w:rPr>
      </w:pPr>
    </w:p>
    <w:p>
      <w:pPr>
        <w:ind w:left="1020" w:right="100" w:hanging="195"/>
        <w:spacing w:after="0" w:line="23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income (loss) before income taxes</w:t>
      </w:r>
      <w:r>
        <w:rPr>
          <w:rFonts w:ascii="Arial" w:cs="Arial" w:eastAsia="Arial" w:hAnsi="Arial"/>
          <w:sz w:val="18"/>
          <w:szCs w:val="18"/>
          <w:color w:val="auto"/>
        </w:rPr>
        <w:t>” as income (loss) excluding income taxes before (i) equity-based compensation related to Professional Partners ownership which is not dilutive to investors in PWP or PWP OpCo,</w:t>
      </w:r>
    </w:p>
    <w:p>
      <w:pPr>
        <w:spacing w:after="0" w:line="1" w:lineRule="exact"/>
        <w:rPr>
          <w:rFonts w:ascii="Arial" w:cs="Arial" w:eastAsia="Arial" w:hAnsi="Arial"/>
          <w:sz w:val="18"/>
          <w:szCs w:val="18"/>
          <w:color w:val="auto"/>
        </w:rPr>
      </w:pPr>
    </w:p>
    <w:p>
      <w:pPr>
        <w:ind w:left="1020" w:right="180" w:hanging="6"/>
        <w:spacing w:after="0" w:line="238" w:lineRule="auto"/>
        <w:tabs>
          <w:tab w:leader="none" w:pos="12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transaction-related compensation associated with initial public offering preparation, (iii) TPH Business Combination related expenses, (iv) expenses related to the PWP Separation, (v) delayed offering cost expense, (vi) amortization of debt costs, and, prospectively, (vii) transaction-related compensation and non-compensation-related expenses associated with the Business Combination.</w:t>
      </w:r>
    </w:p>
    <w:p>
      <w:pPr>
        <w:spacing w:after="0" w:line="110" w:lineRule="exact"/>
        <w:rPr>
          <w:rFonts w:ascii="Arial" w:cs="Arial" w:eastAsia="Arial" w:hAnsi="Arial"/>
          <w:sz w:val="18"/>
          <w:szCs w:val="18"/>
          <w:color w:val="auto"/>
        </w:rPr>
      </w:pPr>
    </w:p>
    <w:p>
      <w:pPr>
        <w:ind w:left="1020" w:right="900" w:hanging="195"/>
        <w:spacing w:after="0" w:line="248"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net income (loss)</w:t>
      </w:r>
      <w:r>
        <w:rPr>
          <w:rFonts w:ascii="Arial" w:cs="Arial" w:eastAsia="Arial" w:hAnsi="Arial"/>
          <w:sz w:val="17"/>
          <w:szCs w:val="17"/>
          <w:color w:val="auto"/>
        </w:rPr>
        <w:t>” as net income (loss) excluding after tax amounts for (i) equity-based compensation related to Professional Partners ownership which is not dilutive to investors in PWP or PWP OpCo,</w:t>
      </w:r>
    </w:p>
    <w:p>
      <w:pPr>
        <w:spacing w:after="0" w:line="1" w:lineRule="exact"/>
        <w:rPr>
          <w:rFonts w:ascii="Arial" w:cs="Arial" w:eastAsia="Arial" w:hAnsi="Arial"/>
          <w:sz w:val="17"/>
          <w:szCs w:val="17"/>
          <w:color w:val="auto"/>
        </w:rPr>
      </w:pPr>
    </w:p>
    <w:p>
      <w:pPr>
        <w:ind w:left="1020" w:right="180" w:hanging="6"/>
        <w:spacing w:after="0"/>
        <w:tabs>
          <w:tab w:leader="none" w:pos="12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transaction-related compensation associated with initial public offering preparation, (iii) TPH Business Combination related expenses, (iv) expenses related to the PWP Separation, (v) delayed offering cost expense, (vi) amortization of debt costs, and, prospectively, (vii) transaction-related compensation associated with the Business Combination.</w:t>
      </w:r>
    </w:p>
    <w:p>
      <w:pPr>
        <w:spacing w:after="0" w:line="203" w:lineRule="exact"/>
        <w:rPr>
          <w:sz w:val="20"/>
          <w:szCs w:val="20"/>
          <w:color w:val="auto"/>
        </w:rPr>
      </w:pPr>
    </w:p>
    <w:p>
      <w:pPr>
        <w:jc w:val="both"/>
        <w:ind w:left="300" w:right="120" w:firstLine="532"/>
        <w:spacing w:after="0"/>
        <w:rPr>
          <w:sz w:val="20"/>
          <w:szCs w:val="20"/>
          <w:color w:val="auto"/>
        </w:rPr>
      </w:pPr>
      <w:r>
        <w:rPr>
          <w:rFonts w:ascii="Arial" w:cs="Arial" w:eastAsia="Arial" w:hAnsi="Arial"/>
          <w:sz w:val="18"/>
          <w:szCs w:val="18"/>
          <w:color w:val="auto"/>
        </w:rPr>
        <w:t>PWP believes that these non -GAAP financial measures are key financial indicators of its business performance over the long term and provide useful information regarding whether cash provided by operating activities is sufficient to maintain and grow PWP’s business. We believe that the</w:t>
      </w:r>
    </w:p>
    <w:p>
      <w:pPr>
        <w:spacing w:after="0" w:line="3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32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80"/>
        <w:spacing w:after="0" w:line="246" w:lineRule="auto"/>
        <w:rPr>
          <w:sz w:val="20"/>
          <w:szCs w:val="20"/>
          <w:color w:val="auto"/>
        </w:rPr>
      </w:pPr>
      <w:r>
        <w:rPr>
          <w:rFonts w:ascii="Arial" w:cs="Arial" w:eastAsia="Arial" w:hAnsi="Arial"/>
          <w:sz w:val="18"/>
          <w:szCs w:val="18"/>
          <w:color w:val="auto"/>
        </w:rPr>
        <w:t>methodology for determining these non-GAAP financial measures can provide useful supplemental information to help investors better understand the economics of its platform.</w:t>
      </w:r>
    </w:p>
    <w:p>
      <w:pPr>
        <w:spacing w:after="0" w:line="197" w:lineRule="exact"/>
        <w:rPr>
          <w:sz w:val="20"/>
          <w:szCs w:val="20"/>
          <w:color w:val="auto"/>
        </w:rPr>
      </w:pPr>
    </w:p>
    <w:p>
      <w:pPr>
        <w:ind w:left="300" w:right="20" w:firstLine="532"/>
        <w:spacing w:after="0" w:line="236"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prospectus.</w:t>
      </w:r>
    </w:p>
    <w:p>
      <w:pPr>
        <w:spacing w:after="0" w:line="208" w:lineRule="exact"/>
        <w:rPr>
          <w:sz w:val="20"/>
          <w:szCs w:val="20"/>
          <w:color w:val="auto"/>
        </w:rPr>
      </w:pPr>
    </w:p>
    <w:p>
      <w:pPr>
        <w:ind w:left="300" w:right="460" w:firstLine="532"/>
        <w:spacing w:after="0" w:line="238"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 For additional information regarding PWP’s non-GAAP financial measures see “</w:t>
      </w:r>
      <w:r>
        <w:rPr>
          <w:rFonts w:ascii="Arial" w:cs="Arial" w:eastAsia="Arial" w:hAnsi="Arial"/>
          <w:sz w:val="18"/>
          <w:szCs w:val="18"/>
          <w:i w:val="1"/>
          <w:iCs w:val="1"/>
          <w:color w:val="auto"/>
        </w:rPr>
        <w:t>PWP’s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Operation—Non-GAAP Financial Measures.</w:t>
      </w:r>
      <w:r>
        <w:rPr>
          <w:rFonts w:ascii="Arial" w:cs="Arial" w:eastAsia="Arial" w:hAnsi="Arial"/>
          <w:sz w:val="18"/>
          <w:szCs w:val="18"/>
          <w:color w:val="auto"/>
        </w:rPr>
        <w:t>”</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GAAP</w:t>
            </w: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Adjusted (non-GAAP)</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55"/>
        </w:trPr>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15"/>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42"/>
        </w:trPr>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ind w:right="278"/>
              <w:spacing w:after="0" w:line="143"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r>
      <w:tr>
        <w:trPr>
          <w:trHeight w:val="162"/>
        </w:trPr>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338"/>
              <w:spacing w:after="0"/>
              <w:rPr>
                <w:sz w:val="20"/>
                <w:szCs w:val="20"/>
                <w:color w:val="auto"/>
              </w:rPr>
            </w:pPr>
            <w:r>
              <w:rPr>
                <w:rFonts w:ascii="Arial" w:cs="Arial" w:eastAsia="Arial" w:hAnsi="Arial"/>
                <w:sz w:val="14"/>
                <w:szCs w:val="14"/>
                <w:b w:val="1"/>
                <w:bCs w:val="1"/>
                <w:color w:val="auto"/>
              </w:rPr>
              <w:t>vs.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vs.</w:t>
            </w:r>
          </w:p>
        </w:tc>
      </w:tr>
      <w:tr>
        <w:trPr>
          <w:trHeight w:val="175"/>
        </w:trPr>
        <w:tc>
          <w:tcPr>
            <w:tcW w:w="4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r>
      <w:tr>
        <w:trPr>
          <w:trHeight w:val="155"/>
        </w:trPr>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gridSpan w:val="3"/>
          </w:tcPr>
          <w:p>
            <w:pPr>
              <w:jc w:val="right"/>
              <w:ind w:right="535"/>
              <w:spacing w:after="0" w:line="155"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compensation and benefits(1)</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8"/>
              </w:rPr>
              <w:t>115,627</w:t>
            </w:r>
          </w:p>
        </w:tc>
        <w:tc>
          <w:tcPr>
            <w:tcW w:w="10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$64,696</w:t>
            </w:r>
          </w:p>
        </w:tc>
        <w:tc>
          <w:tcPr>
            <w:tcW w:w="82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w w:val="98"/>
              </w:rPr>
              <w:t>109,305</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w w:val="98"/>
              </w:rPr>
              <w:t>58,511</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Non-compensation expense(2)</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26,131</w:t>
            </w:r>
          </w:p>
        </w:tc>
        <w:tc>
          <w:tcPr>
            <w:tcW w:w="1000" w:type="dxa"/>
            <w:vAlign w:val="bottom"/>
          </w:tcPr>
          <w:p>
            <w:pPr>
              <w:ind w:left="140"/>
              <w:spacing w:after="0" w:line="202" w:lineRule="exact"/>
              <w:rPr>
                <w:sz w:val="20"/>
                <w:szCs w:val="20"/>
                <w:color w:val="auto"/>
              </w:rPr>
            </w:pPr>
            <w:r>
              <w:rPr>
                <w:rFonts w:ascii="Arial" w:cs="Arial" w:eastAsia="Arial" w:hAnsi="Arial"/>
                <w:sz w:val="18"/>
                <w:szCs w:val="18"/>
                <w:color w:val="auto"/>
              </w:rPr>
              <w:t>$31,295</w:t>
            </w:r>
          </w:p>
        </w:tc>
        <w:tc>
          <w:tcPr>
            <w:tcW w:w="8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24,486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line="202" w:lineRule="exact"/>
              <w:rPr>
                <w:sz w:val="20"/>
                <w:szCs w:val="20"/>
                <w:color w:val="auto"/>
              </w:rPr>
            </w:pPr>
            <w:r>
              <w:rPr>
                <w:rFonts w:ascii="Arial" w:cs="Arial" w:eastAsia="Arial" w:hAnsi="Arial"/>
                <w:sz w:val="18"/>
                <w:szCs w:val="18"/>
                <w:color w:val="auto"/>
                <w:w w:val="98"/>
              </w:rPr>
              <w:t>29,650</w:t>
            </w: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(loss)(3)</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28,044</w:t>
            </w:r>
          </w:p>
        </w:tc>
        <w:tc>
          <w:tcPr>
            <w:tcW w:w="10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 (3,595)</w:t>
            </w:r>
          </w:p>
        </w:tc>
        <w:tc>
          <w:tcPr>
            <w:tcW w:w="82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36,011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4,235</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Income (loss) before income taxes(4)</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24,531</w:t>
            </w:r>
          </w:p>
        </w:tc>
        <w:tc>
          <w:tcPr>
            <w:tcW w:w="1000" w:type="dxa"/>
            <w:vAlign w:val="bottom"/>
          </w:tcPr>
          <w:p>
            <w:pPr>
              <w:ind w:left="140"/>
              <w:spacing w:after="0" w:line="202" w:lineRule="exact"/>
              <w:rPr>
                <w:sz w:val="20"/>
                <w:szCs w:val="20"/>
                <w:color w:val="auto"/>
              </w:rPr>
            </w:pPr>
            <w:r>
              <w:rPr>
                <w:rFonts w:ascii="Arial" w:cs="Arial" w:eastAsia="Arial" w:hAnsi="Arial"/>
                <w:sz w:val="18"/>
                <w:szCs w:val="18"/>
                <w:color w:val="auto"/>
              </w:rPr>
              <w:t>$ (3,352)</w:t>
            </w:r>
          </w:p>
        </w:tc>
        <w:tc>
          <w:tcPr>
            <w:tcW w:w="82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33,532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5,439</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517%</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(loss)(4)(5)</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22,507</w:t>
            </w:r>
          </w:p>
        </w:tc>
        <w:tc>
          <w:tcPr>
            <w:tcW w:w="10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 (4,062)</w:t>
            </w:r>
          </w:p>
        </w:tc>
        <w:tc>
          <w:tcPr>
            <w:tcW w:w="82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31,508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4,729</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566%</w:t>
            </w:r>
          </w:p>
        </w:tc>
      </w:tr>
    </w:tbl>
    <w:p>
      <w:pPr>
        <w:spacing w:after="0" w:line="188" w:lineRule="exact"/>
        <w:rPr>
          <w:sz w:val="20"/>
          <w:szCs w:val="20"/>
          <w:color w:val="auto"/>
        </w:rPr>
      </w:pPr>
    </w:p>
    <w:p>
      <w:pPr>
        <w:ind w:left="820" w:right="400" w:hanging="522"/>
        <w:spacing w:after="0" w:line="248"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adjustments to remove $6.3 million and $6.2 million for the three months ended March 31, 2021 and 2020,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2" w:lineRule="exact"/>
        <w:rPr>
          <w:rFonts w:ascii="Arial" w:cs="Arial" w:eastAsia="Arial" w:hAnsi="Arial"/>
          <w:sz w:val="17"/>
          <w:szCs w:val="17"/>
          <w:color w:val="auto"/>
        </w:rPr>
      </w:pPr>
    </w:p>
    <w:p>
      <w:pPr>
        <w:ind w:left="820" w:right="480" w:hanging="522"/>
        <w:spacing w:after="0" w:line="23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adjustments to remove $1.6 million for the three months ended March 31, 2021 and 2020 in Adjusted non-GAAP presentation, for the amortization of intangible assets related to the TPH Business Combination.</w:t>
      </w:r>
    </w:p>
    <w:p>
      <w:pPr>
        <w:spacing w:after="0" w:line="1" w:lineRule="exact"/>
        <w:rPr>
          <w:rFonts w:ascii="Arial" w:cs="Arial" w:eastAsia="Arial" w:hAnsi="Arial"/>
          <w:sz w:val="18"/>
          <w:szCs w:val="18"/>
          <w:color w:val="auto"/>
        </w:rPr>
      </w:pPr>
    </w:p>
    <w:p>
      <w:pPr>
        <w:ind w:left="820" w:right="960" w:hanging="522"/>
        <w:spacing w:after="0" w:line="23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adjustments to remove $8.0 million and $7.8 million for the three months ended March 31, 2021 and 2020, respectively, in the Adjusted non-GAAP presentation, for the items noted in (1) and (2) above.</w:t>
      </w:r>
    </w:p>
    <w:p>
      <w:pPr>
        <w:spacing w:after="0" w:line="1" w:lineRule="exact"/>
        <w:rPr>
          <w:rFonts w:ascii="Arial" w:cs="Arial" w:eastAsia="Arial" w:hAnsi="Arial"/>
          <w:sz w:val="18"/>
          <w:szCs w:val="18"/>
          <w:color w:val="auto"/>
        </w:rPr>
      </w:pPr>
    </w:p>
    <w:p>
      <w:pPr>
        <w:ind w:left="820" w:right="80" w:hanging="522"/>
        <w:spacing w:after="0" w:line="23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adjustments to remove $9.0 million and $8.8 million for the three months ended March 31, 2021 and 2020, respectively, in Adjusted non-GAAP presentation, for the items noted in (1) and (2) above as well as amortization of debt costs composed of the amortization of debt discounts and issuance costs which is included in interest expense.</w:t>
      </w:r>
    </w:p>
    <w:p>
      <w:pPr>
        <w:spacing w:after="0" w:line="2" w:lineRule="exact"/>
        <w:rPr>
          <w:rFonts w:ascii="Arial" w:cs="Arial" w:eastAsia="Arial" w:hAnsi="Arial"/>
          <w:sz w:val="18"/>
          <w:szCs w:val="18"/>
          <w:color w:val="auto"/>
        </w:rPr>
      </w:pPr>
    </w:p>
    <w:p>
      <w:pPr>
        <w:ind w:left="820" w:hanging="52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no significant income tax impact of these adjustments.</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07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GAAP</w:t>
            </w: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Adjusted (non-GAAP)</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56"/>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6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compensation and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benefits(1)</w:t>
            </w:r>
          </w:p>
        </w:tc>
        <w:tc>
          <w:tcPr>
            <w:tcW w:w="106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$ 399,147</w:t>
            </w:r>
          </w:p>
        </w:tc>
        <w:tc>
          <w:tcPr>
            <w:tcW w:w="10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$ 543,118</w:t>
            </w:r>
          </w:p>
        </w:tc>
        <w:tc>
          <w:tcPr>
            <w:tcW w:w="100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$ 676,658</w:t>
            </w:r>
          </w:p>
        </w:tc>
        <w:tc>
          <w:tcPr>
            <w:tcW w:w="11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$ 485,904</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365,618</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349,224</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468,140</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279,055</w:t>
            </w:r>
          </w:p>
        </w:tc>
        <w:tc>
          <w:tcPr>
            <w:tcW w:w="60" w:type="dxa"/>
            <w:vAlign w:val="bottom"/>
            <w:shd w:val="clear" w:color="auto" w:fill="CCEEFF"/>
          </w:tcPr>
          <w:p>
            <w:pPr>
              <w:spacing w:after="0"/>
              <w:rPr>
                <w:sz w:val="17"/>
                <w:szCs w:val="17"/>
                <w:color w:val="auto"/>
              </w:rPr>
            </w:pP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Non-compensation expense(2)</w:t>
            </w:r>
          </w:p>
        </w:tc>
        <w:tc>
          <w:tcPr>
            <w:tcW w:w="10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$ 134,435</w:t>
            </w:r>
          </w:p>
        </w:tc>
        <w:tc>
          <w:tcPr>
            <w:tcW w:w="1060" w:type="dxa"/>
            <w:vAlign w:val="bottom"/>
          </w:tcPr>
          <w:p>
            <w:pPr>
              <w:ind w:left="80"/>
              <w:spacing w:after="0" w:line="202" w:lineRule="exact"/>
              <w:rPr>
                <w:sz w:val="20"/>
                <w:szCs w:val="20"/>
                <w:color w:val="auto"/>
              </w:rPr>
            </w:pPr>
            <w:r>
              <w:rPr>
                <w:rFonts w:ascii="Arial" w:cs="Arial" w:eastAsia="Arial" w:hAnsi="Arial"/>
                <w:sz w:val="18"/>
                <w:szCs w:val="18"/>
                <w:color w:val="auto"/>
              </w:rPr>
              <w:t>$ 145,298</w:t>
            </w:r>
          </w:p>
        </w:tc>
        <w:tc>
          <w:tcPr>
            <w:tcW w:w="1000" w:type="dxa"/>
            <w:vAlign w:val="bottom"/>
          </w:tcPr>
          <w:p>
            <w:pPr>
              <w:ind w:left="80"/>
              <w:spacing w:after="0" w:line="202" w:lineRule="exact"/>
              <w:rPr>
                <w:sz w:val="20"/>
                <w:szCs w:val="20"/>
                <w:color w:val="auto"/>
              </w:rPr>
            </w:pPr>
            <w:r>
              <w:rPr>
                <w:rFonts w:ascii="Arial" w:cs="Arial" w:eastAsia="Arial" w:hAnsi="Arial"/>
                <w:sz w:val="18"/>
                <w:szCs w:val="18"/>
                <w:color w:val="auto"/>
              </w:rPr>
              <w:t>$ 132,748</w:t>
            </w:r>
          </w:p>
        </w:tc>
        <w:tc>
          <w:tcPr>
            <w:tcW w:w="1120" w:type="dxa"/>
            <w:vAlign w:val="bottom"/>
          </w:tcPr>
          <w:p>
            <w:pPr>
              <w:ind w:left="120"/>
              <w:spacing w:after="0" w:line="202" w:lineRule="exact"/>
              <w:rPr>
                <w:sz w:val="20"/>
                <w:szCs w:val="20"/>
                <w:color w:val="auto"/>
              </w:rPr>
            </w:pPr>
            <w:r>
              <w:rPr>
                <w:rFonts w:ascii="Arial" w:cs="Arial" w:eastAsia="Arial" w:hAnsi="Arial"/>
                <w:sz w:val="18"/>
                <w:szCs w:val="18"/>
                <w:color w:val="auto"/>
              </w:rPr>
              <w:t>$ 106,442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8"/>
              </w:rPr>
              <w:t>113,024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134,561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126,168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99,255</w:t>
            </w:r>
          </w:p>
        </w:tc>
        <w:tc>
          <w:tcPr>
            <w:tcW w:w="60" w:type="dxa"/>
            <w:vAlign w:val="bottom"/>
          </w:tcPr>
          <w:p>
            <w:pPr>
              <w:spacing w:after="0"/>
              <w:rPr>
                <w:sz w:val="17"/>
                <w:szCs w:val="17"/>
                <w:color w:val="auto"/>
              </w:rPr>
            </w:pPr>
          </w:p>
        </w:tc>
      </w:tr>
      <w:tr>
        <w:trPr>
          <w:trHeight w:val="203"/>
        </w:trPr>
        <w:tc>
          <w:tcPr>
            <w:tcW w:w="2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(loss)(3)</w:t>
            </w:r>
          </w:p>
        </w:tc>
        <w:tc>
          <w:tcPr>
            <w:tcW w:w="10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(14,596)</w:t>
            </w:r>
          </w:p>
        </w:tc>
        <w:tc>
          <w:tcPr>
            <w:tcW w:w="1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 (155,119)</w:t>
            </w: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7"/>
              </w:rPr>
              <w:t>$ (107,417)</w:t>
            </w:r>
          </w:p>
        </w:tc>
        <w:tc>
          <w:tcPr>
            <w:tcW w:w="1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(173,903)</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40,344</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49,512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107,681</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40,133</w:t>
            </w:r>
          </w:p>
        </w:tc>
        <w:tc>
          <w:tcPr>
            <w:tcW w:w="60" w:type="dxa"/>
            <w:vAlign w:val="bottom"/>
            <w:shd w:val="clear" w:color="auto" w:fill="CCEEFF"/>
          </w:tcPr>
          <w:p>
            <w:pPr>
              <w:spacing w:after="0"/>
              <w:rPr>
                <w:sz w:val="17"/>
                <w:szCs w:val="17"/>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Income (loss) before income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620" w:type="dxa"/>
            <w:vAlign w:val="bottom"/>
          </w:tcPr>
          <w:p>
            <w:pPr>
              <w:ind w:left="180"/>
              <w:spacing w:after="0" w:line="203" w:lineRule="exact"/>
              <w:rPr>
                <w:sz w:val="20"/>
                <w:szCs w:val="20"/>
                <w:color w:val="auto"/>
              </w:rPr>
            </w:pPr>
            <w:r>
              <w:rPr>
                <w:rFonts w:ascii="Arial" w:cs="Arial" w:eastAsia="Arial" w:hAnsi="Arial"/>
                <w:sz w:val="18"/>
                <w:szCs w:val="18"/>
                <w:color w:val="auto"/>
              </w:rPr>
              <w:t>taxes(4)</w:t>
            </w:r>
          </w:p>
        </w:tc>
        <w:tc>
          <w:tcPr>
            <w:tcW w:w="10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 (20,889)</w:t>
            </w:r>
          </w:p>
        </w:tc>
        <w:tc>
          <w:tcPr>
            <w:tcW w:w="1060" w:type="dxa"/>
            <w:vAlign w:val="bottom"/>
          </w:tcPr>
          <w:p>
            <w:pPr>
              <w:ind w:left="80"/>
              <w:spacing w:after="0" w:line="203" w:lineRule="exact"/>
              <w:rPr>
                <w:sz w:val="20"/>
                <w:szCs w:val="20"/>
                <w:color w:val="auto"/>
              </w:rPr>
            </w:pPr>
            <w:r>
              <w:rPr>
                <w:rFonts w:ascii="Arial" w:cs="Arial" w:eastAsia="Arial" w:hAnsi="Arial"/>
                <w:sz w:val="18"/>
                <w:szCs w:val="18"/>
                <w:color w:val="auto"/>
              </w:rPr>
              <w:t>$ (161,596)</w:t>
            </w:r>
          </w:p>
        </w:tc>
        <w:tc>
          <w:tcPr>
            <w:tcW w:w="1000" w:type="dxa"/>
            <w:vAlign w:val="bottom"/>
          </w:tcPr>
          <w:p>
            <w:pPr>
              <w:ind w:left="80"/>
              <w:spacing w:after="0" w:line="203" w:lineRule="exact"/>
              <w:rPr>
                <w:sz w:val="20"/>
                <w:szCs w:val="20"/>
                <w:color w:val="auto"/>
              </w:rPr>
            </w:pPr>
            <w:r>
              <w:rPr>
                <w:rFonts w:ascii="Arial" w:cs="Arial" w:eastAsia="Arial" w:hAnsi="Arial"/>
                <w:sz w:val="18"/>
                <w:szCs w:val="18"/>
                <w:color w:val="auto"/>
                <w:w w:val="97"/>
              </w:rPr>
              <w:t>$ (123,215)</w:t>
            </w:r>
          </w:p>
        </w:tc>
        <w:tc>
          <w:tcPr>
            <w:tcW w:w="1120" w:type="dxa"/>
            <w:vAlign w:val="bottom"/>
          </w:tcPr>
          <w:p>
            <w:pPr>
              <w:ind w:left="120"/>
              <w:spacing w:after="0" w:line="203" w:lineRule="exact"/>
              <w:rPr>
                <w:sz w:val="20"/>
                <w:szCs w:val="20"/>
                <w:color w:val="auto"/>
              </w:rPr>
            </w:pPr>
            <w:r>
              <w:rPr>
                <w:rFonts w:ascii="Arial" w:cs="Arial" w:eastAsia="Arial" w:hAnsi="Arial"/>
                <w:sz w:val="18"/>
                <w:szCs w:val="18"/>
                <w:color w:val="auto"/>
              </w:rPr>
              <w:t>$ (191,128)</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38,015</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46,670</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95,166</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25,915</w:t>
            </w:r>
          </w:p>
        </w:tc>
        <w:tc>
          <w:tcPr>
            <w:tcW w:w="60" w:type="dxa"/>
            <w:vAlign w:val="bottom"/>
          </w:tcPr>
          <w:p>
            <w:pPr>
              <w:spacing w:after="0"/>
              <w:rPr>
                <w:sz w:val="17"/>
                <w:szCs w:val="17"/>
                <w:color w:val="auto"/>
              </w:rPr>
            </w:pPr>
          </w:p>
        </w:tc>
      </w:tr>
      <w:tr>
        <w:trPr>
          <w:trHeight w:val="203"/>
        </w:trPr>
        <w:tc>
          <w:tcPr>
            <w:tcW w:w="2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(loss)(4)(5)</w:t>
            </w:r>
          </w:p>
        </w:tc>
        <w:tc>
          <w:tcPr>
            <w:tcW w:w="10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(24,342)</w:t>
            </w:r>
          </w:p>
        </w:tc>
        <w:tc>
          <w:tcPr>
            <w:tcW w:w="1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 (164,019)</w:t>
            </w:r>
          </w:p>
        </w:tc>
        <w:tc>
          <w:tcPr>
            <w:tcW w:w="1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7"/>
              </w:rPr>
              <w:t>$ (125,757)</w:t>
            </w:r>
          </w:p>
        </w:tc>
        <w:tc>
          <w:tcPr>
            <w:tcW w:w="1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(190,482)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34,562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44,247</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92,624</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26,561</w:t>
            </w:r>
          </w:p>
        </w:tc>
        <w:tc>
          <w:tcPr>
            <w:tcW w:w="6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820" w:right="58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adjustments to remove $33.5 million, $193.9 million, $208.5 million and $206.8 million for the years ended December 31, 2020, 2019, 2018 and 2017,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3" w:lineRule="exact"/>
        <w:rPr>
          <w:rFonts w:ascii="Arial" w:cs="Arial" w:eastAsia="Arial" w:hAnsi="Arial"/>
          <w:sz w:val="18"/>
          <w:szCs w:val="18"/>
          <w:color w:val="auto"/>
        </w:rPr>
      </w:pPr>
    </w:p>
    <w:p>
      <w:pPr>
        <w:ind w:left="820" w:right="42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adjustments to remove $21.4 million, $10.7 million, $6.6 million and $7.2 million for the years ended December 31, 2020, 2019, 2018 and 2017,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spacing w:after="0" w:line="2" w:lineRule="exact"/>
        <w:rPr>
          <w:rFonts w:ascii="Arial" w:cs="Arial" w:eastAsia="Arial" w:hAnsi="Arial"/>
          <w:sz w:val="18"/>
          <w:szCs w:val="18"/>
          <w:color w:val="auto"/>
        </w:rPr>
      </w:pPr>
    </w:p>
    <w:p>
      <w:pPr>
        <w:ind w:left="82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adjustments to remove $54.9 million, $204.6 million, $215.1 million and $214.0 million for the years ended</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December 31, 2020, 2019, 2018 and 2017, respectively, in the Adjusted non-GAAP presentation, for the items noted in (1) and</w:t>
      </w:r>
    </w:p>
    <w:p>
      <w:pPr>
        <w:ind w:left="1100" w:hanging="275"/>
        <w:spacing w:after="0" w:line="234" w:lineRule="auto"/>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above.</w:t>
      </w:r>
    </w:p>
    <w:p>
      <w:pPr>
        <w:ind w:left="820" w:hanging="522"/>
        <w:spacing w:after="0" w:line="23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adjustments to remove $58.9 million, $208.3 million, $218.4 million and $217.0 million for the years ended</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December 31, 2020, 2019, 2018 and 2017, respectively, in the Adjusted non-GAAP presentation, for the items noted in (1) and</w:t>
      </w:r>
    </w:p>
    <w:p>
      <w:pPr>
        <w:ind w:left="820" w:right="520" w:firstLine="5"/>
        <w:spacing w:after="0" w:line="234" w:lineRule="auto"/>
        <w:tabs>
          <w:tab w:leader="none" w:pos="10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above as well as amortization of debt costs composed of the amortization of debt discounts and issuance costs which is included in interest expense.</w:t>
      </w:r>
    </w:p>
    <w:p>
      <w:pPr>
        <w:spacing w:after="0" w:line="1" w:lineRule="exact"/>
        <w:rPr>
          <w:rFonts w:ascii="Arial" w:cs="Arial" w:eastAsia="Arial" w:hAnsi="Arial"/>
          <w:sz w:val="18"/>
          <w:szCs w:val="18"/>
          <w:color w:val="auto"/>
        </w:rPr>
      </w:pPr>
    </w:p>
    <w:p>
      <w:pPr>
        <w:ind w:left="820" w:hanging="52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no significant income tax impact from these adjustments.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right"/>
              <w:ind w:right="460"/>
              <w:spacing w:after="0" w:line="155"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compensation and benefits—GAAP</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$115,627</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$64,696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$399,147</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$ 543,118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$ 676,658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$ 485,904</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080" w:type="dxa"/>
            <w:vAlign w:val="bottom"/>
          </w:tcPr>
          <w:p>
            <w:pPr>
              <w:ind w:left="180"/>
              <w:spacing w:after="0" w:line="203" w:lineRule="exact"/>
              <w:rPr>
                <w:sz w:val="20"/>
                <w:szCs w:val="20"/>
                <w:color w:val="auto"/>
              </w:rPr>
            </w:pPr>
            <w:r>
              <w:rPr>
                <w:rFonts w:ascii="Arial" w:cs="Arial" w:eastAsia="Arial" w:hAnsi="Arial"/>
                <w:sz w:val="18"/>
                <w:szCs w:val="18"/>
                <w:color w:val="auto"/>
              </w:rPr>
              <w:t>investors in PWP or PWP OpCo(1)</w:t>
            </w:r>
          </w:p>
        </w:tc>
        <w:tc>
          <w:tcPr>
            <w:tcW w:w="108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(6,157)</w:t>
            </w:r>
          </w:p>
        </w:tc>
        <w:tc>
          <w:tcPr>
            <w:tcW w:w="106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(6,185)</w:t>
            </w:r>
          </w:p>
        </w:tc>
        <w:tc>
          <w:tcPr>
            <w:tcW w:w="108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(24,815)</w:t>
            </w:r>
          </w:p>
        </w:tc>
        <w:tc>
          <w:tcPr>
            <w:tcW w:w="112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(193,299)</w:t>
            </w:r>
          </w:p>
        </w:tc>
        <w:tc>
          <w:tcPr>
            <w:tcW w:w="114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(199,052)</w:t>
            </w:r>
          </w:p>
        </w:tc>
        <w:tc>
          <w:tcPr>
            <w:tcW w:w="108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(206,849)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(8,714)</w:t>
            </w:r>
          </w:p>
        </w:tc>
        <w:tc>
          <w:tcPr>
            <w:tcW w:w="11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(595)</w:t>
            </w:r>
          </w:p>
        </w:tc>
        <w:tc>
          <w:tcPr>
            <w:tcW w:w="11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(9,466)</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Adjusted total compensation and benefits</w:t>
            </w: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58,511</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365,618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$ 349,224</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$ 468,140</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$ 279,055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1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2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42214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tcPr>
          <w:p>
            <w:pPr>
              <w:jc w:val="right"/>
              <w:ind w:right="340"/>
              <w:spacing w:after="0" w:line="155"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Non-compensation expense—GAAP</w:t>
            </w:r>
          </w:p>
        </w:tc>
        <w:tc>
          <w:tcPr>
            <w:tcW w:w="14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$26,131</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$31,295</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$134,435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$145,298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$132,748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106,442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14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(1,645)</w:t>
            </w: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(1,645)</w:t>
            </w: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(6,580)</w:t>
            </w:r>
          </w:p>
        </w:tc>
        <w:tc>
          <w:tcPr>
            <w:tcW w:w="9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(6,580)</w:t>
            </w: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(6,580)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6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(4,157)</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60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(14,831)</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non-compensation expense(7)</w:t>
            </w:r>
          </w:p>
        </w:tc>
        <w:tc>
          <w:tcPr>
            <w:tcW w:w="6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24,486</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29,650</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113,024</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134,561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126,168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99,255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12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3"/>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3"/>
          </w:tcPr>
          <w:p>
            <w:pPr>
              <w:jc w:val="right"/>
              <w:ind w:right="1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3"/>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7"/>
          </w:tcPr>
          <w:p>
            <w:pPr>
              <w:jc w:val="right"/>
              <w:ind w:right="280"/>
              <w:spacing w:after="0" w:line="155"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48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$ 28,044</w:t>
            </w: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(3,595)</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$(14,596)</w:t>
            </w:r>
          </w:p>
        </w:tc>
        <w:tc>
          <w:tcPr>
            <w:tcW w:w="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$(155,119)</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$(107,417)</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$(173,903)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 investors in PWP</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tcPr>
          <w:p>
            <w:pPr>
              <w:ind w:left="180"/>
              <w:spacing w:after="0" w:line="203" w:lineRule="exact"/>
              <w:rPr>
                <w:sz w:val="20"/>
                <w:szCs w:val="20"/>
                <w:color w:val="auto"/>
              </w:rPr>
            </w:pPr>
            <w:r>
              <w:rPr>
                <w:rFonts w:ascii="Arial" w:cs="Arial" w:eastAsia="Arial" w:hAnsi="Arial"/>
                <w:sz w:val="18"/>
                <w:szCs w:val="18"/>
                <w:color w:val="auto"/>
              </w:rPr>
              <w:t>or PWP OpCo(1)</w:t>
            </w:r>
          </w:p>
        </w:tc>
        <w:tc>
          <w:tcPr>
            <w:tcW w:w="8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6,157</w:t>
            </w:r>
          </w:p>
        </w:tc>
        <w:tc>
          <w:tcPr>
            <w:tcW w:w="80" w:type="dxa"/>
            <w:vAlign w:val="bottom"/>
          </w:tcPr>
          <w:p>
            <w:pPr>
              <w:spacing w:after="0"/>
              <w:rPr>
                <w:sz w:val="17"/>
                <w:szCs w:val="17"/>
                <w:color w:val="auto"/>
              </w:rPr>
            </w:pPr>
          </w:p>
        </w:tc>
        <w:tc>
          <w:tcPr>
            <w:tcW w:w="7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6,185</w:t>
            </w:r>
          </w:p>
        </w:tc>
        <w:tc>
          <w:tcPr>
            <w:tcW w:w="80" w:type="dxa"/>
            <w:vAlign w:val="bottom"/>
          </w:tcPr>
          <w:p>
            <w:pPr>
              <w:spacing w:after="0"/>
              <w:rPr>
                <w:sz w:val="17"/>
                <w:szCs w:val="17"/>
                <w:color w:val="auto"/>
              </w:rPr>
            </w:pPr>
          </w:p>
        </w:tc>
        <w:tc>
          <w:tcPr>
            <w:tcW w:w="980" w:type="dxa"/>
            <w:vAlign w:val="bottom"/>
            <w:gridSpan w:val="4"/>
          </w:tcPr>
          <w:p>
            <w:pPr>
              <w:jc w:val="right"/>
              <w:ind w:right="120"/>
              <w:spacing w:after="0" w:line="203" w:lineRule="exact"/>
              <w:rPr>
                <w:sz w:val="20"/>
                <w:szCs w:val="20"/>
                <w:color w:val="auto"/>
              </w:rPr>
            </w:pPr>
            <w:r>
              <w:rPr>
                <w:rFonts w:ascii="Arial" w:cs="Arial" w:eastAsia="Arial" w:hAnsi="Arial"/>
                <w:sz w:val="18"/>
                <w:szCs w:val="18"/>
                <w:color w:val="auto"/>
              </w:rPr>
              <w:t>24,815</w:t>
            </w:r>
          </w:p>
        </w:tc>
        <w:tc>
          <w:tcPr>
            <w:tcW w:w="8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193,299</w:t>
            </w:r>
          </w:p>
        </w:tc>
        <w:tc>
          <w:tcPr>
            <w:tcW w:w="14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199,052</w:t>
            </w:r>
          </w:p>
        </w:tc>
        <w:tc>
          <w:tcPr>
            <w:tcW w:w="14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206,849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8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8,714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9,466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1,645</w:t>
            </w:r>
          </w:p>
        </w:tc>
        <w:tc>
          <w:tcPr>
            <w:tcW w:w="8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1,645</w:t>
            </w:r>
          </w:p>
        </w:tc>
        <w:tc>
          <w:tcPr>
            <w:tcW w:w="8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6,580</w:t>
            </w:r>
          </w:p>
        </w:tc>
        <w:tc>
          <w:tcPr>
            <w:tcW w:w="14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6,580</w:t>
            </w:r>
          </w:p>
        </w:tc>
        <w:tc>
          <w:tcPr>
            <w:tcW w:w="14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14,831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(loss)</w:t>
            </w:r>
          </w:p>
        </w:tc>
        <w:tc>
          <w:tcPr>
            <w:tcW w:w="8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36,011</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$ 4,235</w:t>
            </w:r>
          </w:p>
        </w:tc>
        <w:tc>
          <w:tcPr>
            <w:tcW w:w="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$ 40,344</w:t>
            </w: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49,512</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$ 107,681</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40,133</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12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6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7"/>
          </w:tcPr>
          <w:p>
            <w:pPr>
              <w:jc w:val="right"/>
              <w:ind w:right="280"/>
              <w:spacing w:after="0" w:line="155"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Non-operating income (expenses)—GAAP</w:t>
            </w:r>
          </w:p>
        </w:tc>
        <w:tc>
          <w:tcPr>
            <w:tcW w:w="880" w:type="dxa"/>
            <w:vAlign w:val="bottom"/>
            <w:gridSpan w:val="4"/>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 (3,513)</w:t>
            </w:r>
          </w:p>
        </w:tc>
        <w:tc>
          <w:tcPr>
            <w:tcW w:w="8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243</w:t>
            </w:r>
          </w:p>
        </w:tc>
        <w:tc>
          <w:tcPr>
            <w:tcW w:w="10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$(6,293)</w:t>
            </w:r>
          </w:p>
        </w:tc>
        <w:tc>
          <w:tcPr>
            <w:tcW w:w="9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$(6,477)</w:t>
            </w:r>
          </w:p>
        </w:tc>
        <w:tc>
          <w:tcPr>
            <w:tcW w:w="10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$(15,798)</w:t>
            </w:r>
          </w:p>
        </w:tc>
        <w:tc>
          <w:tcPr>
            <w:tcW w:w="10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Amortization of debt costs(6)</w:t>
            </w:r>
          </w:p>
        </w:tc>
        <w:tc>
          <w:tcPr>
            <w:tcW w:w="12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1,034</w:t>
            </w: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961</w:t>
            </w:r>
          </w:p>
        </w:tc>
        <w:tc>
          <w:tcPr>
            <w:tcW w:w="340" w:type="dxa"/>
            <w:vAlign w:val="bottom"/>
            <w:gridSpan w:val="2"/>
          </w:tcPr>
          <w:p>
            <w:pPr>
              <w:spacing w:after="0"/>
              <w:rPr>
                <w:sz w:val="18"/>
                <w:szCs w:val="18"/>
                <w:color w:val="auto"/>
              </w:rPr>
            </w:pPr>
          </w:p>
        </w:tc>
        <w:tc>
          <w:tcPr>
            <w:tcW w:w="6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3,964</w:t>
            </w: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3,635</w:t>
            </w: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3,283</w:t>
            </w: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non-operating income (expenses)</w:t>
            </w:r>
          </w:p>
        </w:tc>
        <w:tc>
          <w:tcPr>
            <w:tcW w:w="880" w:type="dxa"/>
            <w:vAlign w:val="bottom"/>
            <w:gridSpan w:val="4"/>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 (2,479)</w:t>
            </w:r>
          </w:p>
        </w:tc>
        <w:tc>
          <w:tcPr>
            <w:tcW w:w="8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$ 1,204</w:t>
            </w:r>
          </w:p>
        </w:tc>
        <w:tc>
          <w:tcPr>
            <w:tcW w:w="10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(2,329)</w:t>
            </w:r>
          </w:p>
        </w:tc>
        <w:tc>
          <w:tcPr>
            <w:tcW w:w="9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(2,842)</w:t>
            </w:r>
          </w:p>
        </w:tc>
        <w:tc>
          <w:tcPr>
            <w:tcW w:w="10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(12,515)</w:t>
            </w:r>
          </w:p>
        </w:tc>
        <w:tc>
          <w:tcPr>
            <w:tcW w:w="10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35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4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7"/>
          </w:tcPr>
          <w:p>
            <w:pPr>
              <w:jc w:val="right"/>
              <w:ind w:right="730"/>
              <w:spacing w:after="0"/>
              <w:rPr>
                <w:sz w:val="20"/>
                <w:szCs w:val="20"/>
                <w:color w:val="auto"/>
              </w:rPr>
            </w:pPr>
            <w:r>
              <w:rPr>
                <w:rFonts w:ascii="Arial" w:cs="Arial" w:eastAsia="Arial" w:hAnsi="Arial"/>
                <w:sz w:val="14"/>
                <w:szCs w:val="14"/>
                <w:b w:val="1"/>
                <w:bCs w:val="1"/>
                <w:color w:val="auto"/>
              </w:rPr>
              <w:t>Year Ended</w:t>
            </w: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7"/>
          </w:tcPr>
          <w:p>
            <w:pPr>
              <w:jc w:val="right"/>
              <w:ind w:right="65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12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7"/>
          </w:tcPr>
          <w:p>
            <w:pPr>
              <w:jc w:val="right"/>
              <w:ind w:right="350"/>
              <w:spacing w:after="0" w:line="155"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taxes—GAAP</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$24,531</w:t>
            </w:r>
          </w:p>
        </w:tc>
        <w:tc>
          <w:tcPr>
            <w:tcW w:w="10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$(3,352)</w:t>
            </w:r>
          </w:p>
        </w:tc>
        <w:tc>
          <w:tcPr>
            <w:tcW w:w="1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$(20,889)</w:t>
            </w:r>
          </w:p>
        </w:tc>
        <w:tc>
          <w:tcPr>
            <w:tcW w:w="1160" w:type="dxa"/>
            <w:vAlign w:val="bottom"/>
            <w:gridSpan w:val="5"/>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$(161,596)</w:t>
            </w:r>
          </w:p>
        </w:tc>
        <w:tc>
          <w:tcPr>
            <w:tcW w:w="1140" w:type="dxa"/>
            <w:vAlign w:val="bottom"/>
            <w:gridSpan w:val="5"/>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$(123,215)</w:t>
            </w:r>
          </w:p>
        </w:tc>
        <w:tc>
          <w:tcPr>
            <w:tcW w:w="9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$(191,128)</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 investors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 PWP or PWP OpCo(1)</w:t>
            </w:r>
          </w:p>
        </w:tc>
        <w:tc>
          <w:tcPr>
            <w:tcW w:w="90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6,157</w:t>
            </w:r>
          </w:p>
        </w:tc>
        <w:tc>
          <w:tcPr>
            <w:tcW w:w="8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6,185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jc w:val="right"/>
              <w:ind w:right="170"/>
              <w:spacing w:after="0" w:line="203" w:lineRule="exact"/>
              <w:rPr>
                <w:sz w:val="20"/>
                <w:szCs w:val="20"/>
                <w:color w:val="auto"/>
              </w:rPr>
            </w:pPr>
            <w:r>
              <w:rPr>
                <w:rFonts w:ascii="Arial" w:cs="Arial" w:eastAsia="Arial" w:hAnsi="Arial"/>
                <w:sz w:val="18"/>
                <w:szCs w:val="18"/>
                <w:color w:val="auto"/>
              </w:rPr>
              <w:t>24,815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193,299</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199,052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206,849</w:t>
            </w:r>
          </w:p>
        </w:tc>
        <w:tc>
          <w:tcPr>
            <w:tcW w:w="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8,714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9,466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1,645</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6,580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7,187</w:t>
            </w:r>
          </w:p>
        </w:tc>
        <w:tc>
          <w:tcPr>
            <w:tcW w:w="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4,157</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14,831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debt costs(6)</w:t>
            </w:r>
          </w:p>
        </w:tc>
        <w:tc>
          <w:tcPr>
            <w:tcW w:w="240" w:type="dxa"/>
            <w:vAlign w:val="bottom"/>
            <w:gridSpan w:val="2"/>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3,964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3,635</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3,283</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3,007</w:t>
            </w: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Adjusted income (loss) before income taxes</w:t>
            </w:r>
          </w:p>
        </w:tc>
        <w:tc>
          <w:tcPr>
            <w:tcW w:w="240" w:type="dxa"/>
            <w:vAlign w:val="bottom"/>
            <w:gridSpan w:val="2"/>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33,532</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$ 5,439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$ 38,015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46,670</w:t>
            </w:r>
          </w:p>
        </w:tc>
        <w:tc>
          <w:tcPr>
            <w:tcW w:w="2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70"/>
              <w:spacing w:after="0"/>
              <w:rPr>
                <w:sz w:val="20"/>
                <w:szCs w:val="20"/>
                <w:color w:val="auto"/>
              </w:rPr>
            </w:pPr>
            <w:r>
              <w:rPr>
                <w:rFonts w:ascii="Arial" w:cs="Arial" w:eastAsia="Arial" w:hAnsi="Arial"/>
                <w:sz w:val="18"/>
                <w:szCs w:val="18"/>
                <w:color w:val="auto"/>
              </w:rPr>
              <w:t>95,166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25,915</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0" w:type="dxa"/>
            <w:vAlign w:val="bottom"/>
            <w:tcBorders>
              <w:left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8"/>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Borders>
              <w:left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7"/>
          </w:tcPr>
          <w:p>
            <w:pPr>
              <w:jc w:val="right"/>
              <w:ind w:right="370"/>
              <w:spacing w:after="0" w:line="155"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tax benefit (expense)—GAAP</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(2,024)</w:t>
            </w:r>
          </w:p>
        </w:tc>
        <w:tc>
          <w:tcPr>
            <w:tcW w:w="11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(710)</w:t>
            </w:r>
          </w:p>
        </w:tc>
        <w:tc>
          <w:tcPr>
            <w:tcW w:w="1240" w:type="dxa"/>
            <w:vAlign w:val="bottom"/>
            <w:gridSpan w:val="6"/>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 (3,453)</w:t>
            </w:r>
          </w:p>
        </w:tc>
        <w:tc>
          <w:tcPr>
            <w:tcW w:w="114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$(2,423)</w:t>
            </w:r>
          </w:p>
        </w:tc>
        <w:tc>
          <w:tcPr>
            <w:tcW w:w="116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$(2,542)</w:t>
            </w: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investors in PWP or PWP OpCo(1)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Borders>
              <w:right w:val="single" w:sz="8" w:color="auto"/>
            </w:tcBorders>
            <w:gridSpan w:val="3"/>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debt costs(6)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Adjusted income tax benefit (expense)</w:t>
            </w: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tcBorders>
              <w:left w:val="single" w:sz="8" w:color="auto"/>
            </w:tcBorders>
            <w:gridSpan w:val="2"/>
            <w:vMerge w:val="continue"/>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(2,024)</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 (710)</w:t>
            </w:r>
          </w:p>
        </w:tc>
        <w:tc>
          <w:tcPr>
            <w:tcW w:w="1240" w:type="dxa"/>
            <w:vAlign w:val="bottom"/>
            <w:gridSpan w:val="6"/>
          </w:tcPr>
          <w:p>
            <w:pPr>
              <w:jc w:val="right"/>
              <w:ind w:right="50"/>
              <w:spacing w:after="0"/>
              <w:rPr>
                <w:sz w:val="20"/>
                <w:szCs w:val="20"/>
                <w:color w:val="auto"/>
              </w:rPr>
            </w:pPr>
            <w:r>
              <w:rPr>
                <w:rFonts w:ascii="Arial" w:cs="Arial" w:eastAsia="Arial" w:hAnsi="Arial"/>
                <w:sz w:val="18"/>
                <w:szCs w:val="18"/>
                <w:color w:val="auto"/>
              </w:rPr>
              <w:t>$ (3,453)</w:t>
            </w:r>
          </w:p>
        </w:tc>
        <w:tc>
          <w:tcPr>
            <w:tcW w:w="1140" w:type="dxa"/>
            <w:vAlign w:val="bottom"/>
            <w:gridSpan w:val="5"/>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(2,423)</w:t>
            </w:r>
          </w:p>
        </w:tc>
        <w:tc>
          <w:tcPr>
            <w:tcW w:w="116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(2,542)</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646</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0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right"/>
              <w:ind w:right="360"/>
              <w:spacing w:after="0" w:line="155"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(loss)—GAAP</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$22,507</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$(4,062)</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$(24,342)</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(164,019)</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(125,757)</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(190,482)</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Equity-based compensation not dilutive to investors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80" w:type="dxa"/>
            <w:vAlign w:val="bottom"/>
          </w:tcPr>
          <w:p>
            <w:pPr>
              <w:ind w:left="180"/>
              <w:spacing w:after="0" w:line="203" w:lineRule="exact"/>
              <w:rPr>
                <w:sz w:val="20"/>
                <w:szCs w:val="20"/>
                <w:color w:val="auto"/>
              </w:rPr>
            </w:pPr>
            <w:r>
              <w:rPr>
                <w:rFonts w:ascii="Arial" w:cs="Arial" w:eastAsia="Arial" w:hAnsi="Arial"/>
                <w:sz w:val="18"/>
                <w:szCs w:val="18"/>
                <w:color w:val="auto"/>
              </w:rPr>
              <w:t>in PWP or PWP OpCo(1)</w:t>
            </w: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6,157</w:t>
            </w: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6,185</w:t>
            </w:r>
          </w:p>
        </w:tc>
        <w:tc>
          <w:tcPr>
            <w:tcW w:w="200" w:type="dxa"/>
            <w:vAlign w:val="bottom"/>
          </w:tcPr>
          <w:p>
            <w:pPr>
              <w:spacing w:after="0"/>
              <w:rPr>
                <w:sz w:val="17"/>
                <w:szCs w:val="17"/>
                <w:color w:val="auto"/>
              </w:rPr>
            </w:pPr>
          </w:p>
        </w:tc>
        <w:tc>
          <w:tcPr>
            <w:tcW w:w="106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24,815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193,299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199,052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206,849</w:t>
            </w:r>
          </w:p>
        </w:tc>
        <w:tc>
          <w:tcPr>
            <w:tcW w:w="120" w:type="dxa"/>
            <w:vAlign w:val="bottom"/>
          </w:tcPr>
          <w:p>
            <w:pPr>
              <w:spacing w:after="0"/>
              <w:rPr>
                <w:sz w:val="17"/>
                <w:szCs w:val="17"/>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company transaction related incentives(2)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8,714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TPH Business Combination related expenses(3)</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1,645</w:t>
            </w: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7,187</w:t>
            </w:r>
          </w:p>
        </w:tc>
        <w:tc>
          <w:tcPr>
            <w:tcW w:w="120" w:type="dxa"/>
            <w:vAlign w:val="bottom"/>
          </w:tcPr>
          <w:p>
            <w:pPr>
              <w:spacing w:after="0"/>
              <w:rPr>
                <w:sz w:val="17"/>
                <w:szCs w:val="17"/>
                <w:color w:val="auto"/>
              </w:rPr>
            </w:pPr>
          </w:p>
        </w:tc>
      </w:tr>
      <w:tr>
        <w:trPr>
          <w:trHeight w:val="202"/>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separation related expenses(4)</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Delayed offering cost expense(5)</w:t>
            </w:r>
          </w:p>
        </w:tc>
        <w:tc>
          <w:tcPr>
            <w:tcW w:w="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14,831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debt costs(6)</w:t>
            </w:r>
          </w:p>
        </w:tc>
        <w:tc>
          <w:tcPr>
            <w:tcW w:w="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3,283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3,007</w:t>
            </w:r>
          </w:p>
        </w:tc>
        <w:tc>
          <w:tcPr>
            <w:tcW w:w="120" w:type="dxa"/>
            <w:vAlign w:val="bottom"/>
            <w:shd w:val="clear" w:color="auto" w:fill="CCEEFF"/>
          </w:tcPr>
          <w:p>
            <w:pPr>
              <w:spacing w:after="0"/>
              <w:rPr>
                <w:sz w:val="17"/>
                <w:szCs w:val="17"/>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Adjusted net income (loss)(8)</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31,508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$ 4,729</w:t>
            </w:r>
          </w:p>
        </w:tc>
        <w:tc>
          <w:tcPr>
            <w:tcW w:w="20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$ 34,562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44,247</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92,624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26,561</w:t>
            </w:r>
          </w:p>
        </w:tc>
        <w:tc>
          <w:tcPr>
            <w:tcW w:w="12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to GAAP Reconciliation of Adjusted Results:</w:t>
      </w:r>
    </w:p>
    <w:p>
      <w:pPr>
        <w:spacing w:after="0" w:line="117" w:lineRule="exact"/>
        <w:rPr>
          <w:sz w:val="20"/>
          <w:szCs w:val="20"/>
          <w:color w:val="auto"/>
        </w:rPr>
      </w:pPr>
    </w:p>
    <w:p>
      <w:pPr>
        <w:ind w:left="820" w:right="34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Equity-based compensation not dilutive to investors includes amortization of equity awards relating to the re-vesting of certain partnership interests in connection with the 2016 TPH Business Combination and annual grants to certain partners.</w:t>
      </w:r>
    </w:p>
    <w:p>
      <w:pPr>
        <w:spacing w:after="0" w:line="1" w:lineRule="exact"/>
        <w:rPr>
          <w:rFonts w:ascii="Arial" w:cs="Arial" w:eastAsia="Arial" w:hAnsi="Arial"/>
          <w:sz w:val="18"/>
          <w:szCs w:val="18"/>
          <w:color w:val="auto"/>
        </w:rPr>
      </w:pPr>
    </w:p>
    <w:p>
      <w:pPr>
        <w:ind w:left="820" w:right="26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company transaction related incentives represents discretionary bonus payments directly related to milestone events that are part of the proposed FTIV Business Combination process and reorganization. These payments were outside of PWP’s normal and recurring bonus and compensation processes.</w:t>
      </w:r>
    </w:p>
    <w:p>
      <w:pPr>
        <w:spacing w:after="0" w:line="2" w:lineRule="exact"/>
        <w:rPr>
          <w:rFonts w:ascii="Arial" w:cs="Arial" w:eastAsia="Arial" w:hAnsi="Arial"/>
          <w:sz w:val="18"/>
          <w:szCs w:val="18"/>
          <w:color w:val="auto"/>
        </w:rPr>
      </w:pPr>
    </w:p>
    <w:p>
      <w:pPr>
        <w:ind w:left="820" w:right="88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TPH Business Combination related expenses include charges associated with the TPH Business Combination such as intangible asset amortization, and in 2017, lease cancellation costs.</w:t>
      </w:r>
    </w:p>
    <w:p>
      <w:pPr>
        <w:spacing w:after="0" w:line="1" w:lineRule="exact"/>
        <w:rPr>
          <w:rFonts w:ascii="Arial" w:cs="Arial" w:eastAsia="Arial" w:hAnsi="Arial"/>
          <w:sz w:val="18"/>
          <w:szCs w:val="18"/>
          <w:color w:val="auto"/>
        </w:rPr>
      </w:pPr>
    </w:p>
    <w:p>
      <w:pPr>
        <w:ind w:left="82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separation related expenses include charges associated with the PWP Separation.</w:t>
      </w:r>
    </w:p>
    <w:p>
      <w:pPr>
        <w:ind w:left="820" w:right="34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deferred offering costs that were expensed due to termination of the public company transaction process in May of 2020.</w:t>
      </w:r>
    </w:p>
    <w:p>
      <w:pPr>
        <w:spacing w:after="0" w:line="1" w:lineRule="exact"/>
        <w:rPr>
          <w:rFonts w:ascii="Arial" w:cs="Arial" w:eastAsia="Arial" w:hAnsi="Arial"/>
          <w:sz w:val="18"/>
          <w:szCs w:val="18"/>
          <w:color w:val="auto"/>
        </w:rPr>
      </w:pPr>
    </w:p>
    <w:p>
      <w:pPr>
        <w:ind w:left="820" w:right="42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8"/>
          <w:szCs w:val="18"/>
          <w:color w:val="auto"/>
        </w:rPr>
      </w:pPr>
    </w:p>
    <w:p>
      <w:pPr>
        <w:ind w:left="820" w:right="46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reconciliation below for the components of the consolidated statements of operations and comprehensive income (loss) included in non-compensation expense—GAAP as well as Adjusted non-compensation expense.</w:t>
      </w:r>
    </w:p>
    <w:p>
      <w:pPr>
        <w:spacing w:after="0" w:line="1" w:lineRule="exact"/>
        <w:rPr>
          <w:rFonts w:ascii="Arial" w:cs="Arial" w:eastAsia="Arial" w:hAnsi="Arial"/>
          <w:sz w:val="18"/>
          <w:szCs w:val="18"/>
          <w:color w:val="auto"/>
        </w:rPr>
      </w:pPr>
    </w:p>
    <w:p>
      <w:pPr>
        <w:ind w:left="820" w:hanging="52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 significant income tax impact of the adjustments shown to these GAAP financial statement line items.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8"/>
          </w:tcPr>
          <w:p>
            <w:pPr>
              <w:ind w:left="340"/>
              <w:spacing w:after="0"/>
              <w:rPr>
                <w:sz w:val="20"/>
                <w:szCs w:val="20"/>
                <w:color w:val="auto"/>
              </w:rPr>
            </w:pPr>
            <w:r>
              <w:rPr>
                <w:rFonts w:ascii="Arial" w:cs="Arial" w:eastAsia="Arial" w:hAnsi="Arial"/>
                <w:sz w:val="14"/>
                <w:szCs w:val="14"/>
                <w:b w:val="1"/>
                <w:bCs w:val="1"/>
                <w:color w:val="auto"/>
              </w:rPr>
              <w:t>Three Months Ended March 31, 2021</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GAAP</w:t>
            </w:r>
          </w:p>
        </w:tc>
        <w:tc>
          <w:tcPr>
            <w:tcW w:w="4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w w:val="96"/>
              </w:rPr>
              <w:t>Adjusted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w:t>
            </w:r>
          </w:p>
        </w:tc>
        <w:tc>
          <w:tcPr>
            <w:tcW w:w="2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5,728</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5,728</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Technology and infrastructure</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6,956</w:t>
            </w:r>
          </w:p>
        </w:tc>
        <w:tc>
          <w:tcPr>
            <w:tcW w:w="440" w:type="dxa"/>
            <w:vAlign w:val="bottom"/>
          </w:tcPr>
          <w:p>
            <w:pPr>
              <w:spacing w:after="0"/>
              <w:rPr>
                <w:sz w:val="17"/>
                <w:szCs w:val="17"/>
                <w:color w:val="auto"/>
              </w:rPr>
            </w:pPr>
          </w:p>
        </w:tc>
        <w:tc>
          <w:tcPr>
            <w:tcW w:w="136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6,956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 and occupancy</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6,702</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6,702</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Travel and related expenses</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c>
          <w:tcPr>
            <w:tcW w:w="440" w:type="dxa"/>
            <w:vAlign w:val="bottom"/>
          </w:tcPr>
          <w:p>
            <w:pPr>
              <w:spacing w:after="0"/>
              <w:rPr>
                <w:sz w:val="17"/>
                <w:szCs w:val="17"/>
                <w:color w:val="auto"/>
              </w:rPr>
            </w:pPr>
          </w:p>
        </w:tc>
        <w:tc>
          <w:tcPr>
            <w:tcW w:w="136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administrative and other expenses</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2,204</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2,204</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3,880</w:t>
            </w:r>
          </w:p>
        </w:tc>
        <w:tc>
          <w:tcPr>
            <w:tcW w:w="440" w:type="dxa"/>
            <w:vAlign w:val="bottom"/>
          </w:tcPr>
          <w:p>
            <w:pPr>
              <w:spacing w:after="0"/>
              <w:rPr>
                <w:sz w:val="17"/>
                <w:szCs w:val="17"/>
                <w:color w:val="auto"/>
              </w:rPr>
            </w:pPr>
          </w:p>
        </w:tc>
        <w:tc>
          <w:tcPr>
            <w:tcW w:w="13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(1,645)(a)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Non-compensation expense</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26,131</w:t>
            </w:r>
          </w:p>
        </w:tc>
        <w:tc>
          <w:tcPr>
            <w:tcW w:w="18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   (1,645)</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u w:val="single" w:color="auto"/>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24,486</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80" w:type="dxa"/>
            <w:vAlign w:val="bottom"/>
          </w:tcPr>
          <w:p>
            <w:pPr>
              <w:jc w:val="right"/>
              <w:ind w:right="17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59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ectPr>
          <w:pgSz w:w="11900" w:h="16838" w:orient="portrait"/>
          <w:cols w:equalWidth="0" w:num="1">
            <w:col w:w="10880"/>
          </w:cols>
          <w:pgMar w:left="32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Professional fees</w:t>
      </w:r>
    </w:p>
    <w:p>
      <w:pPr>
        <w:ind w:left="300"/>
        <w:spacing w:after="0" w:line="234" w:lineRule="auto"/>
        <w:rPr>
          <w:sz w:val="20"/>
          <w:szCs w:val="20"/>
          <w:color w:val="auto"/>
        </w:rPr>
      </w:pPr>
      <w:r>
        <w:rPr>
          <w:rFonts w:ascii="Arial" w:cs="Arial" w:eastAsia="Arial" w:hAnsi="Arial"/>
          <w:sz w:val="18"/>
          <w:szCs w:val="18"/>
          <w:color w:val="auto"/>
        </w:rPr>
        <w:t>Technology and infrastructure</w:t>
      </w:r>
    </w:p>
    <w:p>
      <w:pPr>
        <w:ind w:left="300"/>
        <w:spacing w:after="0" w:line="235" w:lineRule="auto"/>
        <w:rPr>
          <w:sz w:val="20"/>
          <w:szCs w:val="20"/>
          <w:color w:val="auto"/>
        </w:rPr>
      </w:pPr>
      <w:r>
        <w:rPr>
          <w:rFonts w:ascii="Arial" w:cs="Arial" w:eastAsia="Arial" w:hAnsi="Arial"/>
          <w:sz w:val="18"/>
          <w:szCs w:val="18"/>
          <w:color w:val="auto"/>
        </w:rPr>
        <w:t>Rent and occupancy</w:t>
      </w:r>
    </w:p>
    <w:p>
      <w:pPr>
        <w:ind w:left="300"/>
        <w:spacing w:after="0" w:line="235" w:lineRule="auto"/>
        <w:rPr>
          <w:sz w:val="20"/>
          <w:szCs w:val="20"/>
          <w:color w:val="auto"/>
        </w:rPr>
      </w:pPr>
      <w:r>
        <w:rPr>
          <w:rFonts w:ascii="Arial" w:cs="Arial" w:eastAsia="Arial" w:hAnsi="Arial"/>
          <w:sz w:val="18"/>
          <w:szCs w:val="18"/>
          <w:color w:val="auto"/>
        </w:rPr>
        <w:t>Travel and related expenses</w:t>
      </w:r>
    </w:p>
    <w:p>
      <w:pPr>
        <w:ind w:left="300"/>
        <w:spacing w:after="0"/>
        <w:rPr>
          <w:sz w:val="20"/>
          <w:szCs w:val="20"/>
          <w:color w:val="auto"/>
        </w:rPr>
      </w:pPr>
      <w:r>
        <w:rPr>
          <w:rFonts w:ascii="Arial" w:cs="Arial" w:eastAsia="Arial" w:hAnsi="Arial"/>
          <w:sz w:val="17"/>
          <w:szCs w:val="17"/>
          <w:color w:val="auto"/>
        </w:rPr>
        <w:t>General, administrative and other expenses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and amortization</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Professional fees</w:t>
      </w:r>
    </w:p>
    <w:p>
      <w:pPr>
        <w:ind w:left="300"/>
        <w:spacing w:after="0" w:line="234" w:lineRule="auto"/>
        <w:rPr>
          <w:sz w:val="20"/>
          <w:szCs w:val="20"/>
          <w:color w:val="auto"/>
        </w:rPr>
      </w:pPr>
      <w:r>
        <w:rPr>
          <w:rFonts w:ascii="Arial" w:cs="Arial" w:eastAsia="Arial" w:hAnsi="Arial"/>
          <w:sz w:val="18"/>
          <w:szCs w:val="18"/>
          <w:color w:val="auto"/>
        </w:rPr>
        <w:t>Technology and infrastructure</w:t>
      </w:r>
    </w:p>
    <w:p>
      <w:pPr>
        <w:ind w:left="300"/>
        <w:spacing w:after="0" w:line="235" w:lineRule="auto"/>
        <w:rPr>
          <w:sz w:val="20"/>
          <w:szCs w:val="20"/>
          <w:color w:val="auto"/>
        </w:rPr>
      </w:pPr>
      <w:r>
        <w:rPr>
          <w:rFonts w:ascii="Arial" w:cs="Arial" w:eastAsia="Arial" w:hAnsi="Arial"/>
          <w:sz w:val="18"/>
          <w:szCs w:val="18"/>
          <w:color w:val="auto"/>
        </w:rPr>
        <w:t>Rent and occupancy</w:t>
      </w:r>
    </w:p>
    <w:p>
      <w:pPr>
        <w:ind w:left="300"/>
        <w:spacing w:after="0" w:line="235" w:lineRule="auto"/>
        <w:rPr>
          <w:sz w:val="20"/>
          <w:szCs w:val="20"/>
          <w:color w:val="auto"/>
        </w:rPr>
      </w:pPr>
      <w:r>
        <w:rPr>
          <w:rFonts w:ascii="Arial" w:cs="Arial" w:eastAsia="Arial" w:hAnsi="Arial"/>
          <w:sz w:val="18"/>
          <w:szCs w:val="18"/>
          <w:color w:val="auto"/>
        </w:rPr>
        <w:t>Travel and related expenses</w:t>
      </w:r>
    </w:p>
    <w:p>
      <w:pPr>
        <w:ind w:left="300"/>
        <w:spacing w:after="0"/>
        <w:rPr>
          <w:sz w:val="20"/>
          <w:szCs w:val="20"/>
          <w:color w:val="auto"/>
        </w:rPr>
      </w:pPr>
      <w:r>
        <w:rPr>
          <w:rFonts w:ascii="Arial" w:cs="Arial" w:eastAsia="Arial" w:hAnsi="Arial"/>
          <w:sz w:val="17"/>
          <w:szCs w:val="17"/>
          <w:color w:val="auto"/>
        </w:rPr>
        <w:t>General, administrative and other expenses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and amortization</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Professional fees</w:t>
      </w:r>
    </w:p>
    <w:p>
      <w:pPr>
        <w:ind w:left="300"/>
        <w:spacing w:after="0" w:line="234" w:lineRule="auto"/>
        <w:rPr>
          <w:sz w:val="20"/>
          <w:szCs w:val="20"/>
          <w:color w:val="auto"/>
        </w:rPr>
      </w:pPr>
      <w:r>
        <w:rPr>
          <w:rFonts w:ascii="Arial" w:cs="Arial" w:eastAsia="Arial" w:hAnsi="Arial"/>
          <w:sz w:val="18"/>
          <w:szCs w:val="18"/>
          <w:color w:val="auto"/>
        </w:rPr>
        <w:t>Technology and infrastructure</w:t>
      </w:r>
    </w:p>
    <w:p>
      <w:pPr>
        <w:ind w:left="300"/>
        <w:spacing w:after="0" w:line="235" w:lineRule="auto"/>
        <w:rPr>
          <w:sz w:val="20"/>
          <w:szCs w:val="20"/>
          <w:color w:val="auto"/>
        </w:rPr>
      </w:pPr>
      <w:r>
        <w:rPr>
          <w:rFonts w:ascii="Arial" w:cs="Arial" w:eastAsia="Arial" w:hAnsi="Arial"/>
          <w:sz w:val="18"/>
          <w:szCs w:val="18"/>
          <w:color w:val="auto"/>
        </w:rPr>
        <w:t>Rent and occupancy</w:t>
      </w:r>
    </w:p>
    <w:p>
      <w:pPr>
        <w:ind w:left="300"/>
        <w:spacing w:after="0" w:line="235" w:lineRule="auto"/>
        <w:rPr>
          <w:sz w:val="20"/>
          <w:szCs w:val="20"/>
          <w:color w:val="auto"/>
        </w:rPr>
      </w:pPr>
      <w:r>
        <w:rPr>
          <w:rFonts w:ascii="Arial" w:cs="Arial" w:eastAsia="Arial" w:hAnsi="Arial"/>
          <w:sz w:val="18"/>
          <w:szCs w:val="18"/>
          <w:color w:val="auto"/>
        </w:rPr>
        <w:t>Travel and related expenses</w:t>
      </w:r>
    </w:p>
    <w:p>
      <w:pPr>
        <w:ind w:left="300"/>
        <w:spacing w:after="0"/>
        <w:rPr>
          <w:sz w:val="20"/>
          <w:szCs w:val="20"/>
          <w:color w:val="auto"/>
        </w:rPr>
      </w:pPr>
      <w:r>
        <w:rPr>
          <w:rFonts w:ascii="Arial" w:cs="Arial" w:eastAsia="Arial" w:hAnsi="Arial"/>
          <w:sz w:val="17"/>
          <w:szCs w:val="17"/>
          <w:color w:val="auto"/>
        </w:rPr>
        <w:t>General, administrative and other expenses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and amortization</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Professional fees</w:t>
      </w:r>
    </w:p>
    <w:p>
      <w:pPr>
        <w:ind w:left="300"/>
        <w:spacing w:after="0" w:line="234" w:lineRule="auto"/>
        <w:rPr>
          <w:sz w:val="20"/>
          <w:szCs w:val="20"/>
          <w:color w:val="auto"/>
        </w:rPr>
      </w:pPr>
      <w:r>
        <w:rPr>
          <w:rFonts w:ascii="Arial" w:cs="Arial" w:eastAsia="Arial" w:hAnsi="Arial"/>
          <w:sz w:val="18"/>
          <w:szCs w:val="18"/>
          <w:color w:val="auto"/>
        </w:rPr>
        <w:t>Technology and infrastructure</w:t>
      </w:r>
    </w:p>
    <w:p>
      <w:pPr>
        <w:ind w:left="300"/>
        <w:spacing w:after="0" w:line="235" w:lineRule="auto"/>
        <w:rPr>
          <w:sz w:val="20"/>
          <w:szCs w:val="20"/>
          <w:color w:val="auto"/>
        </w:rPr>
      </w:pPr>
      <w:r>
        <w:rPr>
          <w:rFonts w:ascii="Arial" w:cs="Arial" w:eastAsia="Arial" w:hAnsi="Arial"/>
          <w:sz w:val="18"/>
          <w:szCs w:val="18"/>
          <w:color w:val="auto"/>
        </w:rPr>
        <w:t>Rent and occupancy</w:t>
      </w:r>
    </w:p>
    <w:p>
      <w:pPr>
        <w:ind w:left="300"/>
        <w:spacing w:after="0" w:line="235" w:lineRule="auto"/>
        <w:rPr>
          <w:sz w:val="20"/>
          <w:szCs w:val="20"/>
          <w:color w:val="auto"/>
        </w:rPr>
      </w:pPr>
      <w:r>
        <w:rPr>
          <w:rFonts w:ascii="Arial" w:cs="Arial" w:eastAsia="Arial" w:hAnsi="Arial"/>
          <w:sz w:val="18"/>
          <w:szCs w:val="18"/>
          <w:color w:val="auto"/>
        </w:rPr>
        <w:t>Travel and related expenses</w:t>
      </w:r>
    </w:p>
    <w:p>
      <w:pPr>
        <w:ind w:left="300"/>
        <w:spacing w:after="0"/>
        <w:rPr>
          <w:sz w:val="20"/>
          <w:szCs w:val="20"/>
          <w:color w:val="auto"/>
        </w:rPr>
      </w:pPr>
      <w:r>
        <w:rPr>
          <w:rFonts w:ascii="Arial" w:cs="Arial" w:eastAsia="Arial" w:hAnsi="Arial"/>
          <w:sz w:val="17"/>
          <w:szCs w:val="17"/>
          <w:color w:val="auto"/>
        </w:rPr>
        <w:t>General, administrative and other expenses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and amortization</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Three Months Ended March 31, 2020</w:t>
      </w:r>
    </w:p>
    <w:p>
      <w:pPr>
        <w:spacing w:after="0" w:line="29" w:lineRule="exact"/>
        <w:rPr>
          <w:sz w:val="20"/>
          <w:szCs w:val="20"/>
          <w:color w:val="auto"/>
        </w:rPr>
      </w:pPr>
    </w:p>
    <w:p>
      <w:pPr>
        <w:ind w:left="360"/>
        <w:spacing w:after="0"/>
        <w:tabs>
          <w:tab w:leader="none" w:pos="1320" w:val="left"/>
          <w:tab w:leader="none" w:pos="294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4"/>
          <w:szCs w:val="14"/>
          <w:b w:val="1"/>
          <w:bCs w:val="1"/>
          <w:color w:val="auto"/>
        </w:rPr>
        <w:t>Adjusted</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 in thousands)</w:t>
      </w: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$ 6,022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6,022</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7,211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7,211</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6,969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6,969</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4,198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4,198</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2,934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2,934</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3,961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(1,645)(a)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2,316</w:t>
            </w: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31,295</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color w:val="auto"/>
              </w:rPr>
              <w:t>(1,645)</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29,650</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ind w:left="500"/>
              <w:spacing w:after="0"/>
              <w:rPr>
                <w:sz w:val="20"/>
                <w:szCs w:val="20"/>
                <w:color w:val="auto"/>
              </w:rPr>
            </w:pPr>
            <w:r>
              <w:rPr>
                <w:rFonts w:ascii="Arial" w:cs="Arial" w:eastAsia="Arial" w:hAnsi="Arial"/>
                <w:sz w:val="14"/>
                <w:szCs w:val="14"/>
                <w:b w:val="1"/>
                <w:bCs w:val="1"/>
                <w:color w:val="auto"/>
              </w:rPr>
              <w:t>Year Ended December 31, 2020</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GAAP</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42,880</w:t>
            </w:r>
          </w:p>
        </w:tc>
        <w:tc>
          <w:tcPr>
            <w:tcW w:w="140" w:type="dxa"/>
            <w:vAlign w:val="bottom"/>
          </w:tcPr>
          <w:p>
            <w:pPr>
              <w:spacing w:after="0"/>
              <w:rPr>
                <w:sz w:val="17"/>
                <w:szCs w:val="17"/>
                <w:color w:val="auto"/>
              </w:rPr>
            </w:pPr>
          </w:p>
        </w:tc>
        <w:tc>
          <w:tcPr>
            <w:tcW w:w="44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2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(14,831)(b)</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28,049</w:t>
            </w:r>
          </w:p>
        </w:tc>
      </w:tr>
      <w:tr>
        <w:trPr>
          <w:trHeight w:val="202"/>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27,281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27,281</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27,958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27,958</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5,725</w:t>
            </w:r>
          </w:p>
        </w:tc>
        <w:tc>
          <w:tcPr>
            <w:tcW w:w="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15,060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15,060</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15,531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60"/>
              <w:spacing w:after="0" w:line="203" w:lineRule="exact"/>
              <w:rPr>
                <w:sz w:val="20"/>
                <w:szCs w:val="20"/>
                <w:color w:val="auto"/>
              </w:rPr>
            </w:pPr>
            <w:r>
              <w:rPr>
                <w:rFonts w:ascii="Arial" w:cs="Arial" w:eastAsia="Arial" w:hAnsi="Arial"/>
                <w:sz w:val="18"/>
                <w:szCs w:val="18"/>
                <w:color w:val="auto"/>
              </w:rPr>
              <w:t>(6,580)(a)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8,951</w:t>
            </w:r>
          </w:p>
        </w:tc>
        <w:tc>
          <w:tcPr>
            <w:tcW w:w="20" w:type="dxa"/>
            <w:vAlign w:val="bottom"/>
          </w:tcPr>
          <w:p>
            <w:pPr>
              <w:spacing w:after="0"/>
              <w:rPr>
                <w:sz w:val="17"/>
                <w:szCs w:val="17"/>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134,435</w:t>
            </w:r>
          </w:p>
        </w:tc>
        <w:tc>
          <w:tcPr>
            <w:tcW w:w="1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(21,411)</w:t>
            </w:r>
          </w:p>
        </w:tc>
        <w:tc>
          <w:tcPr>
            <w:tcW w:w="4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113,024</w:t>
            </w:r>
          </w:p>
        </w:tc>
        <w:tc>
          <w:tcPr>
            <w:tcW w:w="20" w:type="dxa"/>
            <w:vAlign w:val="bottom"/>
          </w:tcPr>
          <w:p>
            <w:pPr>
              <w:spacing w:after="0"/>
              <w:rPr>
                <w:sz w:val="18"/>
                <w:szCs w:val="18"/>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ind w:left="500"/>
              <w:spacing w:after="0"/>
              <w:rPr>
                <w:sz w:val="20"/>
                <w:szCs w:val="20"/>
                <w:color w:val="auto"/>
              </w:rPr>
            </w:pPr>
            <w:r>
              <w:rPr>
                <w:rFonts w:ascii="Arial" w:cs="Arial" w:eastAsia="Arial" w:hAnsi="Arial"/>
                <w:sz w:val="14"/>
                <w:szCs w:val="14"/>
                <w:b w:val="1"/>
                <w:bCs w:val="1"/>
                <w:color w:val="auto"/>
              </w:rPr>
              <w:t>Year Ended December 31, 2019</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GAAP</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39,265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99"/>
              </w:rPr>
              <w:t>(4,157)(c)</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35,108</w:t>
            </w:r>
          </w:p>
        </w:tc>
      </w:tr>
      <w:tr>
        <w:trPr>
          <w:trHeight w:val="202"/>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27,070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27,070</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27,802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27,802</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19,656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19,656</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15,653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15,653</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15,852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60"/>
              <w:spacing w:after="0" w:line="203" w:lineRule="exact"/>
              <w:rPr>
                <w:sz w:val="20"/>
                <w:szCs w:val="20"/>
                <w:color w:val="auto"/>
              </w:rPr>
            </w:pPr>
            <w:r>
              <w:rPr>
                <w:rFonts w:ascii="Arial" w:cs="Arial" w:eastAsia="Arial" w:hAnsi="Arial"/>
                <w:sz w:val="18"/>
                <w:szCs w:val="18"/>
                <w:color w:val="auto"/>
              </w:rPr>
              <w:t>(6,580)(a)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9,272</w:t>
            </w:r>
          </w:p>
        </w:tc>
        <w:tc>
          <w:tcPr>
            <w:tcW w:w="20" w:type="dxa"/>
            <w:vAlign w:val="bottom"/>
          </w:tcPr>
          <w:p>
            <w:pPr>
              <w:spacing w:after="0"/>
              <w:rPr>
                <w:sz w:val="17"/>
                <w:szCs w:val="17"/>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145,298</w:t>
            </w:r>
          </w:p>
        </w:tc>
        <w:tc>
          <w:tcPr>
            <w:tcW w:w="1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(10,737)</w:t>
            </w:r>
          </w:p>
        </w:tc>
        <w:tc>
          <w:tcPr>
            <w:tcW w:w="4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134,561</w:t>
            </w:r>
          </w:p>
        </w:tc>
        <w:tc>
          <w:tcPr>
            <w:tcW w:w="20" w:type="dxa"/>
            <w:vAlign w:val="bottom"/>
          </w:tcPr>
          <w:p>
            <w:pPr>
              <w:spacing w:after="0"/>
              <w:rPr>
                <w:sz w:val="18"/>
                <w:szCs w:val="18"/>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ind w:left="500"/>
              <w:spacing w:after="0"/>
              <w:rPr>
                <w:sz w:val="20"/>
                <w:szCs w:val="20"/>
                <w:color w:val="auto"/>
              </w:rPr>
            </w:pPr>
            <w:r>
              <w:rPr>
                <w:rFonts w:ascii="Arial" w:cs="Arial" w:eastAsia="Arial" w:hAnsi="Arial"/>
                <w:sz w:val="14"/>
                <w:szCs w:val="14"/>
                <w:b w:val="1"/>
                <w:bCs w:val="1"/>
                <w:color w:val="auto"/>
              </w:rPr>
              <w:t>Year Ended December 31, 2018</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GAAP</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37,118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37,118</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22,977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22,977</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20,922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20,922</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19,286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19,286</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16,130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16,130</w:t>
            </w:r>
          </w:p>
        </w:tc>
      </w:tr>
      <w:tr>
        <w:trPr>
          <w:trHeight w:val="203"/>
        </w:trPr>
        <w:tc>
          <w:tcPr>
            <w:tcW w:w="14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16,315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60"/>
              <w:spacing w:after="0" w:line="203" w:lineRule="exact"/>
              <w:rPr>
                <w:sz w:val="20"/>
                <w:szCs w:val="20"/>
                <w:color w:val="auto"/>
              </w:rPr>
            </w:pPr>
            <w:r>
              <w:rPr>
                <w:rFonts w:ascii="Arial" w:cs="Arial" w:eastAsia="Arial" w:hAnsi="Arial"/>
                <w:sz w:val="18"/>
                <w:szCs w:val="18"/>
                <w:color w:val="auto"/>
              </w:rPr>
              <w:t>(6,580)(a)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9,735</w:t>
            </w:r>
          </w:p>
        </w:tc>
        <w:tc>
          <w:tcPr>
            <w:tcW w:w="20" w:type="dxa"/>
            <w:vAlign w:val="bottom"/>
          </w:tcPr>
          <w:p>
            <w:pPr>
              <w:spacing w:after="0"/>
              <w:rPr>
                <w:sz w:val="17"/>
                <w:szCs w:val="17"/>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132,748</w:t>
            </w:r>
          </w:p>
        </w:tc>
        <w:tc>
          <w:tcPr>
            <w:tcW w:w="1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(6,580)</w:t>
            </w:r>
          </w:p>
        </w:tc>
        <w:tc>
          <w:tcPr>
            <w:tcW w:w="4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126,168</w:t>
            </w:r>
          </w:p>
        </w:tc>
        <w:tc>
          <w:tcPr>
            <w:tcW w:w="20" w:type="dxa"/>
            <w:vAlign w:val="bottom"/>
          </w:tcPr>
          <w:p>
            <w:pPr>
              <w:spacing w:after="0"/>
              <w:rPr>
                <w:sz w:val="18"/>
                <w:szCs w:val="18"/>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80" w:space="720"/>
            <w:col w:w="3580"/>
          </w:cols>
          <w:pgMar w:left="320" w:top="459" w:right="699" w:bottom="1440" w:gutter="0" w:footer="0" w:header="0"/>
          <w:type w:val="continuous"/>
        </w:sect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80"/>
          </w:cols>
          <w:pgMar w:left="320" w:top="459" w:right="6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55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24555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Year Ended December 31, 2017</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GAAP</w:t>
            </w: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Adjusted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20,160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Technology and infrastructure</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22,808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 and occupancy</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20,217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Travel and related expenses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17,123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administrative and other expenses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(607)(d)</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16,501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(6,580)(a)</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9,921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Non-compensation expense</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106,442</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(7,187)</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522"/>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an adjustment to exclude the amortization of intangible assets related to the TPH Business Combination.</w:t>
      </w:r>
    </w:p>
    <w:p>
      <w:pPr>
        <w:ind w:left="820" w:right="580" w:hanging="522"/>
        <w:spacing w:after="0" w:line="23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an adjustment to exclude previously deferred offering costs that were expensed due to termination of the public company transaction process in May of 2020.</w:t>
      </w:r>
    </w:p>
    <w:p>
      <w:pPr>
        <w:spacing w:after="0" w:line="1" w:lineRule="exact"/>
        <w:rPr>
          <w:rFonts w:ascii="Arial" w:cs="Arial" w:eastAsia="Arial" w:hAnsi="Arial"/>
          <w:sz w:val="18"/>
          <w:szCs w:val="18"/>
          <w:color w:val="auto"/>
        </w:rPr>
      </w:pPr>
    </w:p>
    <w:p>
      <w:pPr>
        <w:ind w:left="820" w:right="880" w:hanging="522"/>
        <w:spacing w:after="0" w:line="23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an adjustment to remove business separation related expenses including charges associated with the PWP Separation.</w:t>
      </w:r>
    </w:p>
    <w:p>
      <w:pPr>
        <w:spacing w:after="0" w:line="1" w:lineRule="exact"/>
        <w:rPr>
          <w:rFonts w:ascii="Arial" w:cs="Arial" w:eastAsia="Arial" w:hAnsi="Arial"/>
          <w:sz w:val="18"/>
          <w:szCs w:val="18"/>
          <w:color w:val="auto"/>
        </w:rPr>
      </w:pPr>
    </w:p>
    <w:p>
      <w:pPr>
        <w:ind w:left="820" w:hanging="522"/>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an adjustment to remove the charge to cancel TPH’s New York lease as a result of the TPH Business Combination.</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320" w:top="459"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234" w:lineRule="exact"/>
        <w:rPr>
          <w:sz w:val="20"/>
          <w:szCs w:val="20"/>
          <w:color w:val="auto"/>
        </w:rPr>
      </w:pPr>
    </w:p>
    <w:p>
      <w:pPr>
        <w:ind w:left="300" w:right="220" w:firstLine="532"/>
        <w:spacing w:after="0" w:line="237" w:lineRule="auto"/>
        <w:rPr>
          <w:sz w:val="20"/>
          <w:szCs w:val="20"/>
          <w:color w:val="auto"/>
        </w:rPr>
      </w:pPr>
      <w:r>
        <w:rPr>
          <w:rFonts w:ascii="Arial" w:cs="Arial" w:eastAsia="Arial" w:hAnsi="Arial"/>
          <w:sz w:val="18"/>
          <w:szCs w:val="18"/>
          <w:color w:val="auto"/>
        </w:rPr>
        <w:t>The selected unaudited pro forma condensed combined financial information is presented for informational purposes only. The selected pro forma condensed combined financial information does not purport to represent what our results of operations or financial condition would have been had the Business Combination and other transactions actually occurred on March 31, 2021 with respect to the selected unaudited pro forma condensed combined statement of financial condition and January 1, 2020 with respect to the selected unaudited pro forma condensed combined statements of operations and does not purport to project our results of operations or financial condition for any future period or as of any future date.</w:t>
      </w:r>
    </w:p>
    <w:p>
      <w:pPr>
        <w:spacing w:after="0" w:line="205" w:lineRule="exact"/>
        <w:rPr>
          <w:sz w:val="20"/>
          <w:szCs w:val="20"/>
          <w:color w:val="auto"/>
        </w:rPr>
      </w:pPr>
    </w:p>
    <w:p>
      <w:pPr>
        <w:ind w:left="300" w:right="720" w:firstLine="532"/>
        <w:spacing w:after="0"/>
        <w:rPr>
          <w:sz w:val="20"/>
          <w:szCs w:val="20"/>
          <w:color w:val="auto"/>
        </w:rPr>
      </w:pPr>
      <w:r>
        <w:rPr>
          <w:rFonts w:ascii="Arial" w:cs="Arial" w:eastAsia="Arial" w:hAnsi="Arial"/>
          <w:sz w:val="18"/>
          <w:szCs w:val="18"/>
          <w:color w:val="auto"/>
        </w:rPr>
        <w:t>The selected unaudited pro forma condensed combined financial information was derived from, and should be read in conjunction with, the following historical financial statements and the accompanying notes, which are included elsewhere in this prospectus:</w:t>
      </w:r>
    </w:p>
    <w:p>
      <w:pPr>
        <w:spacing w:after="0" w:line="108" w:lineRule="exact"/>
        <w:rPr>
          <w:sz w:val="20"/>
          <w:szCs w:val="20"/>
          <w:color w:val="auto"/>
        </w:rPr>
      </w:pPr>
    </w:p>
    <w:p>
      <w:pPr>
        <w:ind w:left="1020" w:right="360" w:hanging="195"/>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three months ended March 31, 2021 and the historical audited financial statements of FTIV as of and for the year ended December 31, 2020; and</w:t>
      </w:r>
    </w:p>
    <w:p>
      <w:pPr>
        <w:spacing w:after="0" w:line="102" w:lineRule="exact"/>
        <w:rPr>
          <w:rFonts w:ascii="Arial" w:cs="Arial" w:eastAsia="Arial" w:hAnsi="Arial"/>
          <w:sz w:val="18"/>
          <w:szCs w:val="18"/>
          <w:color w:val="auto"/>
        </w:rPr>
      </w:pPr>
    </w:p>
    <w:p>
      <w:pPr>
        <w:ind w:left="1020" w:right="400" w:hanging="19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OpCo as of and for the three months ended March 31, 2021 and the historical audited consolidated financial statements of PWP OpCo as of and for the year ended December 31, 2020.</w:t>
      </w:r>
    </w:p>
    <w:p>
      <w:pPr>
        <w:spacing w:after="0" w:line="185" w:lineRule="exact"/>
        <w:rPr>
          <w:sz w:val="20"/>
          <w:szCs w:val="20"/>
          <w:color w:val="auto"/>
        </w:rPr>
      </w:pPr>
    </w:p>
    <w:p>
      <w:pPr>
        <w:ind w:left="300" w:right="320" w:firstLine="532"/>
        <w:spacing w:after="0" w:line="267" w:lineRule="auto"/>
        <w:rPr>
          <w:sz w:val="20"/>
          <w:szCs w:val="20"/>
          <w:color w:val="auto"/>
        </w:rPr>
      </w:pPr>
      <w:r>
        <w:rPr>
          <w:rFonts w:ascii="Arial" w:cs="Arial" w:eastAsia="Arial" w:hAnsi="Arial"/>
          <w:sz w:val="18"/>
          <w:szCs w:val="18"/>
          <w:color w:val="auto"/>
        </w:rPr>
        <w:t>The information below should be read in conjunction with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1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Pr>
          <w:p>
            <w:pPr>
              <w:spacing w:after="0"/>
              <w:rPr>
                <w:sz w:val="15"/>
                <w:szCs w:val="15"/>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1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2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Combined Pro Forma</w:t>
            </w:r>
          </w:p>
        </w:tc>
        <w:tc>
          <w:tcPr>
            <w:tcW w:w="6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Combined Pro Forma</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gridSpan w:val="6"/>
          </w:tcPr>
          <w:p>
            <w:pPr>
              <w:jc w:val="right"/>
              <w:ind w:right="474"/>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0"/>
        </w:trPr>
        <w:tc>
          <w:tcPr>
            <w:tcW w:w="180" w:type="dxa"/>
            <w:vAlign w:val="bottom"/>
          </w:tcPr>
          <w:p>
            <w:pPr>
              <w:spacing w:after="0"/>
              <w:rPr>
                <w:sz w:val="15"/>
                <w:szCs w:val="15"/>
                <w:color w:val="auto"/>
              </w:rPr>
            </w:pPr>
          </w:p>
        </w:tc>
        <w:tc>
          <w:tcPr>
            <w:tcW w:w="49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Selected Unaudited Pro Forma Condensed Combined</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25"/>
        </w:trPr>
        <w:tc>
          <w:tcPr>
            <w:tcW w:w="180" w:type="dxa"/>
            <w:vAlign w:val="bottom"/>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169,802</w:t>
            </w:r>
          </w:p>
        </w:tc>
        <w:tc>
          <w:tcPr>
            <w:tcW w:w="620" w:type="dxa"/>
            <w:vAlign w:val="bottom"/>
          </w:tcPr>
          <w:p>
            <w:pPr>
              <w:spacing w:after="0"/>
              <w:rPr>
                <w:sz w:val="17"/>
                <w:szCs w:val="17"/>
                <w:color w:val="auto"/>
              </w:rPr>
            </w:pPr>
          </w:p>
        </w:tc>
        <w:tc>
          <w:tcPr>
            <w:tcW w:w="74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518,986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4,738</w:t>
            </w:r>
          </w:p>
        </w:tc>
        <w:tc>
          <w:tcPr>
            <w:tcW w:w="6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(156,623)</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noncontrolling interest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(8,490)</w:t>
            </w:r>
          </w:p>
        </w:tc>
        <w:tc>
          <w:tcPr>
            <w:tcW w:w="74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(122,496)</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Perella Weinberg Partners</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13,228</w:t>
            </w:r>
          </w:p>
        </w:tc>
        <w:tc>
          <w:tcPr>
            <w:tcW w:w="6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(34,127)</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i w:val="1"/>
                <w:iCs w:val="1"/>
                <w:color w:val="auto"/>
              </w:rPr>
              <w:t>Net income (loss) per Class A share:</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stock—basic</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0.29</w:t>
            </w:r>
          </w:p>
        </w:tc>
        <w:tc>
          <w:tcPr>
            <w:tcW w:w="6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(0.77)</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Class A common stock—diluted</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620" w:type="dxa"/>
            <w:vAlign w:val="bottom"/>
          </w:tcPr>
          <w:p>
            <w:pPr>
              <w:spacing w:after="0"/>
              <w:rPr>
                <w:sz w:val="17"/>
                <w:szCs w:val="17"/>
                <w:color w:val="auto"/>
              </w:rPr>
            </w:pPr>
          </w:p>
        </w:tc>
        <w:tc>
          <w:tcPr>
            <w:tcW w:w="74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(1.56)</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Weighted average shares outstanding, basic and diluted: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Class A common stock—basic</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46,347,190</w:t>
            </w: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44,480,947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stock—diluted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98,500,581</w:t>
            </w: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94,635,145</w:t>
            </w: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405"/>
        </w:trPr>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2021</w:t>
            </w:r>
          </w:p>
        </w:tc>
      </w:tr>
      <w:tr>
        <w:trPr>
          <w:trHeight w:val="155"/>
        </w:trPr>
        <w:tc>
          <w:tcPr>
            <w:tcW w:w="1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top w:val="single" w:sz="8" w:color="auto"/>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Combined Pro Forma</w:t>
            </w:r>
          </w:p>
        </w:tc>
        <w:tc>
          <w:tcPr>
            <w:tcW w:w="20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r>
      <w:tr>
        <w:trPr>
          <w:trHeight w:val="203"/>
        </w:trPr>
        <w:tc>
          <w:tcPr>
            <w:tcW w:w="180" w:type="dxa"/>
            <w:vAlign w:val="bottom"/>
          </w:tcPr>
          <w:p>
            <w:pPr>
              <w:spacing w:after="0"/>
              <w:rPr>
                <w:sz w:val="17"/>
                <w:szCs w:val="17"/>
                <w:color w:val="auto"/>
              </w:rPr>
            </w:pPr>
          </w:p>
        </w:tc>
        <w:tc>
          <w:tcPr>
            <w:tcW w:w="83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Selected Unaudited Pro Forma Condensed Combined Statement of Financial Condition Data</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451,368</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203,500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Total equity</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247,868</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132,411</w:t>
            </w:r>
          </w:p>
        </w:tc>
        <w:tc>
          <w:tcPr>
            <w:tcW w:w="200" w:type="dxa"/>
            <w:vAlign w:val="bottom"/>
          </w:tcPr>
          <w:p>
            <w:pPr>
              <w:spacing w:after="0"/>
              <w:rPr>
                <w:sz w:val="17"/>
                <w:szCs w:val="17"/>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361"/>
        </w:trPr>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55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COMPARATIVE PER SHARE INFORMATION</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sets forth:</w:t>
      </w:r>
    </w:p>
    <w:p>
      <w:pPr>
        <w:spacing w:after="0" w:line="117" w:lineRule="exact"/>
        <w:rPr>
          <w:sz w:val="20"/>
          <w:szCs w:val="20"/>
          <w:color w:val="auto"/>
        </w:rPr>
      </w:pPr>
    </w:p>
    <w:p>
      <w:pPr>
        <w:ind w:left="1020" w:right="280" w:hanging="195"/>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 for the three months ended March 31, 2021; and</w:t>
      </w:r>
    </w:p>
    <w:p>
      <w:pPr>
        <w:spacing w:after="0" w:line="102" w:lineRule="exact"/>
        <w:rPr>
          <w:rFonts w:ascii="Arial" w:cs="Arial" w:eastAsia="Arial" w:hAnsi="Arial"/>
          <w:sz w:val="18"/>
          <w:szCs w:val="18"/>
          <w:color w:val="auto"/>
        </w:rPr>
      </w:pPr>
    </w:p>
    <w:p>
      <w:pPr>
        <w:ind w:left="1020" w:right="540" w:hanging="195"/>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three months ended March 31, 2021, after giving effect to the Business Combination.</w:t>
      </w:r>
    </w:p>
    <w:p>
      <w:pPr>
        <w:spacing w:after="0" w:line="197" w:lineRule="exact"/>
        <w:rPr>
          <w:sz w:val="20"/>
          <w:szCs w:val="20"/>
          <w:color w:val="auto"/>
        </w:rPr>
      </w:pPr>
    </w:p>
    <w:p>
      <w:pPr>
        <w:ind w:left="300" w:right="120" w:firstLine="532"/>
        <w:spacing w:after="0" w:line="238"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related transactions as if they had occurred on March 31, 2021 and January 1, 2020, respectively. The following table is also based on the assumption that there are no adjustments for the outstanding warrants issued by FTIV as such securities are not exercisable until 30 days after the closing of the Business Combination.</w:t>
      </w:r>
    </w:p>
    <w:p>
      <w:pPr>
        <w:spacing w:after="0" w:line="187" w:lineRule="exact"/>
        <w:rPr>
          <w:sz w:val="20"/>
          <w:szCs w:val="20"/>
          <w:color w:val="auto"/>
        </w:rPr>
      </w:pPr>
    </w:p>
    <w:p>
      <w:pPr>
        <w:ind w:left="300" w:right="40" w:firstLine="532"/>
        <w:spacing w:after="0" w:line="238" w:lineRule="auto"/>
        <w:rPr>
          <w:sz w:val="20"/>
          <w:szCs w:val="20"/>
          <w:color w:val="auto"/>
        </w:rPr>
      </w:pPr>
      <w:r>
        <w:rPr>
          <w:rFonts w:ascii="Arial" w:cs="Arial" w:eastAsia="Arial" w:hAnsi="Arial"/>
          <w:sz w:val="18"/>
          <w:szCs w:val="18"/>
          <w:color w:val="auto"/>
        </w:rPr>
        <w:t>The historical information should be read in conjunction with “</w:t>
      </w:r>
      <w:r>
        <w:rPr>
          <w:rFonts w:ascii="Arial" w:cs="Arial" w:eastAsia="Arial" w:hAnsi="Arial"/>
          <w:sz w:val="18"/>
          <w:szCs w:val="18"/>
          <w:i w:val="1"/>
          <w:iCs w:val="1"/>
          <w:color w:val="auto"/>
        </w:rPr>
        <w:t>Selected Consolidated Historical Financial Information of PWP</w:t>
      </w:r>
      <w:r>
        <w:rPr>
          <w:rFonts w:ascii="Arial" w:cs="Arial" w:eastAsia="Arial" w:hAnsi="Arial"/>
          <w:sz w:val="18"/>
          <w:szCs w:val="18"/>
          <w:color w:val="auto"/>
        </w:rPr>
        <w:t>” and “</w:t>
      </w:r>
      <w:r>
        <w:rPr>
          <w:rFonts w:ascii="Arial" w:cs="Arial" w:eastAsia="Arial" w:hAnsi="Arial"/>
          <w:sz w:val="18"/>
          <w:szCs w:val="18"/>
          <w:i w:val="1"/>
          <w:iCs w:val="1"/>
          <w:color w:val="auto"/>
        </w:rPr>
        <w:t>PWP’s Management’s Discussion and Analysis of Financial Condition and Results of Operations</w:t>
      </w:r>
      <w:r>
        <w:rPr>
          <w:rFonts w:ascii="Arial" w:cs="Arial" w:eastAsia="Arial" w:hAnsi="Arial"/>
          <w:sz w:val="18"/>
          <w:szCs w:val="18"/>
          <w:color w:val="auto"/>
        </w:rPr>
        <w:t>” contained elsewhere in this prospectus and the audited historical financial statements and the related notes of PWP and FTIV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related transactions or to project our results of operations that may be achieved after the Business Combination. The unaudited pro forma book value per share information below does not purport to represent our actual book value giving effect to the Business Combination and related transactions nor the book value per share for any future date or period.</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PWP</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FTIV</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5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Historical</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Combined</w:t>
            </w: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Book value per share(1)</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w w:val="88"/>
              </w:rPr>
              <w:t>—</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Basic net income (loss) per Class A common share, March 31, 2021</w:t>
            </w:r>
          </w:p>
        </w:tc>
        <w:tc>
          <w:tcPr>
            <w:tcW w:w="5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w w:val="88"/>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44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0.29</w:t>
            </w:r>
          </w:p>
        </w:tc>
        <w:tc>
          <w:tcPr>
            <w:tcW w:w="12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(loss) per Class A common share, March 31, 2021</w:t>
            </w:r>
          </w:p>
        </w:tc>
        <w:tc>
          <w:tcPr>
            <w:tcW w:w="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4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outstanding—basic, March 31, 2021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23,000,000</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46,347,190</w:t>
            </w:r>
          </w:p>
        </w:tc>
        <w:tc>
          <w:tcPr>
            <w:tcW w:w="12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outstanding—diluted, March 31, 2021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23,000,000</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98,500,581</w:t>
            </w:r>
          </w:p>
        </w:tc>
        <w:tc>
          <w:tcPr>
            <w:tcW w:w="120" w:type="dxa"/>
            <w:vAlign w:val="bottom"/>
            <w:shd w:val="clear" w:color="auto" w:fill="CCEEFF"/>
          </w:tcPr>
          <w:p>
            <w:pPr>
              <w:spacing w:after="0"/>
              <w:rPr>
                <w:sz w:val="17"/>
                <w:szCs w:val="17"/>
                <w:color w:val="auto"/>
              </w:rPr>
            </w:pPr>
          </w:p>
        </w:tc>
      </w:tr>
      <w:tr>
        <w:trPr>
          <w:trHeight w:val="202"/>
        </w:trPr>
        <w:tc>
          <w:tcPr>
            <w:tcW w:w="5920" w:type="dxa"/>
            <w:vAlign w:val="bottom"/>
          </w:tcPr>
          <w:p>
            <w:pPr>
              <w:spacing w:after="0" w:line="201" w:lineRule="exact"/>
              <w:rPr>
                <w:sz w:val="20"/>
                <w:szCs w:val="20"/>
                <w:color w:val="auto"/>
              </w:rPr>
            </w:pPr>
            <w:r>
              <w:rPr>
                <w:rFonts w:ascii="Arial" w:cs="Arial" w:eastAsia="Arial" w:hAnsi="Arial"/>
                <w:sz w:val="18"/>
                <w:szCs w:val="18"/>
                <w:color w:val="auto"/>
              </w:rPr>
              <w:t>Basic net income (loss) per Class A common share, December 31,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20" w:type="dxa"/>
            <w:vAlign w:val="bottom"/>
          </w:tcPr>
          <w:p>
            <w:pPr>
              <w:ind w:left="180"/>
              <w:spacing w:after="0" w:line="203" w:lineRule="exact"/>
              <w:rPr>
                <w:sz w:val="20"/>
                <w:szCs w:val="20"/>
                <w:color w:val="auto"/>
              </w:rPr>
            </w:pPr>
            <w:r>
              <w:rPr>
                <w:rFonts w:ascii="Arial" w:cs="Arial" w:eastAsia="Arial" w:hAnsi="Arial"/>
                <w:sz w:val="18"/>
                <w:szCs w:val="18"/>
                <w:color w:val="auto"/>
              </w:rPr>
              <w:t>2020</w:t>
            </w:r>
          </w:p>
        </w:tc>
        <w:tc>
          <w:tcPr>
            <w:tcW w:w="50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ind w:left="340"/>
              <w:spacing w:after="0" w:line="203" w:lineRule="exact"/>
              <w:rPr>
                <w:sz w:val="20"/>
                <w:szCs w:val="20"/>
                <w:color w:val="auto"/>
              </w:rPr>
            </w:pPr>
            <w:r>
              <w:rPr>
                <w:rFonts w:ascii="Arial" w:cs="Arial" w:eastAsia="Arial" w:hAnsi="Arial"/>
                <w:sz w:val="18"/>
                <w:szCs w:val="18"/>
                <w:color w:val="auto"/>
                <w:w w:val="88"/>
              </w:rPr>
              <w:t>—</w:t>
            </w: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(0.00)</w:t>
            </w:r>
          </w:p>
        </w:tc>
        <w:tc>
          <w:tcPr>
            <w:tcW w:w="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(0.77)</w:t>
            </w:r>
          </w:p>
        </w:tc>
      </w:tr>
      <w:tr>
        <w:trPr>
          <w:trHeight w:val="202"/>
        </w:trPr>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Class A common share, December 31,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2020</w:t>
            </w:r>
          </w:p>
        </w:tc>
        <w:tc>
          <w:tcPr>
            <w:tcW w:w="50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(0.00)</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(1.56)</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outstanding—basic, December 31, 2020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23,000,000</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44,480,947</w:t>
            </w:r>
          </w:p>
        </w:tc>
        <w:tc>
          <w:tcPr>
            <w:tcW w:w="12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outstanding—diluted, December 31, 2020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23,000,000</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94,635,145</w:t>
            </w:r>
          </w:p>
        </w:tc>
        <w:tc>
          <w:tcPr>
            <w:tcW w:w="12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center"/>
        <w:ind w:left="5520" w:right="980" w:hanging="5222"/>
        <w:spacing w:after="0" w:line="715" w:lineRule="auto"/>
        <w:tabs>
          <w:tab w:leader="none" w:pos="8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Book value per share equals total equity divided by weighted average Class A common stock outstanding—diluted. 41</w:t>
      </w:r>
    </w:p>
    <w:p>
      <w:pPr>
        <w:sectPr>
          <w:pgSz w:w="11900" w:h="16838" w:orient="portrait"/>
          <w:cols w:equalWidth="0" w:num="1">
            <w:col w:w="10940"/>
          </w:cols>
          <w:pgMar w:left="320" w:top="459" w:right="6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right="140" w:firstLine="551"/>
        <w:spacing w:after="0" w:line="251" w:lineRule="auto"/>
        <w:rPr>
          <w:sz w:val="20"/>
          <w:szCs w:val="20"/>
          <w:color w:val="auto"/>
        </w:rPr>
      </w:pPr>
      <w:r>
        <w:rPr>
          <w:rFonts w:ascii="Arial" w:cs="Arial" w:eastAsia="Arial" w:hAnsi="Arial"/>
          <w:sz w:val="17"/>
          <w:szCs w:val="17"/>
          <w:color w:val="auto"/>
        </w:rPr>
        <w:t>An investment in our securities involves risks and uncertainties. You should carefully consider the following risks as well as the other information included in this prospectus, including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w:t>
      </w:r>
      <w:r>
        <w:rPr>
          <w:rFonts w:ascii="Arial" w:cs="Arial" w:eastAsia="Arial" w:hAnsi="Arial"/>
          <w:sz w:val="17"/>
          <w:szCs w:val="17"/>
          <w:i w:val="1"/>
          <w:iCs w:val="1"/>
          <w:color w:val="auto"/>
        </w:rPr>
        <w:t>PWP’s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the consolidated financial statements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related notes thereto included elsewhere in this prospectus, before investing in our securities.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 and you may lose all or part of your investment in us.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w:t>
      </w:r>
    </w:p>
    <w:p>
      <w:pPr>
        <w:spacing w:after="0" w:line="21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88"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203"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During mid-2020, fewer new M&amp;A transactions launched due to market volatility and uncertainty caused by COVID-19. Our M&amp;A revenues may have been adversely affected by such reduction in the volume or value of such advisory transactions.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97"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190"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We have implemented various initiatives to reduce the impact of COVID-19 on our firm and our people, such as employees working remotely from home, while also seeking to maintain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20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8"/>
          <w:szCs w:val="18"/>
          <w:i w:val="1"/>
          <w:iCs w:val="1"/>
          <w:color w:val="auto"/>
        </w:rPr>
        <w:t>Business—Legal Proceedings</w:t>
      </w:r>
      <w:r>
        <w:rPr>
          <w:rFonts w:ascii="Arial" w:cs="Arial" w:eastAsia="Arial" w:hAnsi="Arial"/>
          <w:sz w:val="18"/>
          <w:szCs w:val="18"/>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299"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68" w:lineRule="exact"/>
        <w:rPr>
          <w:sz w:val="20"/>
          <w:szCs w:val="20"/>
          <w:color w:val="auto"/>
        </w:rPr>
      </w:pPr>
    </w:p>
    <w:p>
      <w:pPr>
        <w:jc w:val="both"/>
        <w:ind w:left="120" w:right="100" w:firstLine="551"/>
        <w:spacing w:after="0" w:line="261"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8"/>
          <w:szCs w:val="18"/>
          <w:i w:val="1"/>
          <w:iCs w:val="1"/>
          <w:color w:val="auto"/>
        </w:rPr>
        <w:t>Risks Related to our Business—Our growth strategy may involve</w:t>
      </w:r>
      <w:r>
        <w:rPr>
          <w:rFonts w:ascii="Arial" w:cs="Arial" w:eastAsia="Arial" w:hAnsi="Arial"/>
          <w:sz w:val="18"/>
          <w:szCs w:val="18"/>
          <w:color w:val="auto"/>
        </w:rPr>
        <w:t xml:space="preserve"> </w:t>
      </w:r>
      <w:r>
        <w:rPr>
          <w:rFonts w:ascii="Arial" w:cs="Arial" w:eastAsia="Arial" w:hAnsi="Arial"/>
          <w:sz w:val="18"/>
          <w:szCs w:val="18"/>
          <w:i w:val="1"/>
          <w:iCs w:val="1"/>
          <w:color w:val="auto"/>
        </w:rPr>
        <w:t>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8"/>
          <w:szCs w:val="18"/>
          <w:color w:val="auto"/>
        </w:rPr>
        <w:t>.” There can be no assurance that we will be able to manage our expanding operations effectively, and any failure to do</w:t>
      </w:r>
      <w:r>
        <w:rPr>
          <w:rFonts w:ascii="Arial" w:cs="Arial" w:eastAsia="Arial" w:hAnsi="Arial"/>
          <w:sz w:val="18"/>
          <w:szCs w:val="18"/>
          <w:i w:val="1"/>
          <w:iCs w:val="1"/>
          <w:color w:val="auto"/>
        </w:rPr>
        <w:t xml:space="preserve"> </w:t>
      </w:r>
      <w:r>
        <w:rPr>
          <w:rFonts w:ascii="Arial" w:cs="Arial" w:eastAsia="Arial" w:hAnsi="Arial"/>
          <w:sz w:val="18"/>
          <w:szCs w:val="18"/>
          <w:color w:val="auto"/>
        </w:rPr>
        <w:t>so could materially adversely affect our ability to grow revenue and control our expenses.</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288" w:lineRule="exact"/>
        <w:rPr>
          <w:sz w:val="20"/>
          <w:szCs w:val="20"/>
          <w:color w:val="auto"/>
        </w:rPr>
      </w:pPr>
    </w:p>
    <w:p>
      <w:pPr>
        <w:ind w:left="120" w:right="820"/>
        <w:spacing w:after="0" w:line="271"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68"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97"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be able to implement our growth strategy, which could ultimately materially adversely affect our business, financial condition and results of operations.</w:t>
      </w:r>
    </w:p>
    <w:p>
      <w:pPr>
        <w:spacing w:after="0" w:line="19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91"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21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8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Our revenue in any given period is dependent on the number of fee-paying clients in such period. For the three months ended March 31, 2021 we earned revenues from 95 advisory clients, 29 of which generated fees equal to or greater than $1 million. For the year ended December 31, 2020 we earned revenues from 175 advisory clients, 99 of which generated fees equal to or greater than $1 million. For the year ended December 31, 2019 we earned revenues from 179 advisory clients, 100 of which generated fees equal to or greater than $1 million. For the year ended December 31, 2018 we earned revenues from 197 advisory clients, 105 of which generated fees equal to or greater than $1 million. For the year ended December 31, 2017 we earned revenues from 187 advisory clients, 94 of which generated fees equal to or greater than $1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2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Transaction will be recorded as equity-based compensation expense at PWP OpCo for GAAP accounting purposes. We need to continue to compensate personnel competitively in order to continue building our business and as a result, we may continue to experience operating losses in future periods.</w:t>
      </w:r>
    </w:p>
    <w:p>
      <w:pPr>
        <w:spacing w:after="0" w:line="29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8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203"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9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29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289" w:lineRule="exact"/>
        <w:rPr>
          <w:sz w:val="20"/>
          <w:szCs w:val="20"/>
          <w:color w:val="auto"/>
        </w:rPr>
      </w:pPr>
    </w:p>
    <w:p>
      <w:pPr>
        <w:ind w:left="120" w:right="700"/>
        <w:spacing w:after="0" w:line="271"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205"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88"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68"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U.S. Department of Justice and the SEC continue to devote significant resources to the enforcement of the Foreign Corrupt Practices Act (the “</w:t>
      </w:r>
      <w:r>
        <w:rPr>
          <w:rFonts w:ascii="Arial" w:cs="Arial" w:eastAsia="Arial" w:hAnsi="Arial"/>
          <w:sz w:val="18"/>
          <w:szCs w:val="18"/>
          <w:u w:val="single" w:color="auto"/>
          <w:color w:val="auto"/>
        </w:rPr>
        <w:t>FCPA</w:t>
      </w:r>
      <w:r>
        <w:rPr>
          <w:rFonts w:ascii="Arial" w:cs="Arial" w:eastAsia="Arial" w:hAnsi="Arial"/>
          <w:sz w:val="18"/>
          <w:szCs w:val="18"/>
          <w:color w:val="auto"/>
        </w:rPr>
        <w:t>”). In addition, the United Kingdom (“</w:t>
      </w:r>
      <w:r>
        <w:rPr>
          <w:rFonts w:ascii="Arial" w:cs="Arial" w:eastAsia="Arial" w:hAnsi="Arial"/>
          <w:sz w:val="18"/>
          <w:szCs w:val="18"/>
          <w:u w:val="single" w:color="auto"/>
          <w:color w:val="auto"/>
        </w:rPr>
        <w:t>U.K.</w:t>
      </w:r>
      <w:r>
        <w:rPr>
          <w:rFonts w:ascii="Arial" w:cs="Arial" w:eastAsia="Arial" w:hAnsi="Arial"/>
          <w:sz w:val="18"/>
          <w:szCs w:val="18"/>
          <w:color w:val="auto"/>
        </w:rPr>
        <w:t>”)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Class A common stock. For further detail regarding the FCPA and other regulations that we are subject to,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2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91"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8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20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20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840" w:firstLine="551"/>
        <w:spacing w:after="0"/>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28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Goodwill and other intangible assets represent a significant portion of our assets, and totaled $71.7 million, $73.3 million and $79.9 million as of March 31, 2021 and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December 11, 2018, Group LP, a wholly owned subsidiary of PWP OpCo, entered into the Revolving Credit Facility in order to pay in full the outstanding Senior Term Loan (as defined below) plus outstanding interest, fees and expenses related thereto and provide for the future working capital needs and other general corporate purposes of Group LP and its subsidiaries. The Revolving Credit Facility, as amended in connection with the Closing, provides for a $50 million unsecured revolving credit facility that matures on July 1, 2025, and contains a number of significant covenants that, among other things, require PWP OpCo and certain of its subsidiaries (the “</w:t>
      </w:r>
      <w:r>
        <w:rPr>
          <w:rFonts w:ascii="Arial" w:cs="Arial" w:eastAsia="Arial" w:hAnsi="Arial"/>
          <w:sz w:val="18"/>
          <w:szCs w:val="18"/>
          <w:u w:val="single" w:color="auto"/>
          <w:color w:val="auto"/>
        </w:rPr>
        <w:t>Loan Parties</w:t>
      </w:r>
      <w:r>
        <w:rPr>
          <w:rFonts w:ascii="Arial" w:cs="Arial" w:eastAsia="Arial" w:hAnsi="Arial"/>
          <w:sz w:val="18"/>
          <w:szCs w:val="18"/>
          <w:color w:val="auto"/>
        </w:rPr>
        <w:t>”) to maintain (on a consolidated basis) minimum liquidity levels, a minimum debt service coverage ratio and a maximum leverage ratio and restrict the ability of the Loan Parties to:</w:t>
      </w:r>
    </w:p>
    <w:p>
      <w:pPr>
        <w:spacing w:after="0" w:line="108"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21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spacing w:after="0" w:line="110" w:lineRule="exact"/>
        <w:rPr>
          <w:sz w:val="20"/>
          <w:szCs w:val="20"/>
          <w:color w:val="auto"/>
        </w:rPr>
      </w:pPr>
    </w:p>
    <w:p>
      <w:pPr>
        <w:ind w:left="880" w:right="68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declare the commitments of all of the lenders under the Revolving Credit Facility (or any replacement credit facility) to be terminated;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declare all outstanding debt, accrued interest and fees to be due and immediately payable.</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8"/>
          <w:szCs w:val="18"/>
          <w:i w:val="1"/>
          <w:iCs w:val="1"/>
          <w:color w:val="auto"/>
        </w:rPr>
        <w:t>Business—Legal Proceedings</w:t>
      </w:r>
      <w:r>
        <w:rPr>
          <w:rFonts w:ascii="Arial" w:cs="Arial" w:eastAsia="Arial" w:hAnsi="Arial"/>
          <w:sz w:val="18"/>
          <w:szCs w:val="18"/>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has not previously managed our advisory business as a separate public company.</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individuals who now constitute our management have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202"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26" w:lineRule="exact"/>
        <w:rPr>
          <w:sz w:val="20"/>
          <w:szCs w:val="20"/>
          <w:color w:val="auto"/>
        </w:rPr>
      </w:pPr>
    </w:p>
    <w:p>
      <w:pPr>
        <w:jc w:val="both"/>
        <w:ind w:left="120" w:right="520" w:firstLine="551"/>
        <w:spacing w:after="0" w:line="238" w:lineRule="auto"/>
        <w:rPr>
          <w:sz w:val="20"/>
          <w:szCs w:val="20"/>
          <w:color w:val="auto"/>
        </w:rPr>
      </w:pPr>
      <w:r>
        <w:rPr>
          <w:rFonts w:ascii="Arial" w:cs="Arial" w:eastAsia="Arial" w:hAnsi="Arial"/>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21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20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2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26"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For the three months ended March 31, 2021 and year ended December 31, 2020, we earned approximately 25.3%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10"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language barriers and cultural differences, including the need to adopt different business practices in different geographic areas;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terrorism, political hostilities, war and other civil disturbances or other catastrophic events that reduce business activity;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212" w:lineRule="exact"/>
        <w:rPr>
          <w:sz w:val="20"/>
          <w:szCs w:val="20"/>
          <w:color w:val="auto"/>
        </w:rPr>
      </w:pPr>
    </w:p>
    <w:p>
      <w:pPr>
        <w:jc w:val="both"/>
        <w:ind w:left="120" w:right="640" w:firstLine="551"/>
        <w:spacing w:after="0" w:line="261" w:lineRule="auto"/>
        <w:rPr>
          <w:sz w:val="20"/>
          <w:szCs w:val="20"/>
          <w:color w:val="auto"/>
        </w:rPr>
      </w:pPr>
      <w:r>
        <w:rPr>
          <w:rFonts w:ascii="Arial" w:cs="Arial" w:eastAsia="Arial" w:hAnsi="Arial"/>
          <w:sz w:val="17"/>
          <w:szCs w:val="17"/>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8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202" w:lineRule="exact"/>
        <w:rPr>
          <w:sz w:val="20"/>
          <w:szCs w:val="20"/>
          <w:color w:val="auto"/>
        </w:rPr>
      </w:pPr>
    </w:p>
    <w:p>
      <w:pPr>
        <w:ind w:left="120" w:right="860" w:firstLine="551"/>
        <w:spacing w:after="0" w:line="246"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59" w:right="5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83"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20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26"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business.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8"/>
          <w:szCs w:val="18"/>
          <w:i w:val="1"/>
          <w:iCs w:val="1"/>
          <w:color w:val="auto"/>
        </w:rPr>
        <w:t>Risks Related to Our Business—Our failure to deal appropriately with actual,</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 or perceived conflicts of interest could damage our reputation and materially adversely affect our business</w:t>
      </w:r>
      <w:r>
        <w:rPr>
          <w:rFonts w:ascii="Arial" w:cs="Arial" w:eastAsia="Arial" w:hAnsi="Arial"/>
          <w:sz w:val="18"/>
          <w:szCs w:val="18"/>
          <w:color w:val="auto"/>
        </w:rPr>
        <w:t>” above.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addition, PFAC is a special purpose acquisition company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Because our financial statements are denominated in U.S. dollars and we receive a portion of our net revenue in other currencies (including the Euro, pound sterling and Canadian dollars), we are exposed to fluctuations in foreign currencies. During the three months ended March 31, 2021 and the year ended December 31, 2020, 19.2% and 21.5%, respectively, of revenue was received in currencies other than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w:t>
      </w:r>
      <w:r>
        <w:rPr>
          <w:rFonts w:ascii="Arial" w:cs="Arial" w:eastAsia="Arial" w:hAnsi="Arial"/>
          <w:sz w:val="18"/>
          <w:szCs w:val="18"/>
          <w:u w:val="single" w:color="auto"/>
          <w:color w:val="auto"/>
        </w:rPr>
        <w:t>TCA</w:t>
      </w:r>
      <w:r>
        <w:rPr>
          <w:rFonts w:ascii="Arial" w:cs="Arial" w:eastAsia="Arial" w:hAnsi="Arial"/>
          <w:sz w:val="18"/>
          <w:szCs w:val="18"/>
          <w:color w:val="auto"/>
        </w:rPr>
        <w:t>”), which was applied on a provisional basis from January 1, 2021 and entered into full force on May 1, 2021, following formal approval by the U.K. and the E.U.</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83"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292"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Uncertainty relating to the London Interbank Offered Rate (“</w:t>
      </w:r>
      <w:r>
        <w:rPr>
          <w:rFonts w:ascii="Arial" w:cs="Arial" w:eastAsia="Arial" w:hAnsi="Arial"/>
          <w:sz w:val="18"/>
          <w:szCs w:val="18"/>
          <w:b w:val="1"/>
          <w:bCs w:val="1"/>
          <w:i w:val="1"/>
          <w:iCs w:val="1"/>
          <w:u w:val="single" w:color="auto"/>
          <w:color w:val="auto"/>
        </w:rPr>
        <w:t>LIBOR</w:t>
      </w:r>
      <w:r>
        <w:rPr>
          <w:rFonts w:ascii="Arial" w:cs="Arial" w:eastAsia="Arial" w:hAnsi="Arial"/>
          <w:sz w:val="18"/>
          <w:szCs w:val="18"/>
          <w:b w:val="1"/>
          <w:bCs w:val="1"/>
          <w:i w:val="1"/>
          <w:iCs w:val="1"/>
          <w:color w:val="auto"/>
        </w:rPr>
        <w:t>”) calculation process and potential phasing out of LIBOR in the future may adversely affect the value of our outstanding debt instruments.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that: “The interest rate benchmark LIBOR is expected to cease after end-2021.” Further, on March 5, 2021, the ICE Benchmark Administration, the administrator of LIBOR, announced its intention to cease the publication of all settings of non-U.S. dollar LIBOR and the one-week and two-month U.S. dollar LIBOR settings on December 31, 2021, with the publication of the remaining U.S. dollar LIBOR settings being discontinued after June 30, 2023. It is unclear if LIBOR will cease to exist at that time or if new methods of calculating LIBOR will be established.</w:t>
      </w:r>
    </w:p>
    <w:p>
      <w:pPr>
        <w:spacing w:after="0" w:line="20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29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68"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Our ability to recognize certain benefits of the Business Combination and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skills, qualifications or abilities we expect or those necessary to manage a public company, the operations and profitability of our business may be negatively impacted.</w:t>
      </w:r>
    </w:p>
    <w:p>
      <w:pPr>
        <w:spacing w:after="0" w:line="283"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historical consolidated and unaudited pro forma financial information in this prospectus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Regulation</w:t>
      </w:r>
    </w:p>
    <w:p>
      <w:pPr>
        <w:spacing w:after="0" w:line="212" w:lineRule="exact"/>
        <w:rPr>
          <w:sz w:val="20"/>
          <w:szCs w:val="20"/>
          <w:color w:val="auto"/>
        </w:rPr>
      </w:pPr>
    </w:p>
    <w:p>
      <w:pPr>
        <w:jc w:val="both"/>
        <w:ind w:left="120" w:right="380"/>
        <w:spacing w:after="0" w:line="253" w:lineRule="auto"/>
        <w:rPr>
          <w:sz w:val="20"/>
          <w:szCs w:val="20"/>
          <w:color w:val="auto"/>
        </w:rPr>
      </w:pPr>
      <w:r>
        <w:rPr>
          <w:rFonts w:ascii="Arial" w:cs="Arial" w:eastAsia="Arial" w:hAnsi="Arial"/>
          <w:sz w:val="18"/>
          <w:szCs w:val="18"/>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t>
      </w:r>
      <w:r>
        <w:rPr>
          <w:rFonts w:ascii="Arial" w:cs="Arial" w:eastAsia="Arial" w:hAnsi="Arial"/>
          <w:sz w:val="18"/>
          <w:szCs w:val="18"/>
          <w:u w:val="single" w:color="auto"/>
          <w:color w:val="auto"/>
        </w:rPr>
        <w:t>TPH Securities</w:t>
      </w:r>
      <w:r>
        <w:rPr>
          <w:rFonts w:ascii="Arial" w:cs="Arial" w:eastAsia="Arial" w:hAnsi="Arial"/>
          <w:sz w:val="18"/>
          <w:szCs w:val="18"/>
          <w:color w:val="auto"/>
        </w:rPr>
        <w:t>”).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European Union (the “</w:t>
      </w:r>
      <w:r>
        <w:rPr>
          <w:rFonts w:ascii="Arial" w:cs="Arial" w:eastAsia="Arial" w:hAnsi="Arial"/>
          <w:sz w:val="18"/>
          <w:szCs w:val="18"/>
          <w:u w:val="single" w:color="auto"/>
          <w:color w:val="auto"/>
        </w:rPr>
        <w:t>E.U.</w:t>
      </w:r>
      <w:r>
        <w:rPr>
          <w:rFonts w:ascii="Arial" w:cs="Arial" w:eastAsia="Arial" w:hAnsi="Arial"/>
          <w:sz w:val="18"/>
          <w:szCs w:val="18"/>
          <w:color w:val="auto"/>
        </w:rPr>
        <w:t>”), Canada, France and Germany, and the manner in which those laws and related regulations are applied to our operations is still evolving. For example, several states and municipalities in the United States,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206"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Our ability to conduct business and our operating results may also be adversely affected as a result of any new requirements imposed by, or changes in, the interpretation or enforcement of existing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laws and rules by the SEC, FINRA, the FCA, the Canadian Securities Regulators, the IIROC, the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2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294"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w:t>
      </w:r>
      <w:r>
        <w:rPr>
          <w:rFonts w:ascii="Arial" w:cs="Arial" w:eastAsia="Arial" w:hAnsi="Arial"/>
          <w:sz w:val="18"/>
          <w:szCs w:val="18"/>
          <w:u w:val="single" w:color="auto"/>
          <w:color w:val="auto"/>
        </w:rPr>
        <w:t>GDPR</w:t>
      </w:r>
      <w:r>
        <w:rPr>
          <w:rFonts w:ascii="Arial" w:cs="Arial" w:eastAsia="Arial" w:hAnsi="Arial"/>
          <w:sz w:val="18"/>
          <w:szCs w:val="18"/>
          <w:color w:val="auto"/>
        </w:rPr>
        <w:t>”),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04"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Tax Receivable Agreement and pay other expenses.</w:t>
      </w:r>
    </w:p>
    <w:p>
      <w:pPr>
        <w:spacing w:after="0" w:line="8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28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We will be required to pay our ILPs and/or Limited Partners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Tax Receivable Agreement may be accelerated and/or significantly exceed the actual tax benefits we realize.</w:t>
      </w:r>
    </w:p>
    <w:p>
      <w:pPr>
        <w:spacing w:after="0" w:line="90"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Our acquisition of Class A partnership units in PWP OpCo in connection with the Business Combination or pursuant to future exchanges of PWP OpCo Class A partnership units for shares of our Class A common stock or cash, and certain other transactions, are expected to result in increases 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At the Closing, we entered into a Tax Receivable Agreement with PWP OpCo, Professional Partners and certain other persons party thereto.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We expect to retain the benefit of the remaining 15% of these cash tax savings. While the actual increase in tax basis,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interests in PWP OpCo, during the expected term of the Tax Receivable Agreement, the payments that we may make under the Tax Receivable Agreement could be substantial.</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payment obligation under the Tax Receivable Agreement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Tax Receivable Agreement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other laws on the date of such breach or the early termination payment, that any non -amortizable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93"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Class A partnership units.</w:t>
      </w:r>
    </w:p>
    <w:p>
      <w:pPr>
        <w:spacing w:after="0" w:line="90"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Under the amended and restated agreement of limited partnership of PWP OpCo,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agreement of limited partnership of PWP OpCo, we intend to use best efforts to cause PWP OpCo to make sufficient cash distributions to the holders of partnership units of PWP OpCo to fund their tax obligations in respect of the income of PWP OpCo that is allocated to them.</w:t>
      </w:r>
    </w:p>
    <w:p>
      <w:pPr>
        <w:spacing w:after="0" w:line="205"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amended and restated agreement of limited partnership of PWP OpCo will require us to distribute such excess cash.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such a distribution,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and instead, for example, hold such cash balances or lend them to PWP OpCo, this may result in shares of our Class A common stock increasing in value relative to the PWP OpCo Class A partnership units. The holders of PWP OpCo Class A partnership units may benefit from any value attributable to such cash balances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8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If Perella Weinberg Partners were to cease participation in the management of PWP OpCo, its interests in PWP OpCo could be deemed an “investment security” for purposes of the Investment Company Act of 1940 (the “</w:t>
      </w:r>
      <w:r>
        <w:rPr>
          <w:rFonts w:ascii="Arial" w:cs="Arial" w:eastAsia="Arial" w:hAnsi="Arial"/>
          <w:sz w:val="18"/>
          <w:szCs w:val="18"/>
          <w:u w:val="single" w:color="auto"/>
          <w:color w:val="auto"/>
        </w:rPr>
        <w:t>1940 Act</w:t>
      </w:r>
      <w:r>
        <w:rPr>
          <w:rFonts w:ascii="Arial" w:cs="Arial" w:eastAsia="Arial" w:hAnsi="Arial"/>
          <w:sz w:val="18"/>
          <w:szCs w:val="18"/>
          <w:color w:val="auto"/>
        </w:rPr>
        <w: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Class A common stock.</w:t>
      </w:r>
    </w:p>
    <w:p>
      <w:pPr>
        <w:spacing w:after="0" w:line="292"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Class A common stock.</w:t>
      </w:r>
    </w:p>
    <w:p>
      <w:pPr>
        <w:spacing w:after="0" w:line="294"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could prevent us from benefiting from corporate opportunities that might have otherwise been available to us.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w:t>
      </w:r>
      <w:r>
        <w:rPr>
          <w:rFonts w:ascii="Arial" w:cs="Arial" w:eastAsia="Arial" w:hAnsi="Arial"/>
          <w:sz w:val="18"/>
          <w:szCs w:val="18"/>
          <w:u w:val="single" w:color="auto"/>
          <w:color w:val="auto"/>
        </w:rPr>
        <w:t>PWP</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Partner Group</w:t>
      </w:r>
      <w:r>
        <w:rPr>
          <w:rFonts w:ascii="Arial" w:cs="Arial" w:eastAsia="Arial" w:hAnsi="Arial"/>
          <w:sz w:val="18"/>
          <w:szCs w:val="18"/>
          <w:color w:val="auto"/>
        </w:rPr>
        <w:t>”)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Second Amended and Restated Certificate of Incorporation. See “</w:t>
      </w:r>
      <w:r>
        <w:rPr>
          <w:rFonts w:ascii="Arial" w:cs="Arial" w:eastAsia="Arial" w:hAnsi="Arial"/>
          <w:sz w:val="18"/>
          <w:szCs w:val="18"/>
          <w:i w:val="1"/>
          <w:iCs w:val="1"/>
          <w:color w:val="auto"/>
        </w:rPr>
        <w:t>Description of Securities—Corporate Opportunities</w:t>
      </w:r>
      <w:r>
        <w:rPr>
          <w:rFonts w:ascii="Arial" w:cs="Arial" w:eastAsia="Arial" w:hAnsi="Arial"/>
          <w:sz w:val="18"/>
          <w:szCs w:val="18"/>
          <w:color w:val="auto"/>
        </w:rPr>
        <w:t>.”</w:t>
      </w:r>
    </w:p>
    <w:p>
      <w:pPr>
        <w:spacing w:after="0" w:line="292"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8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207"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Tax Receivable Agreement and would not be able to recover any of our previously made payments under the Tax Receivable Agreement, even if the corresponding tax benefits (including any claimed increase in the tax basis of PWP OpCo’s assets) were subsequently determined to have been unavailable.</w:t>
      </w:r>
    </w:p>
    <w:p>
      <w:pPr>
        <w:spacing w:after="0" w:line="291"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6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Our voting control is concentrated among the holders of our Class B-1 common stock. As a result, the market price of our Class A common stock may be materially adversely affected by such disparate voting rights.</w:t>
      </w:r>
    </w:p>
    <w:p>
      <w:pPr>
        <w:spacing w:after="0" w:line="19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Professional Partners beneficially owns all of the outstanding shares of our Class B-1 common stock, representing approximately 90.6% of our total voting power, ILPs beneficially own all of the outstanding shares of our Class B-2 common stock, representing approximately 0.9% of our total voting power, and holders of Class A common stock own shares of our Class A common stock, representing approximately 8.5%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291"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90.6% of the voting interest in us. The shares of Class B-1 common stock will entitle Professional Partners to (i) for so long as the Class B Condition is satisfied, ten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8"/>
          <w:szCs w:val="18"/>
          <w:i w:val="1"/>
          <w:iCs w:val="1"/>
          <w:color w:val="auto"/>
        </w:rPr>
        <w:t>Description of Securities—Class B Common Stock</w:t>
      </w:r>
      <w:r>
        <w:rPr>
          <w:rFonts w:ascii="Arial" w:cs="Arial" w:eastAsia="Arial" w:hAnsi="Arial"/>
          <w:sz w:val="18"/>
          <w:szCs w:val="18"/>
          <w:color w:val="auto"/>
        </w:rPr>
        <w:t>.” In addition, we are party to the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Second Amended and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Securities</w:t>
      </w:r>
    </w:p>
    <w:p>
      <w:pPr>
        <w:spacing w:after="0" w:line="10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8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17"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298"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We may issue additional shares of common stock or other equity securities without your approval, which would dilute your ownership interest in us and may depress the market price of our Class A common stock.</w:t>
      </w:r>
    </w:p>
    <w:p>
      <w:pPr>
        <w:spacing w:after="0" w:line="6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issue additional shares of common stock or other equity securities in the future in connection with, among other things, future acquisitions, repayment of outstanding indebtedness or grants under the Incentive Plan without stockholder approval in a number of circumstances.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issuance of additional common stock or other equity securities could have one or more of the following effects:</w:t>
      </w:r>
    </w:p>
    <w:p>
      <w:pPr>
        <w:spacing w:after="0" w:line="117"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will decrease;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298"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68"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On April 12, 2021, the staff of the Securities and Exchange Commission (the “</w:t>
      </w:r>
      <w:r>
        <w:rPr>
          <w:rFonts w:ascii="Arial" w:cs="Arial" w:eastAsia="Arial" w:hAnsi="Arial"/>
          <w:sz w:val="18"/>
          <w:szCs w:val="18"/>
          <w:u w:val="single" w:color="auto"/>
          <w:color w:val="auto"/>
        </w:rPr>
        <w:t>SEC Staff</w:t>
      </w:r>
      <w:r>
        <w:rPr>
          <w:rFonts w:ascii="Arial" w:cs="Arial" w:eastAsia="Arial" w:hAnsi="Arial"/>
          <w:sz w:val="18"/>
          <w:szCs w:val="18"/>
          <w:color w:val="auto"/>
        </w:rPr>
        <w:t>”) issued a public statement entitled “Staff Statement on Accounting and Reporting Considerations for Warrants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issued by Special Purpose Acquisition Companies (“</w:t>
      </w:r>
      <w:r>
        <w:rPr>
          <w:rFonts w:ascii="Arial" w:cs="Arial" w:eastAsia="Arial" w:hAnsi="Arial"/>
          <w:sz w:val="18"/>
          <w:szCs w:val="18"/>
          <w:u w:val="single" w:color="auto"/>
          <w:color w:val="auto"/>
        </w:rPr>
        <w:t>SPACs</w:t>
      </w:r>
      <w:r>
        <w:rPr>
          <w:rFonts w:ascii="Arial" w:cs="Arial" w:eastAsia="Arial" w:hAnsi="Arial"/>
          <w:sz w:val="18"/>
          <w:szCs w:val="18"/>
          <w:color w:val="auto"/>
        </w:rPr>
        <w:t>”)” (the “</w:t>
      </w:r>
      <w:r>
        <w:rPr>
          <w:rFonts w:ascii="Arial" w:cs="Arial" w:eastAsia="Arial" w:hAnsi="Arial"/>
          <w:sz w:val="18"/>
          <w:szCs w:val="18"/>
          <w:u w:val="single" w:color="auto"/>
          <w:color w:val="auto"/>
        </w:rPr>
        <w:t>SEC Staff Statement</w:t>
      </w:r>
      <w:r>
        <w:rPr>
          <w:rFonts w:ascii="Arial" w:cs="Arial" w:eastAsia="Arial" w:hAnsi="Arial"/>
          <w:sz w:val="18"/>
          <w:szCs w:val="18"/>
          <w:color w:val="auto"/>
        </w:rPr>
        <w: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FTIV’s historical balance sheets as of December 31, 2020 and March 31, 2021 contained elsewhere in this prospectus are derivative liabilities related to embedded features contained within the warrants. Accounting Standards Codification 815, Derivatives and Hedging (“</w:t>
      </w:r>
      <w:r>
        <w:rPr>
          <w:rFonts w:ascii="Arial" w:cs="Arial" w:eastAsia="Arial" w:hAnsi="Arial"/>
          <w:sz w:val="18"/>
          <w:szCs w:val="18"/>
          <w:u w:val="single" w:color="auto"/>
          <w:color w:val="auto"/>
        </w:rPr>
        <w:t>ASC 815</w:t>
      </w:r>
      <w:r>
        <w:rPr>
          <w:rFonts w:ascii="Arial" w:cs="Arial" w:eastAsia="Arial" w:hAnsi="Arial"/>
          <w:sz w:val="18"/>
          <w:szCs w:val="18"/>
          <w:color w:val="auto"/>
        </w:rPr>
        <w:t>”),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289"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If our performance following the Business Combination does not meet market expectations, the price of our securities may decline.</w:t>
      </w:r>
    </w:p>
    <w:p>
      <w:pPr>
        <w:spacing w:after="0" w:line="68"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If our performance following the Business Combination does not meet market expectations, the price of our Class A common stock may decline.</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Prior to the Business Combination, there had not been a public market for PWP’s stock, and trading in our Class A common stock was not active. Accordingly, the valuation ascribed to PWP and our Class A common stock in the Business Combination may not be indicative of the price that will prevail in the trading market following the Business Combination. If an active market for our Class A common stock develops and continues,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17" w:lineRule="exact"/>
        <w:rPr>
          <w:sz w:val="20"/>
          <w:szCs w:val="20"/>
          <w:color w:val="auto"/>
        </w:rPr>
      </w:pPr>
    </w:p>
    <w:p>
      <w:pPr>
        <w:ind w:left="880" w:right="16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17"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117"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9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public warrants may never be in the money when exercisable, and they may expire worthless.</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The exercise price for our warrants is $11.50 per share. There can be no assurance that the public warrants will be in the money prior to their expiration and, as such, the warrants may expire worthless.</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terms of our warrants may be amended in a manner that may be adverse to the holders. The warrant agreement entered into with Continental Stock Transfer &amp; Trust Company and assumed by American Stock Transfer &amp; Trust Company, as warrant agent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9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68"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We have the ability to redeem outstanding warrants (excluding any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288"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b w:val="1"/>
          <w:bCs w:val="1"/>
          <w:i w:val="1"/>
          <w:iCs w:val="1"/>
          <w:color w:val="auto"/>
        </w:rPr>
        <w:t>Warrants to purchase our Class A common stock will become exercisable on the 30</w:t>
      </w:r>
      <w:r>
        <w:rPr>
          <w:rFonts w:ascii="Arial" w:cs="Arial" w:eastAsia="Arial" w:hAnsi="Arial"/>
          <w:sz w:val="15"/>
          <w:szCs w:val="15"/>
          <w:b w:val="1"/>
          <w:bCs w:val="1"/>
          <w:i w:val="1"/>
          <w:iCs w:val="1"/>
          <w:color w:val="auto"/>
        </w:rPr>
        <w:t>th</w:t>
      </w:r>
      <w:r>
        <w:rPr>
          <w:rFonts w:ascii="Arial" w:cs="Arial" w:eastAsia="Arial" w:hAnsi="Arial"/>
          <w:sz w:val="18"/>
          <w:szCs w:val="18"/>
          <w:b w:val="1"/>
          <w:bCs w:val="1"/>
          <w:i w:val="1"/>
          <w:iCs w:val="1"/>
          <w:color w:val="auto"/>
        </w:rPr>
        <w:t xml:space="preserve"> day following the Business Combination, which could increase the number of shares eligible for future resale in the public market and result in dilution to our stockholders.</w:t>
      </w:r>
    </w:p>
    <w:p>
      <w:pPr>
        <w:spacing w:after="0" w:line="8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Outstanding warrants to purchase an aggregate of 7,870,000 shares of our Class A common stock will become exercisable on the 30th day following the Closing in accordance with the terms of the warrant agreement governing those securities. These warrants consist of 7,666,666.67 warrants originally included in the units issued in the IPO and 203,333.33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Class A common stock.</w:t>
      </w:r>
    </w:p>
    <w:p>
      <w:pPr>
        <w:spacing w:after="0" w:line="294" w:lineRule="exact"/>
        <w:rPr>
          <w:sz w:val="20"/>
          <w:szCs w:val="20"/>
          <w:color w:val="auto"/>
        </w:rPr>
      </w:pPr>
    </w:p>
    <w:p>
      <w:pPr>
        <w:ind w:left="120" w:right="100"/>
        <w:spacing w:after="0" w:line="301" w:lineRule="auto"/>
        <w:rPr>
          <w:sz w:val="20"/>
          <w:szCs w:val="20"/>
          <w:color w:val="auto"/>
        </w:rPr>
      </w:pPr>
      <w:r>
        <w:rPr>
          <w:rFonts w:ascii="Arial" w:cs="Arial" w:eastAsia="Arial" w:hAnsi="Arial"/>
          <w:sz w:val="17"/>
          <w:szCs w:val="17"/>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4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As of June 30, 2021, we had 1,500,000,000 shares of Class A common stock authorized, of which 42,956,667 have been issued. Our Second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Class A common stock.</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Class A common stock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9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Future sales of our Class A common stock issued to our stockholders or by FTIV’s initial stockholders may reduce the market price of our Class A common stock that you might otherwise obtain.</w:t>
      </w:r>
    </w:p>
    <w:p>
      <w:pPr>
        <w:spacing w:after="0" w:line="68" w:lineRule="exact"/>
        <w:rPr>
          <w:sz w:val="20"/>
          <w:szCs w:val="20"/>
          <w:color w:val="auto"/>
        </w:rPr>
      </w:pPr>
    </w:p>
    <w:p>
      <w:pPr>
        <w:ind w:left="120" w:right="120" w:firstLine="551"/>
        <w:spacing w:after="0" w:line="257" w:lineRule="auto"/>
        <w:rPr>
          <w:sz w:val="20"/>
          <w:szCs w:val="20"/>
          <w:color w:val="auto"/>
        </w:rPr>
      </w:pPr>
      <w:r>
        <w:rPr>
          <w:rFonts w:ascii="Arial" w:cs="Arial" w:eastAsia="Arial" w:hAnsi="Arial"/>
          <w:sz w:val="17"/>
          <w:szCs w:val="17"/>
          <w:color w:val="auto"/>
        </w:rPr>
        <w:t>Under the Business Combination Agreement, we issued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w:t>
      </w:r>
    </w:p>
    <w:p>
      <w:pPr>
        <w:spacing w:after="0" w:line="189"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and Professional Partners entered into a Stockholders Agreement providing for certain restrictions on transfer applicable to the shares issued to Professional Partners in connection with the Business Combination. For additional information regarding the Stockholders Agreement, see the section in this prospectus entitled “</w:t>
      </w:r>
      <w:r>
        <w:rPr>
          <w:rFonts w:ascii="Arial" w:cs="Arial" w:eastAsia="Arial" w:hAnsi="Arial"/>
          <w:sz w:val="18"/>
          <w:szCs w:val="18"/>
          <w:i w:val="1"/>
          <w:iCs w:val="1"/>
          <w:color w:val="auto"/>
        </w:rPr>
        <w:t>Business Combination—Related Agreements—Stockholders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Sponsor is a party to a letter agreement, dated September 24, 2020 (the “</w:t>
      </w:r>
      <w:r>
        <w:rPr>
          <w:rFonts w:ascii="Arial" w:cs="Arial" w:eastAsia="Arial" w:hAnsi="Arial"/>
          <w:sz w:val="18"/>
          <w:szCs w:val="18"/>
          <w:u w:val="single" w:color="auto"/>
          <w:color w:val="auto"/>
        </w:rPr>
        <w:t>Sponsor Lock-Up Agreement</w:t>
      </w:r>
      <w:r>
        <w:rPr>
          <w:rFonts w:ascii="Arial" w:cs="Arial" w:eastAsia="Arial" w:hAnsi="Arial"/>
          <w:sz w:val="18"/>
          <w:szCs w:val="18"/>
          <w:color w:val="auto"/>
        </w:rPr>
        <w:t>”), pursuant to which the Sponsor is prohibited from, except in limited circumstances, (i) selling, offering to sell, contracting or agreeing to sell, hypothecating, pledging, granting any option to purchase or otherwise disposing of or agreeing to dispose of, directly or indirectly, or establishing or increasing a put equivalent position or liquidating or decreasing a call equivalent position within the meaning of Section 16 of the Exchange Act with respect to the placement units, placement shares, placement warrants, or shares of common stock underlying the placement warrants, (ii) entering into any swap or other arrangement that transfers to another, in whole or in part, any of the economic consequences of ownership of any of the placement units, placement shares, placement warrants, or shares of common stock underlying the placement warrants, whether any such transaction is to be settled by delivery of the common stock or such other securities, in cash or otherwise, or (iii) publicly announcing any intention to effect any transaction specified in clause (c)(i) or (c)(ii), for a period of 30 days following the Business Combination.</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are subject to transfer restrictions for six months following the closing of the Business Combination and 80% of the founder shares held by the Sponsor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will also be subject to vesting conditions based on certain closing share price thresholds of the Company’s Class A common stock for 20 out of any 30 consecutive trading days. See the section of this prospectus entitled “</w:t>
      </w:r>
      <w:r>
        <w:rPr>
          <w:rFonts w:ascii="Arial" w:cs="Arial" w:eastAsia="Arial" w:hAnsi="Arial"/>
          <w:sz w:val="18"/>
          <w:szCs w:val="18"/>
          <w:i w:val="1"/>
          <w:iCs w:val="1"/>
          <w:color w:val="auto"/>
        </w:rPr>
        <w:t>Business Combination—Related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Sponsor Share Surrender and Share Restriction Agreement</w:t>
      </w:r>
      <w:r>
        <w:rPr>
          <w:rFonts w:ascii="Arial" w:cs="Arial" w:eastAsia="Arial" w:hAnsi="Arial"/>
          <w:sz w:val="18"/>
          <w:szCs w:val="18"/>
          <w:color w:val="auto"/>
        </w:rPr>
        <w:t>.”</w:t>
      </w:r>
    </w:p>
    <w:p>
      <w:pPr>
        <w:spacing w:after="0" w:line="203"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We amended and restated the existing registration rights agreement with the Sponsor by entering into an amended and restated registration rights agreement (the “</w:t>
      </w:r>
      <w:r>
        <w:rPr>
          <w:rFonts w:ascii="Arial" w:cs="Arial" w:eastAsia="Arial" w:hAnsi="Arial"/>
          <w:sz w:val="17"/>
          <w:szCs w:val="17"/>
          <w:u w:val="single" w:color="auto"/>
          <w:color w:val="auto"/>
        </w:rPr>
        <w:t>Amended and Restated Registration Rights Agreement</w:t>
      </w:r>
      <w:r>
        <w:rPr>
          <w:rFonts w:ascii="Arial" w:cs="Arial" w:eastAsia="Arial" w:hAnsi="Arial"/>
          <w:sz w:val="17"/>
          <w:szCs w:val="17"/>
          <w:color w:val="auto"/>
        </w:rPr>
        <w:t>”) with the RRA Parties with respect to the shares of our Class A common stock and certain other equity securities held by the RRA Parties. The Amended and Restated Registration Rights Agreement requires us to, among other things, file with the SEC a resale shelf registration statement pursuant to Rule 415 under the Securities Act on behalf of the RRA Parties within 30 business days after the Closing (the “</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If the Shelf Registration Statement becomes unavailable once it is declared effective, the RRA Parties will have certain demand registration rights.</w:t>
      </w:r>
    </w:p>
    <w:p>
      <w:pPr>
        <w:spacing w:after="0" w:line="19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Upon expiration of the lockup periods set forth in the Sponsor Share Surrender and Share Restriction Agreement, as amended, and the Sponsor Lock-Up Agreement applicable to shares of our Class A common stock held by our stockholders or FTIV’s initial stockholders and, in the case of FTIV’s initial stockholders, the effectiveness of the registration statement of which this prospectus is a part, these parties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8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a privately held company, PWP had not been required to comply with many corporate governance and financial reporting practices and policies required of a publicly traded company. As a publicly traded company, we will incur significant legal, accounting and other expenses that PWP was not required to incur in the past. These expenses will increase once we are no longer an “emerging growth company” as defined under the JOBS Act. In addition, new and changing laws, regulations and standards relating to corporate governance and public disclosure for public companies, including Dodd Frank,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208" w:lineRule="exact"/>
        <w:rPr>
          <w:sz w:val="20"/>
          <w:szCs w:val="20"/>
          <w:color w:val="auto"/>
        </w:rPr>
      </w:pPr>
    </w:p>
    <w:p>
      <w:pPr>
        <w:ind w:left="120" w:right="900" w:firstLine="551"/>
        <w:spacing w:after="0" w:line="246" w:lineRule="auto"/>
        <w:rPr>
          <w:sz w:val="20"/>
          <w:szCs w:val="20"/>
          <w:color w:val="auto"/>
        </w:rPr>
      </w:pPr>
      <w:r>
        <w:rPr>
          <w:rFonts w:ascii="Arial" w:cs="Arial" w:eastAsia="Arial" w:hAnsi="Arial"/>
          <w:sz w:val="18"/>
          <w:szCs w:val="18"/>
          <w:color w:val="auto"/>
        </w:rPr>
        <w:t>For as long as we remain an “emerging growth company” as defined in the JOBS Act, we may take advantage of certain exemptions from various reporting requirements that are applicable to other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public companies that are not “emerging growth companies.” We may remain an “emerging growth company” until September 29,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28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6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2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89"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Class A common stock on the Nasdaq.</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Commencing with our annual report for the year ended December 31, 2021, we will be required to provide management’s attestation on internal controls. The standards required for a public company under Section 404 of the Sarbanes-Oxley Act are significantly more stringent than those required of PWP as a privately-held company. Management may not be able to effectively and timely implement controls and procedures that adequately respond to the increased regulatory compliance and reporting requirements that are now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Class A common stock.</w:t>
      </w:r>
    </w:p>
    <w:p>
      <w:pPr>
        <w:spacing w:after="0" w:line="20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resulted in a material misstatement of its warrant liabilities and related financial disclosures for the affected periods. As the accounting acquirer in the Business Combination, we inherited this material weakness and the warrants.</w:t>
      </w:r>
    </w:p>
    <w:p>
      <w:pPr>
        <w:spacing w:after="0" w:line="20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20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can give no assurance that the measures FTIV has taken and that we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8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8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21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83"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7"/>
          <w:szCs w:val="17"/>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w:t>
      </w:r>
    </w:p>
    <w:p>
      <w:pPr>
        <w:spacing w:after="0" w:line="2" w:lineRule="exact"/>
        <w:rPr>
          <w:sz w:val="20"/>
          <w:szCs w:val="20"/>
          <w:color w:val="auto"/>
        </w:rPr>
      </w:pPr>
    </w:p>
    <w:p>
      <w:pPr>
        <w:ind w:left="120" w:right="300" w:hanging="4"/>
        <w:spacing w:after="0" w:line="246" w:lineRule="auto"/>
        <w:tabs>
          <w:tab w:leader="none" w:pos="3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of directors have compensation and nominating and corporate governance committees composed entirely of independent directors.</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28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The classification of our board of directors may have anti-takeover effects, including discouraging, delaying or preventing our change of control.</w:t>
      </w:r>
    </w:p>
    <w:p>
      <w:pPr>
        <w:spacing w:after="0" w:line="68"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19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Second Amended and Restated Certificate of Incorporation will provide that, subject to the rights, if any, of the holders of shares of preferred stock then outstanding, directors may be removed from office at any time, with or without cause, by the affirmative vote of at least two -thirds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 See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p>
      <w:pPr>
        <w:spacing w:after="0" w:line="206" w:lineRule="exact"/>
        <w:rPr>
          <w:sz w:val="20"/>
          <w:szCs w:val="20"/>
          <w:color w:val="auto"/>
        </w:rPr>
      </w:pPr>
    </w:p>
    <w:p>
      <w:pPr>
        <w:jc w:val="both"/>
        <w:ind w:left="120" w:right="20" w:firstLine="551"/>
        <w:spacing w:after="0" w:line="238"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Similarly, our U.K. subsidiary, Perella Weinberg UK Limited (“</w:t>
      </w:r>
      <w:r>
        <w:rPr>
          <w:rFonts w:ascii="Arial" w:cs="Arial" w:eastAsia="Arial" w:hAnsi="Arial"/>
          <w:sz w:val="18"/>
          <w:szCs w:val="18"/>
          <w:u w:val="single" w:color="auto"/>
          <w:color w:val="auto"/>
        </w:rPr>
        <w:t>PWP U.K.</w:t>
      </w:r>
      <w:r>
        <w:rPr>
          <w:rFonts w:ascii="Arial" w:cs="Arial" w:eastAsia="Arial" w:hAnsi="Arial"/>
          <w:sz w:val="18"/>
          <w:szCs w:val="18"/>
          <w:color w:val="auto"/>
        </w:rPr>
        <w:t>”),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291"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88"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Our Second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w:t>
      </w:r>
    </w:p>
    <w:p>
      <w:pPr>
        <w:spacing w:after="0" w:line="5" w:lineRule="exact"/>
        <w:rPr>
          <w:sz w:val="20"/>
          <w:szCs w:val="20"/>
          <w:color w:val="auto"/>
        </w:rPr>
      </w:pPr>
    </w:p>
    <w:p>
      <w:pPr>
        <w:ind w:left="120" w:hanging="4"/>
        <w:spacing w:after="0"/>
        <w:tabs>
          <w:tab w:leader="none" w:pos="3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a court or forum other than the Court of Chancery, (C) for which the Court of Chancery does not have subject matter jurisdiction, or</w:t>
      </w:r>
    </w:p>
    <w:p>
      <w:pPr>
        <w:ind w:left="120" w:right="20" w:hanging="4"/>
        <w:spacing w:after="0" w:line="235"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Second Amended and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w:t>
      </w:r>
      <w:r>
        <w:rPr>
          <w:rFonts w:ascii="Arial" w:cs="Arial" w:eastAsia="Arial" w:hAnsi="Arial"/>
          <w:sz w:val="18"/>
          <w:szCs w:val="18"/>
          <w:u w:val="single" w:color="auto"/>
          <w:color w:val="auto"/>
        </w:rPr>
        <w:t>foreign action</w:t>
      </w:r>
      <w:r>
        <w:rPr>
          <w:rFonts w:ascii="Arial" w:cs="Arial" w:eastAsia="Arial" w:hAnsi="Arial"/>
          <w:sz w:val="18"/>
          <w:szCs w:val="18"/>
          <w:color w:val="auto"/>
        </w:rPr>
        <w:t>”)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All of the securities offered by the Selling Holders pursuant to this prospectus will be sold by the Selling Holders for their respective accounts. We will not receive any of the proceeds from these sales. We will receive up to an aggregate of approximately $90,505,000 from the exercise of all public warrants and private placement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expect to declare and pay dividends in such amounts as to provide an initial annual dividend yield to our stockholders of approximately 2%, subject to the determination by our Board of Directors that (i) such dividends are permitted by applicable law and (ii) 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our Board of Directors and depends on various factors including our results of operations, financial condition, cash requirements, prospects and other factors deemed relevant by our Board of Directors. We cannot assure you that we will not reduce or eliminate dividends in the future.</w:t>
      </w:r>
    </w:p>
    <w:p>
      <w:pPr>
        <w:spacing w:after="0" w:line="21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34"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unaudited pro forma condensed combined statement of financial condition as of March 31, 2021, combines the unaudited condensed balance sheet of FTIV as of March 31, 2021 with the unaudited condensed consolidated statement of financial condition of PWP OpCo as of March 31, 2021, giving effect to the Business Combination and related adjustments as if they had been consummated on that date.</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combines the audited statement of operations of FTIV for the year ended December 31, 2020 with the audited consolidated statement of operations of PWP OpCo for the year ended December 31, 2020. The unaudited pro forma condensed combined statement of operations for the three months ended March 31, 2021 combines the unaudited condensed statement of operations of FTIV for the three months ended March 31, 2021 with the unaudited condensed consolidated statement of operations of PWP OpCo for the three months ended March 31, 2021. The unaudited pro forma condensed combined statement of operations give effect to the business combination and related adjustments as if they had been consummated on January 1, 2020.</w:t>
      </w:r>
    </w:p>
    <w:p>
      <w:pPr>
        <w:spacing w:after="0" w:line="203"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102" w:lineRule="exact"/>
        <w:rPr>
          <w:sz w:val="20"/>
          <w:szCs w:val="20"/>
          <w:color w:val="auto"/>
        </w:rPr>
      </w:pPr>
    </w:p>
    <w:p>
      <w:pPr>
        <w:ind w:left="880" w:right="16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three months ended March 31, 2021 and the historical audited financial statements of FTIV as of and for the year ended December 31, 2020; and</w:t>
      </w:r>
    </w:p>
    <w:p>
      <w:pPr>
        <w:spacing w:after="0" w:line="102" w:lineRule="exact"/>
        <w:rPr>
          <w:rFonts w:ascii="Arial" w:cs="Arial" w:eastAsia="Arial" w:hAnsi="Arial"/>
          <w:sz w:val="18"/>
          <w:szCs w:val="18"/>
          <w:color w:val="auto"/>
        </w:rPr>
      </w:pPr>
    </w:p>
    <w:p>
      <w:pPr>
        <w:ind w:left="880" w:right="50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OpCo as of and for the three months ended March 31, 2021 and the historical audited consolidated financial statements of PWP OpCo as of and for the year ended December 31, 2020.</w:t>
      </w:r>
    </w:p>
    <w:p>
      <w:pPr>
        <w:spacing w:after="0" w:line="20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had the Transactions been consummated on the dates assumed or to project our consolidated results of operations or consolidated financial position for any future date or period.</w:t>
      </w:r>
    </w:p>
    <w:p>
      <w:pPr>
        <w:spacing w:after="0" w:line="190" w:lineRule="exact"/>
        <w:rPr>
          <w:sz w:val="20"/>
          <w:szCs w:val="20"/>
          <w:color w:val="auto"/>
        </w:rPr>
      </w:pPr>
    </w:p>
    <w:p>
      <w:pPr>
        <w:jc w:val="both"/>
        <w:ind w:left="120" w:right="460" w:firstLine="551"/>
        <w:spacing w:after="0" w:line="250"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w:t>
      </w:r>
      <w:r>
        <w:rPr>
          <w:rFonts w:ascii="Arial" w:cs="Arial" w:eastAsia="Arial" w:hAnsi="Arial"/>
          <w:sz w:val="18"/>
          <w:szCs w:val="18"/>
          <w:i w:val="1"/>
          <w:iCs w:val="1"/>
          <w:color w:val="auto"/>
        </w:rPr>
        <w:t>PWP’s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and other financial information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17" w:lineRule="exact"/>
        <w:rPr>
          <w:sz w:val="20"/>
          <w:szCs w:val="20"/>
          <w:color w:val="auto"/>
        </w:rPr>
      </w:pPr>
    </w:p>
    <w:p>
      <w:pPr>
        <w:ind w:left="1300" w:right="560" w:hanging="644"/>
        <w:spacing w:after="0" w:line="24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17" w:lineRule="exact"/>
        <w:rPr>
          <w:rFonts w:ascii="Arial" w:cs="Arial" w:eastAsia="Arial" w:hAnsi="Arial"/>
          <w:sz w:val="18"/>
          <w:szCs w:val="18"/>
          <w:color w:val="auto"/>
        </w:rPr>
      </w:pPr>
    </w:p>
    <w:p>
      <w:pPr>
        <w:ind w:left="1300" w:right="160" w:hanging="644"/>
        <w:spacing w:after="0" w:line="238"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to be issued to PWP OpCo equal the number of common units of PWP OpCo that will be held by Professional Partners and ILPs, respectively, following the Closing; and</w:t>
      </w:r>
    </w:p>
    <w:p>
      <w:pPr>
        <w:spacing w:after="0" w:line="107" w:lineRule="exact"/>
        <w:rPr>
          <w:rFonts w:ascii="Arial" w:cs="Arial" w:eastAsia="Arial" w:hAnsi="Arial"/>
          <w:sz w:val="18"/>
          <w:szCs w:val="18"/>
          <w:color w:val="auto"/>
        </w:rPr>
      </w:pPr>
    </w:p>
    <w:p>
      <w:pPr>
        <w:ind w:left="1300" w:right="16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203"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7"/>
          <w:szCs w:val="17"/>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89"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At the Closing, the Company entered into a Tax Receivable Agreement with PWP OpCo, Professional Partners and certain other persons party thereto. The Tax Receivable Agreement generally provides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the ownership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Party</w:t>
            </w:r>
          </w:p>
        </w:tc>
        <w:tc>
          <w:tcPr>
            <w:tcW w:w="91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 #</w:t>
            </w: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FTIV Public Shareholders</w:t>
            </w: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2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23,000</w:t>
            </w:r>
          </w:p>
        </w:tc>
        <w:tc>
          <w:tcPr>
            <w:tcW w:w="160" w:type="dxa"/>
            <w:vAlign w:val="bottom"/>
            <w:vMerge w:val="continue"/>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3"/>
        </w:trPr>
        <w:tc>
          <w:tcPr>
            <w:tcW w:w="9520" w:type="dxa"/>
            <w:vAlign w:val="bottom"/>
            <w:gridSpan w:val="2"/>
          </w:tcPr>
          <w:p>
            <w:pPr>
              <w:spacing w:after="0" w:line="202" w:lineRule="exact"/>
              <w:rPr>
                <w:sz w:val="20"/>
                <w:szCs w:val="20"/>
                <w:color w:val="auto"/>
              </w:rPr>
            </w:pPr>
            <w:r>
              <w:rPr>
                <w:rFonts w:ascii="Arial" w:cs="Arial" w:eastAsia="Arial" w:hAnsi="Arial"/>
                <w:sz w:val="18"/>
                <w:szCs w:val="18"/>
                <w:color w:val="auto"/>
              </w:rPr>
              <w:t>Shares held by Sponsor and other holders of founder shares*</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7,457</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9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FTIV</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30,457</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418"/>
        </w:trPr>
        <w:tc>
          <w:tcPr>
            <w:tcW w:w="9520" w:type="dxa"/>
            <w:vAlign w:val="bottom"/>
            <w:gridSpan w:val="2"/>
          </w:tcPr>
          <w:p>
            <w:pPr>
              <w:spacing w:after="0"/>
              <w:rPr>
                <w:sz w:val="20"/>
                <w:szCs w:val="20"/>
                <w:color w:val="auto"/>
              </w:rPr>
            </w:pPr>
            <w:r>
              <w:rPr>
                <w:rFonts w:ascii="Arial" w:cs="Arial" w:eastAsia="Arial" w:hAnsi="Arial"/>
                <w:sz w:val="18"/>
                <w:szCs w:val="18"/>
                <w:color w:val="auto"/>
              </w:rPr>
              <w:t>Professional Partners and ILPs**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50,154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3"/>
        </w:trPr>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PIPE</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12,500</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952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gridSpan w:val="2"/>
          </w:tcPr>
          <w:p>
            <w:pPr>
              <w:spacing w:after="0"/>
              <w:rPr>
                <w:sz w:val="20"/>
                <w:szCs w:val="20"/>
                <w:color w:val="auto"/>
              </w:rPr>
            </w:pPr>
            <w:r>
              <w:rPr>
                <w:rFonts w:ascii="Arial" w:cs="Arial" w:eastAsia="Arial" w:hAnsi="Arial"/>
                <w:sz w:val="18"/>
                <w:szCs w:val="18"/>
                <w:color w:val="auto"/>
              </w:rPr>
              <w:t>Total shares outstanding at Closing</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93,111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Class B-1 and B-2 Shares***</w:t>
            </w:r>
          </w:p>
        </w:tc>
        <w:tc>
          <w:tcPr>
            <w:tcW w:w="7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50,154</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hanging="54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100% of Founders Shares, including those subject to performance targets.</w:t>
      </w:r>
    </w:p>
    <w:p>
      <w:pPr>
        <w:ind w:left="660" w:right="220" w:hanging="544"/>
        <w:spacing w:after="0" w:line="24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attributed to Professional Partners and ILPs represent ownership in the form of PWP OpCo Class A partnership units, which are exchangeable into Perella Weinberg Partners Class A</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660" w:right="480"/>
        <w:spacing w:after="0" w:line="234" w:lineRule="auto"/>
        <w:rPr>
          <w:sz w:val="20"/>
          <w:szCs w:val="20"/>
          <w:color w:val="auto"/>
        </w:rPr>
      </w:pPr>
      <w:r>
        <w:rPr>
          <w:rFonts w:ascii="Arial" w:cs="Arial" w:eastAsia="Arial" w:hAnsi="Arial"/>
          <w:sz w:val="18"/>
          <w:szCs w:val="18"/>
          <w:color w:val="auto"/>
        </w:rPr>
        <w:t>common stock on a one for one basis. As Class B-1 and Class B-2 shares have de minimis economic rights, they have been excluded from the calculations in this table of Class A common stock issued upon exchange of PWP OpCo Units and Class B shares.</w:t>
      </w:r>
    </w:p>
    <w:p>
      <w:pPr>
        <w:spacing w:after="0" w:line="2" w:lineRule="exact"/>
        <w:rPr>
          <w:sz w:val="20"/>
          <w:szCs w:val="20"/>
          <w:color w:val="auto"/>
        </w:rPr>
      </w:pPr>
    </w:p>
    <w:p>
      <w:pPr>
        <w:ind w:left="660" w:right="120" w:hanging="544"/>
        <w:spacing w:after="0" w:line="23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 B-1 and Class B-2 shares were issued, with the Class B-1 common stock being owned by Professional Partners and the Class B-2 common stock being owned by certain ILPs. Class B-1 shares carry 10 votes per share and B-2 shares carry 1 vote per share. As these shares have de minimis economic and participating rights, they have been excluded from the calculation of earnings per share.</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234"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FTIV, who is the legal acquirer, will be treated as the “acquired” company for financial reporting purposes and PWP will be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will be treated as the equivalent of a capital transaction in which PWP is issuing stock for the net assets of FTIV. The net assets of FTIV will be stated at historical cost, with no goodwill or other intangible assets recorded.</w:t>
      </w:r>
    </w:p>
    <w:p>
      <w:pPr>
        <w:spacing w:after="0" w:line="20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The Business Combination was structured such that, among other things, FTIV acquired a minority partnership interest in PWP OpCo, Professional Partners and certain investor limited partners of PWP OpCo together acquired a majority voting interest in Perella Weinberg Partners and PWP OpCo, following the Closing, serves as the operating partnership as part of an umbrella limited partnership C- corporation structure. The portion of the consolidated subsidiaries not owned by Perella Weinberg Partners is based on the shares held by Professional Partners and ILPs as depicted in the Capitalization table above and any balances and related activity will be classified as noncontrolling interests in the consolidated statement of financial condition and net income (loss) attributable to noncontrolling interest in the consolidated statement of operations in accordance with ASC 810, </w:t>
      </w:r>
      <w:r>
        <w:rPr>
          <w:rFonts w:ascii="Arial" w:cs="Arial" w:eastAsia="Arial" w:hAnsi="Arial"/>
          <w:sz w:val="18"/>
          <w:szCs w:val="18"/>
          <w:i w:val="1"/>
          <w:iCs w:val="1"/>
          <w:color w:val="auto"/>
        </w:rPr>
        <w:t>Consolidation.</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Basis of Pro Forma Presentation</w:t>
      </w:r>
    </w:p>
    <w:p>
      <w:pPr>
        <w:spacing w:after="0" w:line="234"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The adjustments in the unaudited pro forma condensed combined financial information have been identified and presented to provide relevant information necessary for an accurate understanding of the combined entity upon the Closing.</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 Receivable Agreement</w:t>
      </w:r>
    </w:p>
    <w:p>
      <w:pPr>
        <w:spacing w:after="0" w:line="23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In connection with the Closing, the Company entered into a Tax Receivable Agreement with PWP OpCo, Professional Partners and certain other persons party thereto that will generally provide for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Due to the uncertainty in the amount and timing of future exchanges of PWP OpCo Class A partnership units by the holders of such PWP OpCo Class A partnership units, the unaudited pro forma condensed combined financial information reflects a deferred tax asset and related Tax Receivable Agreement liability of approximately $14.1 million and $12.1 million respectively, for the exchanges pursuant to the Business Combination Agreement, which was 10,905,801 units.</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and ILPs, no increases in tax basis in PWP’s assets or other tax benefits that may be realized from such additional future exchanges have been assumed in the unaudited pro forma condensed combined financial information. However, if all of the Limited Partners and ILPs were to exchange their PWP OpCo Class A partnership units, Perella Weinberg Partners would recognize an incremental deferred tax asset relating to such exchanges of approximately $157.9 million and a liability of approximately $134.2 million, assuming (i) all exchanges occurred on the same day; (ii) a price of $ 10.00 per share; (iii) a constant corporate tax rate of 25.000%; (iv) the Company will have sufficient taxable income to fully utilize the tax benefits; and (v) no material changes in tax law. For each 5% increase in the amount of PWP OpCo Class A partnership units exchanged by the Limited Partners and ILPs (e.g., as a result of an increase whereby the Limited Partners and ILPs exchanged 5% of their PWP OpCo Class A partnership units, rather than 0% of their PWP OpCo Class A partnership units), Perella Weinberg Partners’ deferred tax asset would increase by approximately $7.9 million and the related liability would increase by approximately $6.7 million, assuming that the price per share and corporate tax rate remain the same. These amounts are estimates and have been prepared for informational purposes only. The actual amount of deferred tax assets and related liabilities that Perella Weinberg Partners will recognize will differ based on, among other things, the timing of the exchanges, the price of its shares of Perella Weinberg Partners Class A common stock at the time of the exchange, and the tax rates then in effect.</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Events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w:t>
      </w:r>
      <w:r>
        <w:rPr>
          <w:rFonts w:ascii="Arial" w:cs="Arial" w:eastAsia="Arial" w:hAnsi="Arial"/>
          <w:sz w:val="18"/>
          <w:szCs w:val="18"/>
          <w:u w:val="single" w:color="auto"/>
          <w:color w:val="auto"/>
        </w:rPr>
        <w:t>ACUs</w:t>
      </w:r>
      <w:r>
        <w:rPr>
          <w:rFonts w:ascii="Arial" w:cs="Arial" w:eastAsia="Arial" w:hAnsi="Arial"/>
          <w:sz w:val="18"/>
          <w:szCs w:val="18"/>
          <w:color w:val="auto"/>
        </w:rPr>
        <w:t>”) and value capital units (“</w:t>
      </w:r>
      <w:r>
        <w:rPr>
          <w:rFonts w:ascii="Arial" w:cs="Arial" w:eastAsia="Arial" w:hAnsi="Arial"/>
          <w:sz w:val="18"/>
          <w:szCs w:val="18"/>
          <w:u w:val="single" w:color="auto"/>
          <w:color w:val="auto"/>
        </w:rPr>
        <w:t>VCUs</w:t>
      </w:r>
      <w:r>
        <w:rPr>
          <w:rFonts w:ascii="Arial" w:cs="Arial" w:eastAsia="Arial" w:hAnsi="Arial"/>
          <w:sz w:val="18"/>
          <w:szCs w:val="18"/>
          <w:color w:val="auto"/>
        </w:rPr>
        <w:t>”), which represent equity awards of Professional Partners, have been granted and equity-based compensation in accordance with ASC 718 will be recorded, which has been reflected in the unaudited pro forma condensed combined financial information. The equity-based compensation related to the ACUs and VCUs will not result in incremental dilution to Perella Weinberg Partners shareholders relative to Professional Partners, as the vesting of ACUs and VCUs will have no impact to Professional Partners’ interest in PWP OpCo. As a result, equity-based compensation related to the ACUs and VCUs has been fully attributed to noncontrolling interest in the unaudited pro forma condensed combined financial information. The unaudited pro forma condensed combined financial information does not reflect the impact of certain awards expected to be granted to management of Perella Weinberg Partners after completion of the Business Combination as the terms of such awards have not been finalized.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and the payment of “monetization equity” interests previously granted to certain US and non-US employees due and contingent upon completion of the business combination.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9" w:right="5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2021</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Accounting</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6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FTIV</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PWP</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7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Combined</w:t>
            </w:r>
          </w:p>
        </w:tc>
        <w:tc>
          <w:tcPr>
            <w:tcW w:w="120" w:type="dxa"/>
            <w:vAlign w:val="bottom"/>
            <w:tcBorders>
              <w:bottom w:val="single" w:sz="8" w:color="CCEEFF"/>
            </w:tcBorders>
          </w:tcPr>
          <w:p>
            <w:pPr>
              <w:spacing w:after="0"/>
              <w:rPr>
                <w:sz w:val="15"/>
                <w:szCs w:val="15"/>
                <w:color w:val="auto"/>
              </w:rPr>
            </w:pPr>
          </w:p>
        </w:tc>
      </w:tr>
      <w:tr>
        <w:trPr>
          <w:trHeight w:val="183"/>
        </w:trPr>
        <w:tc>
          <w:tcPr>
            <w:tcW w:w="62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Assets</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80"/>
              <w:spacing w:after="0" w:line="183" w:lineRule="exact"/>
              <w:rPr>
                <w:sz w:val="20"/>
                <w:szCs w:val="20"/>
                <w:color w:val="auto"/>
              </w:rPr>
            </w:pPr>
            <w:r>
              <w:rPr>
                <w:rFonts w:ascii="Arial" w:cs="Arial" w:eastAsia="Arial" w:hAnsi="Arial"/>
                <w:sz w:val="16"/>
                <w:szCs w:val="16"/>
                <w:color w:val="auto"/>
              </w:rPr>
              <w:t>(a)</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80"/>
              <w:spacing w:after="0" w:line="183" w:lineRule="exact"/>
              <w:rPr>
                <w:sz w:val="20"/>
                <w:szCs w:val="20"/>
                <w:color w:val="auto"/>
              </w:rPr>
            </w:pPr>
            <w:r>
              <w:rPr>
                <w:rFonts w:ascii="Arial" w:cs="Arial" w:eastAsia="Arial" w:hAnsi="Arial"/>
                <w:sz w:val="16"/>
                <w:szCs w:val="16"/>
                <w:color w:val="auto"/>
              </w:rPr>
              <w:t>(b)</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824</w:t>
            </w:r>
          </w:p>
        </w:tc>
        <w:tc>
          <w:tcPr>
            <w:tcW w:w="28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197,189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230,012(c)</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218,363</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125,000(d)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(189,363)(h)</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(109,167)(e)</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(35,173)(f)</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(959)(g)</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Investments held in Trust Account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230,012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(230,012)(c)</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1,836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1,836</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Accounts Receivable, net of allowance</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62,704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62,704</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Due from related parties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1,570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1,570</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Fixed assets, net of accumulated depreciation and amortization</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15,317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15,317</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 of accumulated amortization</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37,287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37,287</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34,383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34,383</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28,497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(13,313)(f)</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15,462</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Right—of—use lease assets</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49,235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49,235</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1,071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14,140(i)</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15,211</w:t>
            </w:r>
          </w:p>
        </w:tc>
      </w:t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24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231,114</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429,089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6"/>
                <w:szCs w:val="16"/>
                <w:color w:val="auto"/>
              </w:rPr>
              <w:t>(208,835)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451,368</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Partners’ Capital / Stockholders’ Equity</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Accrued compensation and benefits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83,708</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83,708</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Deferred compensation programs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17,244</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17,244</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Accounts payable, deferred revenue, accrued expenses and other liabilities</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1,319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32,598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(8,975)(f)</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24,942</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53,897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53,897</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Warrant liabilities</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11,609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11,609</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Debt, net of unamortized debt discounts and issuance costs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6"/>
              </w:rPr>
              <w:t>147,999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(147,999)(h)</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Deferred underwriting fee payable</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9,800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(9,800)(f)</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Tax receivable agreement liability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12,100(j)</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12,100</w:t>
            </w:r>
          </w:p>
        </w:tc>
      </w:t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24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22,728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335,446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6"/>
                <w:szCs w:val="16"/>
                <w:color w:val="auto"/>
              </w:rPr>
              <w:t>(154,674)</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203,500</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Class A Common stock subject to possible redemption</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203,386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(203,386)(k)</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Common stock, Class A</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2(k)</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1(d)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1(l)</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Common stock, Class B</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(1)(l)</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5(k)</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Additional paid—in—capital</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5,202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124,999(d)</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136,926</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2,040(o)</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203,379(k)</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(27,577)(f)</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(157,488)(m)</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(203)(n)</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(109,167)(e)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95,741(p)</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Retained earnings / Accumulated deficit</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203(n)</w:t>
            </w: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(20,510)</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(19,083)(h)</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(985)(f)</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(442)(g)</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Partners’ capital</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95,741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(95,741)(p)</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41,364(p)</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(41,364)(h)</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1,130(q)</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(968)</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(1,130)(q)</w:t>
            </w:r>
          </w:p>
        </w:tc>
        <w:tc>
          <w:tcPr>
            <w:tcW w:w="1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132,411</w:t>
            </w: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(22,281)(h)</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(1,149)(f)</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(517)(g)</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157,488(m)</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partners’ capital / stockholders’ equity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93,643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149,225</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247,868</w:t>
            </w:r>
          </w:p>
        </w:tc>
      </w:t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40" w:type="dxa"/>
            <w:vAlign w:val="bottom"/>
          </w:tcPr>
          <w:p>
            <w:pPr>
              <w:ind w:left="320"/>
              <w:spacing w:after="0"/>
              <w:rPr>
                <w:sz w:val="20"/>
                <w:szCs w:val="20"/>
                <w:color w:val="auto"/>
              </w:rPr>
            </w:pPr>
            <w:r>
              <w:rPr>
                <w:rFonts w:ascii="Arial" w:cs="Arial" w:eastAsia="Arial" w:hAnsi="Arial"/>
                <w:sz w:val="16"/>
                <w:szCs w:val="16"/>
                <w:color w:val="auto"/>
              </w:rPr>
              <w:t>Total liabilities and partners’ capital / stockholders’ equity</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231,114</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429,089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6"/>
                <w:szCs w:val="16"/>
                <w:color w:val="auto"/>
              </w:rPr>
              <w:t>(208,835)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451,368</w:t>
            </w:r>
          </w:p>
        </w:tc>
      </w:t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9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140"/>
          </w:cols>
          <w:pgMar w:left="320" w:top="459" w:right="4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560"/>
        <w:spacing w:after="0" w:line="253"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Accounting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Pro Forma</w:t>
            </w:r>
          </w:p>
        </w:tc>
      </w:tr>
      <w:tr>
        <w:trPr>
          <w:trHeight w:val="175"/>
        </w:trPr>
        <w:tc>
          <w:tcPr>
            <w:tcW w:w="5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FTIV</w:t>
            </w:r>
          </w:p>
        </w:tc>
        <w:tc>
          <w:tcPr>
            <w:tcW w:w="600" w:type="dxa"/>
            <w:vAlign w:val="bottom"/>
          </w:tcPr>
          <w:p>
            <w:pPr>
              <w:spacing w:after="0"/>
              <w:rPr>
                <w:sz w:val="15"/>
                <w:szCs w:val="15"/>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PWP</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Adjustment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Combined</w:t>
            </w:r>
          </w:p>
        </w:tc>
        <w:tc>
          <w:tcPr>
            <w:tcW w:w="400" w:type="dxa"/>
            <w:vAlign w:val="bottom"/>
          </w:tcPr>
          <w:p>
            <w:pPr>
              <w:spacing w:after="0"/>
              <w:rPr>
                <w:sz w:val="15"/>
                <w:szCs w:val="15"/>
                <w:color w:val="auto"/>
              </w:rPr>
            </w:pPr>
          </w:p>
        </w:tc>
      </w:tr>
      <w:tr>
        <w:trPr>
          <w:trHeight w:val="156"/>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980"/>
              <w:spacing w:after="0" w:line="155" w:lineRule="exact"/>
              <w:rPr>
                <w:sz w:val="20"/>
                <w:szCs w:val="20"/>
                <w:color w:val="auto"/>
              </w:rPr>
            </w:pPr>
            <w:r>
              <w:rPr>
                <w:rFonts w:ascii="Arial" w:cs="Arial" w:eastAsia="Arial" w:hAnsi="Arial"/>
                <w:sz w:val="14"/>
                <w:szCs w:val="14"/>
                <w:color w:val="auto"/>
              </w:rPr>
              <w:t>(a)</w:t>
            </w:r>
          </w:p>
        </w:tc>
        <w:tc>
          <w:tcPr>
            <w:tcW w:w="10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(b)</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$518,986</w:t>
            </w: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518,986</w:t>
            </w: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Expenses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Compensation and benefits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374,332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374,332</w:t>
            </w: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24,815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37,144(hh)</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125,942</w:t>
            </w: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959(ll)</w:t>
            </w: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03"/>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63,024(cc)</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89"/>
        </w:trPr>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compensation and benefits</w:t>
            </w: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399,147</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101,127</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500,274</w:t>
            </w: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Professional fees</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42,880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2,134(mm)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45,014</w:t>
            </w: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infrastructure</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27,281</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27,281</w:t>
            </w: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Rent and occupancy</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27,958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27,958</w:t>
            </w: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Travel and related expenses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5,725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5,725</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General, administrative and other expenses</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1,025</w:t>
            </w:r>
          </w:p>
        </w:tc>
        <w:tc>
          <w:tcPr>
            <w:tcW w:w="680" w:type="dxa"/>
            <w:vAlign w:val="bottom"/>
          </w:tcPr>
          <w:p>
            <w:pPr>
              <w:jc w:val="right"/>
              <w:spacing w:after="0"/>
              <w:rPr>
                <w:sz w:val="20"/>
                <w:szCs w:val="20"/>
                <w:color w:val="auto"/>
              </w:rPr>
            </w:pPr>
            <w:r>
              <w:rPr>
                <w:rFonts w:ascii="Arial" w:cs="Arial" w:eastAsia="Arial" w:hAnsi="Arial"/>
                <w:sz w:val="16"/>
                <w:szCs w:val="16"/>
                <w:color w:val="auto"/>
              </w:rPr>
              <w:t>15,060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16,085</w:t>
            </w: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400" w:type="dxa"/>
            <w:vAlign w:val="bottom"/>
            <w:shd w:val="clear" w:color="auto" w:fill="CCEEFF"/>
          </w:tcPr>
          <w:p>
            <w:pPr>
              <w:spacing w:after="0"/>
              <w:rPr>
                <w:sz w:val="16"/>
                <w:szCs w:val="16"/>
                <w:color w:val="auto"/>
              </w:rPr>
            </w:pPr>
          </w:p>
        </w:tc>
      </w:tr>
      <w:tr>
        <w:trPr>
          <w:trHeight w:val="203"/>
        </w:trPr>
        <w:tc>
          <w:tcPr>
            <w:tcW w:w="5180" w:type="dxa"/>
            <w:vAlign w:val="bottom"/>
          </w:tcPr>
          <w:p>
            <w:pPr>
              <w:ind w:left="320"/>
              <w:spacing w:after="0"/>
              <w:rPr>
                <w:sz w:val="20"/>
                <w:szCs w:val="20"/>
                <w:color w:val="auto"/>
              </w:rPr>
            </w:pPr>
            <w:r>
              <w:rPr>
                <w:rFonts w:ascii="Arial" w:cs="Arial" w:eastAsia="Arial" w:hAnsi="Arial"/>
                <w:sz w:val="16"/>
                <w:szCs w:val="16"/>
                <w:color w:val="auto"/>
              </w:rPr>
              <w:t>Total expenses</w:t>
            </w: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1,025</w:t>
            </w:r>
          </w:p>
        </w:tc>
        <w:tc>
          <w:tcPr>
            <w:tcW w:w="6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533,582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103,261</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637,868</w:t>
            </w:r>
          </w:p>
        </w:tc>
        <w:tc>
          <w:tcPr>
            <w:tcW w:w="400" w:type="dxa"/>
            <w:vAlign w:val="bottom"/>
          </w:tcPr>
          <w:p>
            <w:pPr>
              <w:spacing w:after="0"/>
              <w:rPr>
                <w:sz w:val="17"/>
                <w:szCs w:val="17"/>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(1,025)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(14,596)</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(103,261)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(118,882)</w:t>
            </w:r>
          </w:p>
        </w:tc>
      </w:tr>
      <w:tr>
        <w:trPr>
          <w:trHeight w:val="20"/>
        </w:trPr>
        <w:tc>
          <w:tcPr>
            <w:tcW w:w="5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Related party revenues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9,263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color w:val="auto"/>
              </w:rPr>
              <w:t>9,263</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(6)(ii)</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Change in fair value of warrants</w:t>
            </w:r>
          </w:p>
        </w:tc>
        <w:tc>
          <w:tcPr>
            <w:tcW w:w="10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(3,235)</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(3,235)</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(850)</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(15,741)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15,741(dd)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(41,364)(kk)</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(41,179)</w:t>
            </w:r>
          </w:p>
        </w:tc>
      </w:tr>
      <w:tr>
        <w:trPr>
          <w:trHeight w:val="20"/>
        </w:trPr>
        <w:tc>
          <w:tcPr>
            <w:tcW w:w="5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00" w:type="dxa"/>
            <w:vAlign w:val="bottom"/>
          </w:tcPr>
          <w:p>
            <w:pPr>
              <w:spacing w:after="0"/>
              <w:rPr>
                <w:sz w:val="17"/>
                <w:szCs w:val="17"/>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(5,104)</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(20,889)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color w:val="auto"/>
              </w:rPr>
              <w:t>(128,890)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(154,883)</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(3,453)</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1,713(ee)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(1,740)</w:t>
            </w:r>
          </w:p>
        </w:tc>
      </w:tr>
      <w:tr>
        <w:trPr>
          <w:trHeight w:val="20"/>
        </w:trPr>
        <w:tc>
          <w:tcPr>
            <w:tcW w:w="5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180" w:type="dxa"/>
            <w:vAlign w:val="bottom"/>
          </w:tcPr>
          <w:p>
            <w:pPr>
              <w:ind w:left="320"/>
              <w:spacing w:after="0"/>
              <w:rPr>
                <w:sz w:val="20"/>
                <w:szCs w:val="20"/>
                <w:color w:val="auto"/>
              </w:rPr>
            </w:pPr>
            <w:r>
              <w:rPr>
                <w:rFonts w:ascii="Arial" w:cs="Arial" w:eastAsia="Arial" w:hAnsi="Arial"/>
                <w:sz w:val="16"/>
                <w:szCs w:val="16"/>
                <w:color w:val="auto"/>
              </w:rPr>
              <w:t>Net income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(5,104)</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 (24,342)</w:t>
            </w:r>
          </w:p>
        </w:tc>
        <w:tc>
          <w:tcPr>
            <w:tcW w:w="4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6"/>
                <w:szCs w:val="16"/>
                <w:color w:val="auto"/>
              </w:rPr>
              <w:t>(127,177)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(156,623)</w:t>
            </w:r>
          </w:p>
        </w:tc>
      </w:tr>
      <w:tr>
        <w:trPr>
          <w:trHeight w:val="27"/>
        </w:trPr>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Less: Net income (loss) attributable to noncontrolling interest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(34,657)(ff)</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(122,496)</w:t>
            </w:r>
          </w:p>
        </w:tc>
      </w:tr>
      <w:tr>
        <w:trPr>
          <w:trHeight w:val="189"/>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(24,815)(jj)</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(63,024)(cc)</w:t>
            </w: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03"/>
        </w:trPr>
        <w:tc>
          <w:tcPr>
            <w:tcW w:w="5180" w:type="dxa"/>
            <w:vAlign w:val="bottom"/>
          </w:tcPr>
          <w:p>
            <w:pPr>
              <w:ind w:left="320"/>
              <w:spacing w:after="0"/>
              <w:rPr>
                <w:sz w:val="20"/>
                <w:szCs w:val="20"/>
                <w:color w:val="auto"/>
              </w:rPr>
            </w:pPr>
            <w:r>
              <w:rPr>
                <w:rFonts w:ascii="Arial" w:cs="Arial" w:eastAsia="Arial" w:hAnsi="Arial"/>
                <w:sz w:val="16"/>
                <w:szCs w:val="16"/>
                <w:color w:val="auto"/>
              </w:rPr>
              <w:t>Net income (loss) attributable to Perella Weinberg Partners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(34,127)</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stock outstanding—Basic:</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Class A common stock</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w w:val="99"/>
              </w:rPr>
              <w:t>23,000,000</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color w:val="auto"/>
                <w:w w:val="99"/>
              </w:rPr>
              <w:t>44,480,947</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Class A and Class B non—redeemable common stock</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7,280,219</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1"/>
        </w:trPr>
        <w:tc>
          <w:tcPr>
            <w:tcW w:w="5180" w:type="dxa"/>
            <w:vAlign w:val="bottom"/>
          </w:tcPr>
          <w:p>
            <w:pPr>
              <w:spacing w:after="0"/>
              <w:rPr>
                <w:sz w:val="20"/>
                <w:szCs w:val="20"/>
                <w:color w:val="auto"/>
              </w:rPr>
            </w:pPr>
            <w:r>
              <w:rPr>
                <w:rFonts w:ascii="Arial" w:cs="Arial" w:eastAsia="Arial" w:hAnsi="Arial"/>
                <w:sz w:val="16"/>
                <w:szCs w:val="16"/>
                <w:color w:val="auto"/>
              </w:rPr>
              <w:t>Weighted average number of common stock outstanding—</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7"/>
        </w:trPr>
        <w:tc>
          <w:tcPr>
            <w:tcW w:w="5180" w:type="dxa"/>
            <w:vAlign w:val="bottom"/>
          </w:tcPr>
          <w:p>
            <w:pPr>
              <w:ind w:left="16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w w:val="99"/>
              </w:rPr>
              <w:t>23,000,000</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9"/>
              </w:rPr>
              <w:t>94,635,145</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Class A and Class B non—redeemable common stock</w:t>
            </w:r>
          </w:p>
        </w:tc>
        <w:tc>
          <w:tcPr>
            <w:tcW w:w="1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7,280,219</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share—Basic</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Class A common stock</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(0.77)(gg)</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Class A and Class B non—redeemable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(0.70)</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Net income (loss) per share—Diluted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(1.56)(gg)</w:t>
            </w: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Class A and Class B non—redeemable common stock</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(0.70)</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560"/>
        <w:spacing w:after="0" w:line="253" w:lineRule="auto"/>
        <w:rPr>
          <w:sz w:val="20"/>
          <w:szCs w:val="20"/>
          <w:color w:val="auto"/>
        </w:rPr>
      </w:pPr>
      <w:r>
        <w:rPr>
          <w:rFonts w:ascii="Arial" w:cs="Arial" w:eastAsia="Arial" w:hAnsi="Arial"/>
          <w:sz w:val="18"/>
          <w:szCs w:val="18"/>
          <w:b w:val="1"/>
          <w:bCs w:val="1"/>
          <w:color w:val="auto"/>
        </w:rPr>
        <w:t>Unaudited Pro Forma Condensed Combined Statement of Operations For the Three Months Ended March 31, 2021 (in thousands, except share and per share amounts)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Transaction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FTIV</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PWP</w:t>
            </w:r>
          </w:p>
        </w:tc>
        <w:tc>
          <w:tcPr>
            <w:tcW w:w="600" w:type="dxa"/>
            <w:vAlign w:val="bottom"/>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Combined</w:t>
            </w:r>
          </w:p>
        </w:tc>
        <w:tc>
          <w:tcPr>
            <w:tcW w:w="260" w:type="dxa"/>
            <w:vAlign w:val="bottom"/>
          </w:tcPr>
          <w:p>
            <w:pPr>
              <w:spacing w:after="0"/>
              <w:rPr>
                <w:sz w:val="15"/>
                <w:szCs w:val="15"/>
                <w:color w:val="auto"/>
              </w:rPr>
            </w:pPr>
          </w:p>
        </w:tc>
      </w:tr>
      <w:tr>
        <w:trPr>
          <w:trHeight w:val="156"/>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940"/>
              <w:spacing w:after="0" w:line="155" w:lineRule="exact"/>
              <w:rPr>
                <w:sz w:val="20"/>
                <w:szCs w:val="20"/>
                <w:color w:val="auto"/>
              </w:rPr>
            </w:pPr>
            <w:r>
              <w:rPr>
                <w:rFonts w:ascii="Arial" w:cs="Arial" w:eastAsia="Arial" w:hAnsi="Arial"/>
                <w:sz w:val="14"/>
                <w:szCs w:val="14"/>
                <w:color w:val="auto"/>
              </w:rPr>
              <w:t>(nn)</w:t>
            </w:r>
          </w:p>
        </w:tc>
        <w:tc>
          <w:tcPr>
            <w:tcW w:w="100" w:type="dxa"/>
            <w:vAlign w:val="bottom"/>
          </w:tcPr>
          <w:p>
            <w:pPr>
              <w:spacing w:after="0"/>
              <w:rPr>
                <w:sz w:val="13"/>
                <w:szCs w:val="13"/>
                <w:color w:val="auto"/>
              </w:rPr>
            </w:pPr>
          </w:p>
        </w:tc>
        <w:tc>
          <w:tcPr>
            <w:tcW w:w="1180" w:type="dxa"/>
            <w:vAlign w:val="bottom"/>
            <w:gridSpan w:val="2"/>
          </w:tcPr>
          <w:p>
            <w:pPr>
              <w:jc w:val="right"/>
              <w:ind w:right="820"/>
              <w:spacing w:after="0" w:line="155" w:lineRule="exact"/>
              <w:rPr>
                <w:sz w:val="20"/>
                <w:szCs w:val="20"/>
                <w:color w:val="auto"/>
              </w:rPr>
            </w:pPr>
            <w:r>
              <w:rPr>
                <w:rFonts w:ascii="Arial" w:cs="Arial" w:eastAsia="Arial" w:hAnsi="Arial"/>
                <w:sz w:val="14"/>
                <w:szCs w:val="14"/>
                <w:color w:val="auto"/>
              </w:rPr>
              <w:t>(oo)</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169,802</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169,802</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109,470</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109,470</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6,157</w:t>
            </w:r>
          </w:p>
        </w:tc>
        <w:tc>
          <w:tcPr>
            <w:tcW w:w="180" w:type="dxa"/>
            <w:vAlign w:val="bottom"/>
          </w:tcPr>
          <w:p>
            <w:pPr>
              <w:spacing w:after="0"/>
              <w:rPr>
                <w:sz w:val="16"/>
                <w:szCs w:val="16"/>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6"/>
                <w:szCs w:val="16"/>
                <w:color w:val="auto"/>
              </w:rPr>
              <w:t>7,201(qq)</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28,856</w:t>
            </w:r>
          </w:p>
        </w:tc>
      </w:tr>
      <w:tr>
        <w:trPr>
          <w:trHeight w:val="189"/>
        </w:trPr>
        <w:tc>
          <w:tcPr>
            <w:tcW w:w="5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15,498(pp)</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6"/>
                <w:szCs w:val="16"/>
                <w:color w:val="auto"/>
              </w:rPr>
              <w:t>Total compensation and benefits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115,627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22,699</w:t>
            </w:r>
          </w:p>
        </w:tc>
        <w:tc>
          <w:tcPr>
            <w:tcW w:w="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138,326</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5,728</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5,728</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Technology and infrastructure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6,956</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6,956</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Rent and occupancy</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6,702</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6,702</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Travel and related expenses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661</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661</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General, administrative and other expenses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2,204</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3,063</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3,880</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3,880</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expenses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141,758</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22,699</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165,316</w:t>
            </w:r>
          </w:p>
        </w:tc>
      </w:tr>
      <w:tr>
        <w:trPr>
          <w:trHeight w:val="20"/>
        </w:trPr>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040" w:type="dxa"/>
            <w:vAlign w:val="bottom"/>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28,044</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6"/>
                <w:szCs w:val="16"/>
                <w:color w:val="auto"/>
              </w:rPr>
              <w:t>(22,699)</w:t>
            </w:r>
          </w:p>
        </w:tc>
        <w:tc>
          <w:tcPr>
            <w:tcW w:w="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4,486</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Related party revenues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2,209</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2,209</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5,757</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5,757</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Transaction costs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(3,868)</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3,868(uu)</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(1,854)</w:t>
            </w:r>
          </w:p>
        </w:tc>
        <w:tc>
          <w:tcPr>
            <w:tcW w:w="1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(1,854)</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4,904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24,531</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(18,831)</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10,604</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6"/>
                <w:szCs w:val="16"/>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6"/>
                <w:szCs w:val="16"/>
                <w:color w:val="auto"/>
              </w:rPr>
              <w:t>(3,842)(rr)</w:t>
            </w: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(5,866)</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4,904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22,507</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(22,673)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4,738</w:t>
            </w:r>
          </w:p>
        </w:tc>
      </w:tr>
      <w:tr>
        <w:trPr>
          <w:trHeight w:val="20"/>
        </w:trPr>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0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6"/>
                <w:szCs w:val="16"/>
                <w:color w:val="auto"/>
              </w:rPr>
              <w:t>13,165(ss)</w:t>
            </w:r>
          </w:p>
        </w:tc>
        <w:tc>
          <w:tcPr>
            <w:tcW w:w="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(8,490)</w:t>
            </w:r>
          </w:p>
        </w:tc>
      </w:tr>
      <w:tr>
        <w:trPr>
          <w:trHeight w:val="189"/>
        </w:trPr>
        <w:tc>
          <w:tcPr>
            <w:tcW w:w="5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(6,157)(vv)</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96"/>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6"/>
                <w:szCs w:val="16"/>
                <w:color w:val="auto"/>
              </w:rPr>
              <w:t>(15,498)(pp)</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89"/>
        </w:trPr>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(loss) attributable to Perella Weinberg Partners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13,228</w:t>
            </w:r>
          </w:p>
        </w:tc>
      </w:tr>
      <w:tr>
        <w:trPr>
          <w:trHeight w:val="196"/>
        </w:trPr>
        <w:tc>
          <w:tcPr>
            <w:tcW w:w="5040" w:type="dxa"/>
            <w:vAlign w:val="bottom"/>
          </w:tcPr>
          <w:p>
            <w:pPr>
              <w:spacing w:after="0"/>
              <w:rPr>
                <w:sz w:val="20"/>
                <w:szCs w:val="20"/>
                <w:color w:val="auto"/>
              </w:rPr>
            </w:pPr>
            <w:r>
              <w:rPr>
                <w:rFonts w:ascii="Arial" w:cs="Arial" w:eastAsia="Arial" w:hAnsi="Arial"/>
                <w:sz w:val="16"/>
                <w:szCs w:val="16"/>
                <w:color w:val="auto"/>
              </w:rPr>
              <w:t>Weighted average number of common stock outstanding—Basic: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w w:val="99"/>
              </w:rPr>
              <w:t>23,000,000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46,347,190</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Class A and Class B non—redeemable 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8,480,000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stock outstanding—Diluted:</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Class A 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w w:val="99"/>
              </w:rPr>
              <w:t>23,000,000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98,500,581</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Class A and Class B non—redeemable common stock</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8,480,000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Net income (loss) per share—Basic</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0.29(tt)</w:t>
            </w: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Class A and Class B non—redeemable common stock</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share—Diluted</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Class A common stock</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0.01(tt)</w:t>
            </w: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Class A and Class B non—redeemable common stock</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pro forma adjustments have been prepared as if the business combination had been consummated on March 31, 2021, in the case of the unaudited pro forma condensed combined statement of financial condition, and as if the business combination had been consummated on January 1, 2020, the beginning of the earliest period presented in the unaudited pro forma condensed combined statement of operations.</w:t>
      </w:r>
    </w:p>
    <w:p>
      <w:pPr>
        <w:spacing w:after="0" w:line="205" w:lineRule="exact"/>
        <w:rPr>
          <w:sz w:val="20"/>
          <w:szCs w:val="20"/>
          <w:color w:val="auto"/>
        </w:rPr>
      </w:pPr>
    </w:p>
    <w:p>
      <w:pPr>
        <w:ind w:left="120" w:right="720" w:firstLine="551"/>
        <w:spacing w:after="0" w:line="246"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U.S. GAAP.</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Accordingly, for accounting purposes, the financial statements of the combined entity will represent a continuation of the financial statements of PWP OpCo with the business combination being treated as the equivalent of PWP OpCo issuing stock for the net assets of FTIV, accompanied by a recapitalization.</w:t>
      </w:r>
    </w:p>
    <w:p>
      <w:pPr>
        <w:spacing w:after="0" w:line="2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pro forma adjustments represent management’s estimates based on information available as of the date of this filing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2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One-time direct and incremental transaction costs incurred prior to, or concurrent with, the Closing are reflected in the unaudited pro forma condensed combined statement of financial condition as a direct reduction to the combined entity’s additional paid-in capital and are assumed to be cash settled.</w:t>
      </w:r>
    </w:p>
    <w:p>
      <w:pPr>
        <w:spacing w:after="0" w:line="289" w:lineRule="exact"/>
        <w:rPr>
          <w:sz w:val="20"/>
          <w:szCs w:val="20"/>
          <w:color w:val="auto"/>
        </w:rPr>
      </w:pPr>
    </w:p>
    <w:p>
      <w:pPr>
        <w:ind w:left="120" w:right="460" w:hanging="4"/>
        <w:spacing w:after="0" w:line="271" w:lineRule="auto"/>
        <w:tabs>
          <w:tab w:leader="none" w:pos="3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Financial Condition as of March 31, 2021</w:t>
      </w:r>
    </w:p>
    <w:p>
      <w:pPr>
        <w:spacing w:after="0" w:line="68" w:lineRule="exact"/>
        <w:rPr>
          <w:sz w:val="20"/>
          <w:szCs w:val="20"/>
          <w:color w:val="auto"/>
        </w:rPr>
      </w:pPr>
    </w:p>
    <w:p>
      <w:pPr>
        <w:ind w:left="120" w:right="800" w:firstLine="551"/>
        <w:spacing w:after="0" w:line="246" w:lineRule="auto"/>
        <w:rPr>
          <w:sz w:val="20"/>
          <w:szCs w:val="20"/>
          <w:color w:val="auto"/>
        </w:rPr>
      </w:pPr>
      <w:r>
        <w:rPr>
          <w:rFonts w:ascii="Arial" w:cs="Arial" w:eastAsia="Arial" w:hAnsi="Arial"/>
          <w:sz w:val="18"/>
          <w:szCs w:val="18"/>
          <w:color w:val="auto"/>
        </w:rPr>
        <w:t>The unaudited pro forma condensed combined statement of financial condition as of March 31, 2021 reflects the following adjustments:</w:t>
      </w:r>
    </w:p>
    <w:p>
      <w:pPr>
        <w:spacing w:after="0" w:line="102"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financial condition as of March 31, 2021.</w:t>
      </w:r>
    </w:p>
    <w:p>
      <w:pPr>
        <w:spacing w:after="0" w:line="117" w:lineRule="exact"/>
        <w:rPr>
          <w:rFonts w:ascii="Arial" w:cs="Arial" w:eastAsia="Arial" w:hAnsi="Arial"/>
          <w:sz w:val="18"/>
          <w:szCs w:val="18"/>
          <w:color w:val="auto"/>
        </w:rPr>
      </w:pPr>
    </w:p>
    <w:p>
      <w:pPr>
        <w:ind w:left="1300" w:right="240" w:hanging="644"/>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PWP OpCo historical unaudited condensed consolidated statement of financial condition as of March 31, 2021.</w:t>
      </w:r>
    </w:p>
    <w:p>
      <w:pPr>
        <w:spacing w:after="0" w:line="102" w:lineRule="exact"/>
        <w:rPr>
          <w:rFonts w:ascii="Arial" w:cs="Arial" w:eastAsia="Arial" w:hAnsi="Arial"/>
          <w:sz w:val="18"/>
          <w:szCs w:val="18"/>
          <w:color w:val="auto"/>
        </w:rPr>
      </w:pPr>
    </w:p>
    <w:p>
      <w:pPr>
        <w:ind w:left="1300" w:right="86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reclassification of investments held in the trust account of FTIV that become available for transaction consideration, transaction expenses and the operating activities of PWP OpCo in conjunction with the business combination.</w:t>
      </w:r>
    </w:p>
    <w:p>
      <w:pPr>
        <w:spacing w:after="0" w:line="108" w:lineRule="exact"/>
        <w:rPr>
          <w:rFonts w:ascii="Arial" w:cs="Arial" w:eastAsia="Arial" w:hAnsi="Arial"/>
          <w:sz w:val="18"/>
          <w:szCs w:val="18"/>
          <w:color w:val="auto"/>
        </w:rPr>
      </w:pPr>
    </w:p>
    <w:p>
      <w:pPr>
        <w:ind w:left="1300" w:right="360" w:hanging="644"/>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net proceeds from PIPE transaction and issuance of shares of Perella Weinberg Partners Class A common stock to the PIPE Investors, including the Sponsor.</w:t>
      </w:r>
    </w:p>
    <w:p>
      <w:pPr>
        <w:spacing w:after="0" w:line="102" w:lineRule="exact"/>
        <w:rPr>
          <w:rFonts w:ascii="Arial" w:cs="Arial" w:eastAsia="Arial" w:hAnsi="Arial"/>
          <w:sz w:val="18"/>
          <w:szCs w:val="18"/>
          <w:color w:val="auto"/>
        </w:rPr>
      </w:pPr>
    </w:p>
    <w:p>
      <w:pPr>
        <w:ind w:left="1300" w:right="540" w:hanging="644"/>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redemption of equity interests held by certain legacy partners and investment limited partners.</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 to record estimated transaction costs totaling $39.5 million for advisory, banking, legal and accounting fees, inclusive of outstanding deferred underwriting costs. Also included in the preliminary estimated transaction costs are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spacing w:after="0" w:line="238" w:lineRule="auto"/>
        <w:rPr>
          <w:sz w:val="20"/>
          <w:szCs w:val="20"/>
          <w:color w:val="auto"/>
        </w:rPr>
      </w:pPr>
      <w:r>
        <w:rPr>
          <w:rFonts w:ascii="Arial" w:cs="Arial" w:eastAsia="Arial" w:hAnsi="Arial"/>
          <w:sz w:val="18"/>
          <w:szCs w:val="18"/>
          <w:color w:val="auto"/>
        </w:rPr>
        <w:t>$2.1 million of transaction costs that have been allocated to the warrants. Accordingly, such amounts have been expensed and allocated to Accumulated deficit / Noncontrolling interest. As of March 31, 2021, $13.3 million of deferred offering costs were recorded, of which $4.3 million had been paid. Deferred offering costs will be recorded as an offset to equity as a result of the business combination.</w:t>
      </w:r>
    </w:p>
    <w:p>
      <w:pPr>
        <w:spacing w:after="0" w:line="110" w:lineRule="exact"/>
        <w:rPr>
          <w:sz w:val="20"/>
          <w:szCs w:val="20"/>
          <w:color w:val="auto"/>
        </w:rPr>
      </w:pPr>
    </w:p>
    <w:p>
      <w:pPr>
        <w:ind w:left="1300" w:right="920" w:hanging="644"/>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 for the cash payment due to certain US and non-US employees related to monetization equity interests due and contingent upon completion of the business combination.</w:t>
      </w:r>
    </w:p>
    <w:p>
      <w:pPr>
        <w:spacing w:after="0" w:line="102" w:lineRule="exact"/>
        <w:rPr>
          <w:rFonts w:ascii="Arial" w:cs="Arial" w:eastAsia="Arial" w:hAnsi="Arial"/>
          <w:sz w:val="18"/>
          <w:szCs w:val="18"/>
          <w:color w:val="auto"/>
        </w:rPr>
      </w:pPr>
    </w:p>
    <w:p>
      <w:pPr>
        <w:ind w:left="1300" w:hanging="644"/>
        <w:spacing w:after="0" w:line="274" w:lineRule="auto"/>
        <w:tabs>
          <w:tab w:leader="none" w:pos="1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pro forma adjustment to record the redemption PWP OpCo’s convertible debt and pay off of the revolving credit facility from the proceeds of the business combination, inclusive of additional amounts due as a result of prepayment.</w:t>
      </w:r>
    </w:p>
    <w:p>
      <w:pPr>
        <w:spacing w:after="0" w:line="80" w:lineRule="exact"/>
        <w:rPr>
          <w:rFonts w:ascii="Arial" w:cs="Arial" w:eastAsia="Arial" w:hAnsi="Arial"/>
          <w:sz w:val="17"/>
          <w:szCs w:val="17"/>
          <w:color w:val="auto"/>
        </w:rPr>
      </w:pPr>
    </w:p>
    <w:p>
      <w:pPr>
        <w:ind w:left="1300" w:right="80" w:hanging="644"/>
        <w:spacing w:after="0" w:line="23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adjustments to deferred tax assets to reflect the difference between the financial statement and tax basis in the investment in PWP OpCo, including the deferred tax asset that results from the step-up for tax purposes of certain assets of PWP OpCo. The realizability of the deferred tax assets is subject to various estimates and assumptions, including preliminary projections of future taxable income. Therefore, the recognition of deferred tax assets, including any valuation allowances, and the resulting impact on the tax receivable agreement liability is subject to change based on a final analysis upon completion of the business combination.</w:t>
      </w:r>
    </w:p>
    <w:p>
      <w:pPr>
        <w:spacing w:after="0" w:line="110" w:lineRule="exact"/>
        <w:rPr>
          <w:rFonts w:ascii="Arial" w:cs="Arial" w:eastAsia="Arial" w:hAnsi="Arial"/>
          <w:sz w:val="18"/>
          <w:szCs w:val="18"/>
          <w:color w:val="auto"/>
        </w:rPr>
      </w:pPr>
    </w:p>
    <w:p>
      <w:pPr>
        <w:ind w:left="1300" w:right="20" w:hanging="644"/>
        <w:spacing w:after="0" w:line="23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adjustments to record the tax receivable agreement liability. Upon the completion of the business combination, Perella Weinberg Partners is party to the Tax Receivable Agreement. Under the terms of the Tax Receivable Agreement, Perella Weinberg Partners will make payments to the ILPs and Limited Partners in respect of 85% of the net tax benefit to Perella Weinberg Partners of certain tax attributes (calculated using certain assumptions, and subject to the terms of the Tax Receivable Agreement). The payments made will represent additional purchase price. The tax impacts of the transaction were estimated based on the applicable law in effect on March 31, 2021. The amounts to be recorded upon completion of the Business Combination may change due to various factors including, but not limited to, completion of additional analyses and changes in the amounts used to calculate the Tax Receivable Agreement liability based on the actual transaction date.</w:t>
      </w:r>
    </w:p>
    <w:p>
      <w:pPr>
        <w:spacing w:after="0" w:line="112" w:lineRule="exact"/>
        <w:rPr>
          <w:rFonts w:ascii="Arial" w:cs="Arial" w:eastAsia="Arial" w:hAnsi="Arial"/>
          <w:sz w:val="18"/>
          <w:szCs w:val="18"/>
          <w:color w:val="auto"/>
        </w:rPr>
      </w:pPr>
    </w:p>
    <w:p>
      <w:pPr>
        <w:ind w:left="1300" w:right="26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adjustments to common stock subject to possible redemption to permanent equity based on a par value of $.0001 per share. Perella Weinberg Partners Class B common stock have been issued for nominal consideration.</w:t>
      </w:r>
    </w:p>
    <w:p>
      <w:pPr>
        <w:spacing w:after="0" w:line="108" w:lineRule="exact"/>
        <w:rPr>
          <w:rFonts w:ascii="Arial" w:cs="Arial" w:eastAsia="Arial" w:hAnsi="Arial"/>
          <w:sz w:val="18"/>
          <w:szCs w:val="18"/>
          <w:color w:val="auto"/>
        </w:rPr>
      </w:pPr>
    </w:p>
    <w:p>
      <w:pPr>
        <w:ind w:left="1300" w:right="54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adjustments to reclassify FTIV Class B common stock, which were converted to Perella Weinberg Partners Class A common stock, inclusive of the adjustment for the surrender of 1,023,333 shares of FTIV Class B by the Sponsor.</w:t>
      </w:r>
    </w:p>
    <w:p>
      <w:pPr>
        <w:spacing w:after="0" w:line="10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adjustments to reclassify a portion of additional paid-in capital to noncontrolling interest based on the aggregate Professional Partners and ILPs as depicted in the Capitalization table above.</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adjustments to reclassify the historical accumulated deficit of FTIV to additional paid-in-capital.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 for the net impact to equity resulting from the tax adjustments in (i) and (j) above.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 for the reclassification of partners’ capital to additional paid-in capital.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2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Represents the pro forma adjustments for the reclassification of the historical accumulated other comprehensive loss to noncontrolling interest based on the aggregate Professional Partners and ILPs ownership as depicted in the Capitalization table above.</w:t>
      </w:r>
    </w:p>
    <w:p>
      <w:pPr>
        <w:spacing w:after="0" w:line="288" w:lineRule="exact"/>
        <w:rPr>
          <w:rFonts w:ascii="Arial" w:cs="Arial" w:eastAsia="Arial" w:hAnsi="Arial"/>
          <w:sz w:val="18"/>
          <w:szCs w:val="18"/>
          <w:color w:val="auto"/>
        </w:rPr>
      </w:pPr>
    </w:p>
    <w:p>
      <w:pPr>
        <w:ind w:left="120" w:hanging="4"/>
        <w:spacing w:after="0" w:line="271" w:lineRule="auto"/>
        <w:tabs>
          <w:tab w:leader="none" w:pos="313"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Year Ended December 31, 2020</w:t>
      </w:r>
    </w:p>
    <w:p>
      <w:pPr>
        <w:spacing w:after="0" w:line="68" w:lineRule="exact"/>
        <w:rPr>
          <w:sz w:val="20"/>
          <w:szCs w:val="20"/>
          <w:color w:val="auto"/>
        </w:rPr>
      </w:pPr>
    </w:p>
    <w:p>
      <w:pPr>
        <w:ind w:left="120" w:right="720" w:firstLine="551"/>
        <w:spacing w:after="0" w:line="246"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reflects the following adjustments:</w:t>
      </w:r>
    </w:p>
    <w:p>
      <w:pPr>
        <w:spacing w:after="0" w:line="102"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FTIV historical audited statement of operations for the year ended December 31, 2020.</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PWP OpCo historical audited consolidated statement of operations for the year ended December 31, 2020.</w:t>
      </w:r>
    </w:p>
    <w:p>
      <w:pPr>
        <w:spacing w:after="0" w:line="117"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07" w:lineRule="exact"/>
        <w:rPr>
          <w:rFonts w:ascii="Arial" w:cs="Arial" w:eastAsia="Arial" w:hAnsi="Arial"/>
          <w:sz w:val="18"/>
          <w:szCs w:val="18"/>
          <w:color w:val="auto"/>
        </w:rPr>
      </w:pPr>
    </w:p>
    <w:p>
      <w:pPr>
        <w:ind w:left="1300" w:right="140" w:hanging="644"/>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02" w:lineRule="exact"/>
        <w:rPr>
          <w:rFonts w:ascii="Arial" w:cs="Arial" w:eastAsia="Arial" w:hAnsi="Arial"/>
          <w:sz w:val="18"/>
          <w:szCs w:val="18"/>
          <w:color w:val="auto"/>
        </w:rPr>
      </w:pPr>
    </w:p>
    <w:p>
      <w:pPr>
        <w:ind w:left="1300" w:hanging="644"/>
        <w:spacing w:after="0" w:line="23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113"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 for the portion of net income (loss) attributable to noncontrolling interest based on the aggregate Professional Partners and ILPs ownership as depicted in the Capitalization table above, adjusted for the vesting of RSUs during the year ended December 31, 2020. Historical equity-based compensation amounts and the expense related to ACUs and VCUs discussed in adjustment (jj) and (cc), respectively, have been allocated to noncontrolling interests as the vesting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08"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Basic net income (loss) per Class A share represents net income (loss) attributable to Perella Weinberg Partners divided by the weighted average number of Class A common stock outstanding for the period. Diluted net income (loss) per Class A share is computed by adjusting net income (loss) attributable to Perella Weinberg Partners and the weighted average number of Class A common stock outstanding to give effect to potentially dilutive securities. Perella Weinberg Partners has excluded the effect of the 7,870,000 warrants as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320" w:right="340"/>
        <w:spacing w:after="0"/>
        <w:rPr>
          <w:sz w:val="20"/>
          <w:szCs w:val="20"/>
          <w:color w:val="auto"/>
        </w:rPr>
      </w:pPr>
      <w:r>
        <w:rPr>
          <w:rFonts w:ascii="Arial" w:cs="Arial" w:eastAsia="Arial" w:hAnsi="Arial"/>
          <w:sz w:val="18"/>
          <w:szCs w:val="18"/>
          <w:color w:val="auto"/>
        </w:rPr>
        <w:t>of December 31, 2020 to purchase shares of PWP Class A common stock in the calculation of diluted income (loss) per Class A share, since their inclusion would be anti-dilutive. In addition, PWP OpCo common units may be exchanged for Perella Weinberg Partners Class A common stock on a one-for-one basis.</w:t>
      </w:r>
    </w:p>
    <w:p>
      <w:pPr>
        <w:spacing w:after="0" w:line="95" w:lineRule="exact"/>
        <w:rPr>
          <w:sz w:val="20"/>
          <w:szCs w:val="20"/>
          <w:color w:val="auto"/>
        </w:rPr>
      </w:pPr>
    </w:p>
    <w:p>
      <w:pPr>
        <w:ind w:left="1320" w:right="60"/>
        <w:spacing w:after="0" w:line="238" w:lineRule="auto"/>
        <w:rPr>
          <w:sz w:val="20"/>
          <w:szCs w:val="20"/>
          <w:color w:val="auto"/>
        </w:rPr>
      </w:pPr>
      <w:r>
        <w:rPr>
          <w:rFonts w:ascii="Arial" w:cs="Arial" w:eastAsia="Arial" w:hAnsi="Arial"/>
          <w:sz w:val="18"/>
          <w:szCs w:val="18"/>
          <w:color w:val="auto"/>
        </w:rPr>
        <w:t>Weighted average number of Class A common stock outstanding Basic and Diluted for the year ended December 31, 2020 includes 42,957,000 shares that will be outstanding as of the completion of the business combination and 1,523,947 shares related to restricted stock units that will be granted upon completion of the business combination and are subject to a time-based vesting schedule.</w:t>
      </w:r>
    </w:p>
    <w:p>
      <w:pPr>
        <w:spacing w:after="0" w:line="97" w:lineRule="exact"/>
        <w:rPr>
          <w:sz w:val="20"/>
          <w:szCs w:val="20"/>
          <w:color w:val="auto"/>
        </w:rPr>
      </w:pPr>
    </w:p>
    <w:p>
      <w:pPr>
        <w:ind w:left="1320" w:right="240"/>
        <w:spacing w:after="0" w:line="246"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Class A share:</w:t>
      </w:r>
    </w:p>
    <w:p>
      <w:pPr>
        <w:sectPr>
          <w:pgSz w:w="11900" w:h="16838" w:orient="portrait"/>
          <w:cols w:equalWidth="0" w:num="1">
            <w:col w:w="11140"/>
          </w:cols>
          <w:pgMar w:left="320" w:top="459" w:right="439" w:bottom="1440" w:gutter="0" w:footer="0" w:header="0"/>
        </w:sectPr>
      </w:pPr>
    </w:p>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Diluted net income (loss) per Class A share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-116205</wp:posOffset>
            </wp:positionV>
            <wp:extent cx="622363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Numerator</w:t>
      </w:r>
    </w:p>
    <w:p>
      <w:pPr>
        <w:ind w:left="1700"/>
        <w:spacing w:after="0" w:line="234" w:lineRule="auto"/>
        <w:rPr>
          <w:sz w:val="20"/>
          <w:szCs w:val="20"/>
          <w:color w:val="auto"/>
        </w:rPr>
      </w:pPr>
      <w:r>
        <w:rPr>
          <w:rFonts w:ascii="Arial" w:cs="Arial" w:eastAsia="Arial" w:hAnsi="Arial"/>
          <w:sz w:val="18"/>
          <w:szCs w:val="18"/>
          <w:color w:val="auto"/>
        </w:rPr>
        <w:t>Net income (loss) attributable to Perella Weinberg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right="78"/>
        <w:spacing w:after="0" w:line="248" w:lineRule="auto"/>
        <w:rPr>
          <w:sz w:val="20"/>
          <w:szCs w:val="20"/>
          <w:color w:val="auto"/>
        </w:rPr>
      </w:pPr>
      <w:r>
        <w:rPr>
          <w:rFonts w:ascii="Arial" w:cs="Arial" w:eastAsia="Arial" w:hAnsi="Arial"/>
          <w:sz w:val="17"/>
          <w:szCs w:val="17"/>
          <w:color w:val="auto"/>
        </w:rPr>
        <w:t>Effect of assumed exchange of PWP OpCo common units for Class A common stock Estimated tax benefit of assumed exchange of PWP OpCo common units for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23635" cy="25717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stock</w:t>
      </w:r>
    </w:p>
    <w:p>
      <w:pPr>
        <w:spacing w:after="0" w:line="23" w:lineRule="exact"/>
        <w:rPr>
          <w:sz w:val="20"/>
          <w:szCs w:val="20"/>
          <w:color w:val="auto"/>
        </w:rPr>
      </w:pPr>
    </w:p>
    <w:p>
      <w:pPr>
        <w:ind w:left="1340" w:right="2158" w:firstLine="360"/>
        <w:spacing w:after="0" w:line="234" w:lineRule="auto"/>
        <w:rPr>
          <w:sz w:val="20"/>
          <w:szCs w:val="20"/>
          <w:color w:val="auto"/>
        </w:rPr>
      </w:pPr>
      <w:r>
        <w:rPr>
          <w:rFonts w:ascii="Arial" w:cs="Arial" w:eastAsia="Arial" w:hAnsi="Arial"/>
          <w:sz w:val="18"/>
          <w:szCs w:val="18"/>
          <w:color w:val="auto"/>
        </w:rPr>
        <w:t>Net income (loss) attributable to Perella Weinberg Partners—Diluted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-126365</wp:posOffset>
            </wp:positionV>
            <wp:extent cx="622363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right="1518"/>
        <w:spacing w:after="0" w:line="265" w:lineRule="auto"/>
        <w:rPr>
          <w:sz w:val="20"/>
          <w:szCs w:val="20"/>
          <w:color w:val="auto"/>
        </w:rPr>
      </w:pPr>
      <w:r>
        <w:rPr>
          <w:rFonts w:ascii="Arial" w:cs="Arial" w:eastAsia="Arial" w:hAnsi="Arial"/>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-144145</wp:posOffset>
            </wp:positionV>
            <wp:extent cx="622363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right="1738"/>
        <w:spacing w:after="0" w:line="308" w:lineRule="auto"/>
        <w:rPr>
          <w:sz w:val="20"/>
          <w:szCs w:val="20"/>
          <w:color w:val="auto"/>
        </w:rPr>
      </w:pPr>
      <w:r>
        <w:rPr>
          <w:rFonts w:ascii="Arial" w:cs="Arial" w:eastAsia="Arial" w:hAnsi="Arial"/>
          <w:sz w:val="18"/>
          <w:szCs w:val="18"/>
          <w:color w:val="auto"/>
        </w:rPr>
        <w:t>Weighted-average shares of Class A common stock outstanding—Diluted Net income (loss) per Class A share—Diluted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-173355</wp:posOffset>
            </wp:positionV>
            <wp:extent cx="6223635"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2363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2" w:hanging="402"/>
        <w:spacing w:after="0"/>
        <w:tabs>
          <w:tab w:leader="none" w:pos="4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(34,127)</w:t>
      </w:r>
    </w:p>
    <w:p>
      <w:pPr>
        <w:ind w:left="302"/>
        <w:spacing w:after="0"/>
        <w:rPr>
          <w:rFonts w:ascii="Arial" w:cs="Arial" w:eastAsia="Arial" w:hAnsi="Arial"/>
          <w:sz w:val="18"/>
          <w:szCs w:val="18"/>
          <w:color w:val="auto"/>
        </w:rPr>
      </w:pPr>
      <w:r>
        <w:rPr>
          <w:rFonts w:ascii="Arial" w:cs="Arial" w:eastAsia="Arial" w:hAnsi="Arial"/>
          <w:sz w:val="18"/>
          <w:szCs w:val="18"/>
          <w:color w:val="auto"/>
        </w:rPr>
        <w:t>(122,496)</w:t>
      </w:r>
    </w:p>
    <w:p>
      <w:pPr>
        <w:spacing w:after="0" w:line="198" w:lineRule="exact"/>
        <w:rPr>
          <w:sz w:val="20"/>
          <w:szCs w:val="20"/>
          <w:color w:val="auto"/>
        </w:rPr>
      </w:pPr>
    </w:p>
    <w:p>
      <w:pPr>
        <w:ind w:left="562"/>
        <w:spacing w:after="0"/>
        <w:rPr>
          <w:sz w:val="20"/>
          <w:szCs w:val="20"/>
          <w:color w:val="auto"/>
        </w:rPr>
      </w:pPr>
      <w:r>
        <w:rPr>
          <w:rFonts w:ascii="Arial" w:cs="Arial" w:eastAsia="Arial" w:hAnsi="Arial"/>
          <w:sz w:val="18"/>
          <w:szCs w:val="18"/>
          <w:color w:val="auto"/>
        </w:rPr>
        <w:t>8,664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3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3" w:lineRule="exact"/>
        <w:rPr>
          <w:sz w:val="20"/>
          <w:szCs w:val="20"/>
          <w:color w:val="auto"/>
        </w:rPr>
      </w:pPr>
    </w:p>
    <w:p>
      <w:pPr>
        <w:ind w:left="302" w:hanging="302"/>
        <w:spacing w:after="0"/>
        <w:tabs>
          <w:tab w:leader="none" w:pos="3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(147,959)</w:t>
      </w:r>
    </w:p>
    <w:p>
      <w:pPr>
        <w:spacing w:after="0" w:line="194" w:lineRule="exact"/>
        <w:rPr>
          <w:sz w:val="20"/>
          <w:szCs w:val="20"/>
          <w:color w:val="auto"/>
        </w:rPr>
      </w:pPr>
    </w:p>
    <w:p>
      <w:pPr>
        <w:ind w:left="122"/>
        <w:spacing w:after="0"/>
        <w:rPr>
          <w:sz w:val="20"/>
          <w:szCs w:val="20"/>
          <w:color w:val="auto"/>
        </w:rPr>
      </w:pPr>
      <w:r>
        <w:rPr>
          <w:rFonts w:ascii="Arial" w:cs="Arial" w:eastAsia="Arial" w:hAnsi="Arial"/>
          <w:sz w:val="18"/>
          <w:szCs w:val="18"/>
          <w:color w:val="auto"/>
        </w:rPr>
        <w:t>44,480,947</w:t>
      </w:r>
    </w:p>
    <w:p>
      <w:pPr>
        <w:ind w:left="122"/>
        <w:spacing w:after="0"/>
        <w:rPr>
          <w:sz w:val="20"/>
          <w:szCs w:val="20"/>
          <w:color w:val="auto"/>
        </w:rPr>
      </w:pPr>
      <w:r>
        <w:rPr>
          <w:rFonts w:ascii="Arial" w:cs="Arial" w:eastAsia="Arial" w:hAnsi="Arial"/>
          <w:sz w:val="18"/>
          <w:szCs w:val="18"/>
          <w:u w:val="single" w:color="auto"/>
          <w:color w:val="auto"/>
        </w:rPr>
        <w:t>50,154,198</w:t>
      </w:r>
    </w:p>
    <w:p>
      <w:pPr>
        <w:spacing w:after="0" w:line="23" w:lineRule="exact"/>
        <w:rPr>
          <w:sz w:val="20"/>
          <w:szCs w:val="20"/>
          <w:color w:val="auto"/>
        </w:rPr>
      </w:pPr>
    </w:p>
    <w:p>
      <w:pPr>
        <w:ind w:left="122"/>
        <w:spacing w:after="0"/>
        <w:rPr>
          <w:sz w:val="20"/>
          <w:szCs w:val="20"/>
          <w:color w:val="auto"/>
        </w:rPr>
      </w:pPr>
      <w:r>
        <w:rPr>
          <w:rFonts w:ascii="Arial" w:cs="Arial" w:eastAsia="Arial" w:hAnsi="Arial"/>
          <w:sz w:val="18"/>
          <w:szCs w:val="18"/>
          <w:u w:val="single" w:color="auto"/>
          <w:color w:val="auto"/>
        </w:rPr>
        <w:t>94,635,145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30" w:lineRule="exact"/>
        <w:rPr>
          <w:sz w:val="20"/>
          <w:szCs w:val="20"/>
          <w:color w:val="auto"/>
        </w:rPr>
      </w:pPr>
    </w:p>
    <w:p>
      <w:pPr>
        <w:ind w:left="602" w:hanging="602"/>
        <w:spacing w:after="0"/>
        <w:tabs>
          <w:tab w:leader="none" w:pos="6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3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9278" w:space="720"/>
            <w:col w:w="1142"/>
          </w:cols>
          <w:pgMar w:left="320" w:top="459" w:right="439" w:bottom="1440" w:gutter="0" w:footer="0" w:header="0"/>
          <w:type w:val="continuous"/>
        </w:sectPr>
      </w:pPr>
    </w:p>
    <w:p>
      <w:pPr>
        <w:ind w:left="1320" w:right="320"/>
        <w:spacing w:after="0" w:line="246" w:lineRule="auto"/>
        <w:rPr>
          <w:sz w:val="20"/>
          <w:szCs w:val="20"/>
          <w:color w:val="auto"/>
        </w:rPr>
      </w:pPr>
      <w:r>
        <w:rPr>
          <w:rFonts w:ascii="Arial" w:cs="Arial" w:eastAsia="Arial" w:hAnsi="Arial"/>
          <w:sz w:val="18"/>
          <w:szCs w:val="18"/>
          <w:color w:val="auto"/>
        </w:rPr>
        <w:t>Net income (loss) per Class B share has not been presented as the shares have de minimis economic and participating rights.</w:t>
      </w:r>
    </w:p>
    <w:p>
      <w:pPr>
        <w:spacing w:after="0" w:line="102" w:lineRule="exact"/>
        <w:rPr>
          <w:sz w:val="20"/>
          <w:szCs w:val="20"/>
          <w:color w:val="auto"/>
        </w:rPr>
      </w:pPr>
    </w:p>
    <w:p>
      <w:pPr>
        <w:ind w:left="1300" w:right="280" w:hanging="644"/>
        <w:spacing w:after="0" w:line="274"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the pro forma adjustment to record the expense related to the restricted stock units that will be granted in connection with the business combination. The restricted stock units will be subject to a three to five-year vesting period.</w:t>
      </w:r>
    </w:p>
    <w:p>
      <w:pPr>
        <w:spacing w:after="0" w:line="80" w:lineRule="exact"/>
        <w:rPr>
          <w:rFonts w:ascii="Arial" w:cs="Arial" w:eastAsia="Arial" w:hAnsi="Arial"/>
          <w:sz w:val="17"/>
          <w:szCs w:val="17"/>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117"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pro forma adjustment to allocate the historical equity-based compensation related to Special Limited Partner awards that were granted in October 2018 to noncontrolling interests as the awards do not impact Perella Weinberg Partners as there is no additional dilution to the Perella Weinberg Partners shareholders and no impact to the allocation of distributions from PWP OpCo to each of its investors (including Perella Weinberg Partners). The Special Limited Partner awards were cancelled upon the granting of the VCUs and ACUs and will be accounted for as a modification.</w:t>
      </w:r>
    </w:p>
    <w:p>
      <w:pPr>
        <w:spacing w:after="0" w:line="107" w:lineRule="exact"/>
        <w:rPr>
          <w:rFonts w:ascii="Arial" w:cs="Arial" w:eastAsia="Arial" w:hAnsi="Arial"/>
          <w:sz w:val="18"/>
          <w:szCs w:val="18"/>
          <w:color w:val="auto"/>
        </w:rPr>
      </w:pPr>
    </w:p>
    <w:p>
      <w:pPr>
        <w:ind w:left="1300" w:right="260" w:hanging="644"/>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pro forma adjustment to record the loss on extinguishment of debt due to the prepayment of the outstanding debt in conjunction with the business combination.</w:t>
      </w:r>
    </w:p>
    <w:p>
      <w:pPr>
        <w:spacing w:after="0" w:line="102"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pro forma adjustment to record the compensation associated with the payment of monetization equity interests due to certain US and non-US employees upon completion of the business combination.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100" w:hanging="772"/>
        <w:spacing w:after="0" w:line="274" w:lineRule="auto"/>
        <w:tabs>
          <w:tab w:leader="none" w:pos="13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Represents the pro forma adjustment to record the preliminary estimated transaction costs that are not considered direct and incremental to the business combination and the portion of transaction costs that have been allocated to the warrants.</w:t>
      </w:r>
    </w:p>
    <w:p>
      <w:pPr>
        <w:spacing w:after="0" w:line="260" w:lineRule="exact"/>
        <w:rPr>
          <w:rFonts w:ascii="Arial" w:cs="Arial" w:eastAsia="Arial" w:hAnsi="Arial"/>
          <w:sz w:val="17"/>
          <w:szCs w:val="17"/>
          <w:color w:val="auto"/>
        </w:rPr>
      </w:pPr>
    </w:p>
    <w:p>
      <w:pPr>
        <w:ind w:left="120" w:right="480" w:hanging="4"/>
        <w:spacing w:after="0" w:line="271" w:lineRule="auto"/>
        <w:tabs>
          <w:tab w:leader="none" w:pos="32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Three Months Ended March 31, 2021</w:t>
      </w:r>
    </w:p>
    <w:p>
      <w:pPr>
        <w:spacing w:after="0" w:line="68"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The unaudited pro forma condensed combined statement of operations for the three months ended March 31, 2021 reflects the following adjustments:</w:t>
      </w:r>
    </w:p>
    <w:p>
      <w:pPr>
        <w:spacing w:after="0" w:line="102"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three months ended March 31, 2021.</w:t>
      </w:r>
    </w:p>
    <w:p>
      <w:pPr>
        <w:spacing w:after="0" w:line="117" w:lineRule="exact"/>
        <w:rPr>
          <w:rFonts w:ascii="Arial" w:cs="Arial" w:eastAsia="Arial" w:hAnsi="Arial"/>
          <w:sz w:val="18"/>
          <w:szCs w:val="18"/>
          <w:color w:val="auto"/>
        </w:rPr>
      </w:pPr>
    </w:p>
    <w:p>
      <w:pPr>
        <w:ind w:left="1300" w:right="440" w:hanging="644"/>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PWP OpCo historical unaudited condensed consolidated statement of operations for the three months ended March 31, 2021.</w:t>
      </w:r>
    </w:p>
    <w:p>
      <w:pPr>
        <w:spacing w:after="0" w:line="102"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07" w:lineRule="exact"/>
        <w:rPr>
          <w:rFonts w:ascii="Arial" w:cs="Arial" w:eastAsia="Arial" w:hAnsi="Arial"/>
          <w:sz w:val="18"/>
          <w:szCs w:val="18"/>
          <w:color w:val="auto"/>
        </w:rPr>
      </w:pPr>
    </w:p>
    <w:p>
      <w:pPr>
        <w:ind w:left="1300" w:right="520" w:hanging="644"/>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that will be granted in connection with the business combination.</w:t>
      </w:r>
    </w:p>
    <w:p>
      <w:pPr>
        <w:spacing w:after="0" w:line="102" w:lineRule="exact"/>
        <w:rPr>
          <w:rFonts w:ascii="Arial" w:cs="Arial" w:eastAsia="Arial" w:hAnsi="Arial"/>
          <w:sz w:val="18"/>
          <w:szCs w:val="18"/>
          <w:color w:val="auto"/>
        </w:rPr>
      </w:pPr>
    </w:p>
    <w:p>
      <w:pPr>
        <w:ind w:left="1300" w:right="80" w:hanging="644"/>
        <w:spacing w:after="0" w:line="23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13"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 for the portion of net income (loss) attributable to noncontrolling interest based on the aggregate Professional Partners and ILPs ownership as depicted in the Capitalization table above, adjusted for the vesting of RSUs during the three months ended March 31, 2021. Historical equity-based compensation amounts and the expense related to ACUs and VCUs discussed in adjustment (pp) and (qq), respectively, have been allocated to noncontrolling interests as the vesting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08"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Basic net income (loss) per Class A share represents net income (loss) attributable to Perella Weinberg Partners divided by the weighted average number of Class A common stock outstanding for the period. Diluted net income (loss) per Class A share is computed by adjusting net income (loss) attributable to Perella Weinberg Partners and the weighted average number of Class A common stock outstanding to give effect to potentially dilutive securities. Perella Weinberg Partners has excluded the effect of the 7,870,000 warrants as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360"/>
        <w:spacing w:after="0"/>
        <w:rPr>
          <w:sz w:val="20"/>
          <w:szCs w:val="20"/>
          <w:color w:val="auto"/>
        </w:rPr>
      </w:pPr>
      <w:r>
        <w:rPr>
          <w:rFonts w:ascii="Arial" w:cs="Arial" w:eastAsia="Arial" w:hAnsi="Arial"/>
          <w:sz w:val="18"/>
          <w:szCs w:val="18"/>
          <w:color w:val="auto"/>
        </w:rPr>
        <w:t>of March 31, 2021 to purchase shares of PWP Class A common stock in the calculation of diluted income (loss) per Class A share, since their inclusion would be anti-dilutive. In addition, PWP OpCo common units may be exchanged for Perella Weinberg Partners Class A common stock on a one-for-one basis.</w:t>
      </w:r>
    </w:p>
    <w:p>
      <w:pPr>
        <w:spacing w:after="0" w:line="95" w:lineRule="exact"/>
        <w:rPr>
          <w:sz w:val="20"/>
          <w:szCs w:val="20"/>
          <w:color w:val="auto"/>
        </w:rPr>
      </w:pPr>
    </w:p>
    <w:p>
      <w:pPr>
        <w:ind w:left="1320" w:right="140"/>
        <w:spacing w:after="0" w:line="238" w:lineRule="auto"/>
        <w:rPr>
          <w:sz w:val="20"/>
          <w:szCs w:val="20"/>
          <w:color w:val="auto"/>
        </w:rPr>
      </w:pPr>
      <w:r>
        <w:rPr>
          <w:rFonts w:ascii="Arial" w:cs="Arial" w:eastAsia="Arial" w:hAnsi="Arial"/>
          <w:sz w:val="18"/>
          <w:szCs w:val="18"/>
          <w:color w:val="auto"/>
        </w:rPr>
        <w:t>Weighted average number of Class A common stock outstanding Basic and Diluted for the three months ended March 31, 2021 includes 42,957,000 shares that will be outstanding as of the completion of the business combination and 3,390,190 shares related to restricted stock units that will be granted following the completion of the business combination and are subject to a time-based vesting schedule.</w:t>
      </w:r>
    </w:p>
    <w:p>
      <w:pPr>
        <w:spacing w:after="0" w:line="97" w:lineRule="exact"/>
        <w:rPr>
          <w:sz w:val="20"/>
          <w:szCs w:val="20"/>
          <w:color w:val="auto"/>
        </w:rPr>
      </w:pPr>
    </w:p>
    <w:p>
      <w:pPr>
        <w:ind w:left="1320" w:right="240"/>
        <w:spacing w:after="0" w:line="246"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Class A share:</w:t>
      </w:r>
    </w:p>
    <w:p>
      <w:pPr>
        <w:sectPr>
          <w:pgSz w:w="11900" w:h="16838" w:orient="portrait"/>
          <w:cols w:equalWidth="0" w:num="1">
            <w:col w:w="11140"/>
          </w:cols>
          <w:pgMar w:left="320" w:top="459" w:right="439" w:bottom="1440" w:gutter="0" w:footer="0" w:header="0"/>
        </w:sectPr>
      </w:pPr>
    </w:p>
    <w:p>
      <w:pPr>
        <w:spacing w:after="0" w:line="202"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Diluted net income (loss) per Class A share 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-109220</wp:posOffset>
            </wp:positionV>
            <wp:extent cx="622363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Numerator</w:t>
      </w:r>
    </w:p>
    <w:p>
      <w:pPr>
        <w:ind w:left="1700"/>
        <w:spacing w:after="0" w:line="234" w:lineRule="auto"/>
        <w:rPr>
          <w:sz w:val="20"/>
          <w:szCs w:val="20"/>
          <w:color w:val="auto"/>
        </w:rPr>
      </w:pPr>
      <w:r>
        <w:rPr>
          <w:rFonts w:ascii="Arial" w:cs="Arial" w:eastAsia="Arial" w:hAnsi="Arial"/>
          <w:sz w:val="18"/>
          <w:szCs w:val="18"/>
          <w:color w:val="auto"/>
        </w:rPr>
        <w:t>Net income (loss) attributable to Perella Weinberg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right="678"/>
        <w:spacing w:after="0" w:line="248" w:lineRule="auto"/>
        <w:rPr>
          <w:sz w:val="20"/>
          <w:szCs w:val="20"/>
          <w:color w:val="auto"/>
        </w:rPr>
      </w:pPr>
      <w:r>
        <w:rPr>
          <w:rFonts w:ascii="Arial" w:cs="Arial" w:eastAsia="Arial" w:hAnsi="Arial"/>
          <w:sz w:val="17"/>
          <w:szCs w:val="17"/>
          <w:color w:val="auto"/>
        </w:rPr>
        <w:t>Effect of assumed exchange of PWP OpCo common units for Class A common stock Estimated tax expense of assumed exchange of PWP OpCo common units for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23635" cy="25717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ind w:left="1340" w:right="2158" w:firstLine="360"/>
        <w:spacing w:after="0" w:line="234" w:lineRule="auto"/>
        <w:rPr>
          <w:sz w:val="20"/>
          <w:szCs w:val="20"/>
          <w:color w:val="auto"/>
        </w:rPr>
      </w:pPr>
      <w:r>
        <w:rPr>
          <w:rFonts w:ascii="Arial" w:cs="Arial" w:eastAsia="Arial" w:hAnsi="Arial"/>
          <w:sz w:val="18"/>
          <w:szCs w:val="18"/>
          <w:color w:val="auto"/>
        </w:rPr>
        <w:t>Net income (loss) attributable to Perella Weinberg Partners—Diluted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-126365</wp:posOffset>
            </wp:positionV>
            <wp:extent cx="622363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spacing w:after="0" w:line="236" w:lineRule="auto"/>
        <w:rPr>
          <w:sz w:val="20"/>
          <w:szCs w:val="20"/>
          <w:color w:val="auto"/>
        </w:rPr>
      </w:pPr>
      <w:r>
        <w:rPr>
          <w:rFonts w:ascii="Arial" w:cs="Arial" w:eastAsia="Arial" w:hAnsi="Arial"/>
          <w:sz w:val="18"/>
          <w:szCs w:val="18"/>
          <w:color w:val="auto"/>
        </w:rPr>
        <w:t>Weighted average number of Class A common stock outstanding—Basic</w:t>
      </w:r>
    </w:p>
    <w:p>
      <w:pPr>
        <w:ind w:left="1700"/>
        <w:spacing w:after="0" w:line="235" w:lineRule="auto"/>
        <w:rPr>
          <w:sz w:val="20"/>
          <w:szCs w:val="20"/>
          <w:color w:val="auto"/>
        </w:rPr>
      </w:pPr>
      <w:r>
        <w:rPr>
          <w:rFonts w:ascii="Arial" w:cs="Arial" w:eastAsia="Arial" w:hAnsi="Arial"/>
          <w:sz w:val="18"/>
          <w:szCs w:val="18"/>
          <w:color w:val="auto"/>
        </w:rPr>
        <w:t>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622363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700"/>
        <w:spacing w:after="0" w:line="235" w:lineRule="auto"/>
        <w:rPr>
          <w:sz w:val="20"/>
          <w:szCs w:val="20"/>
          <w:color w:val="auto"/>
        </w:rPr>
      </w:pPr>
      <w:r>
        <w:rPr>
          <w:rFonts w:ascii="Arial" w:cs="Arial" w:eastAsia="Arial" w:hAnsi="Arial"/>
          <w:sz w:val="18"/>
          <w:szCs w:val="18"/>
          <w:color w:val="auto"/>
        </w:rPr>
        <w:t>Incremental shares for RSUs under the treasury stock method</w:t>
      </w:r>
    </w:p>
    <w:p>
      <w:pPr>
        <w:ind w:left="1700"/>
        <w:spacing w:after="0"/>
        <w:rPr>
          <w:sz w:val="20"/>
          <w:szCs w:val="20"/>
          <w:color w:val="auto"/>
        </w:rPr>
      </w:pPr>
      <w:r>
        <w:rPr>
          <w:rFonts w:ascii="Arial" w:cs="Arial" w:eastAsia="Arial" w:hAnsi="Arial"/>
          <w:sz w:val="18"/>
          <w:szCs w:val="18"/>
          <w:color w:val="auto"/>
        </w:rPr>
        <w:t>Weighted-average shares of Class A common stock outstanding—Diluted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2363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Net income (loss) per Class A share—Diluted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2" w:hanging="462"/>
        <w:spacing w:after="0"/>
        <w:tabs>
          <w:tab w:leader="none" w:pos="4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13,228</w:t>
      </w:r>
    </w:p>
    <w:p>
      <w:pPr>
        <w:ind w:left="502"/>
        <w:spacing w:after="0"/>
        <w:rPr>
          <w:rFonts w:ascii="Arial" w:cs="Arial" w:eastAsia="Arial" w:hAnsi="Arial"/>
          <w:sz w:val="18"/>
          <w:szCs w:val="18"/>
          <w:color w:val="auto"/>
        </w:rPr>
      </w:pPr>
      <w:r>
        <w:rPr>
          <w:rFonts w:ascii="Arial" w:cs="Arial" w:eastAsia="Arial" w:hAnsi="Arial"/>
          <w:sz w:val="18"/>
          <w:szCs w:val="18"/>
          <w:color w:val="auto"/>
        </w:rPr>
        <w:t>(8,490)</w:t>
      </w:r>
    </w:p>
    <w:p>
      <w:pPr>
        <w:spacing w:after="0" w:line="19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3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3" w:lineRule="exact"/>
        <w:rPr>
          <w:sz w:val="20"/>
          <w:szCs w:val="20"/>
          <w:color w:val="auto"/>
        </w:rPr>
      </w:pPr>
    </w:p>
    <w:p>
      <w:pPr>
        <w:ind w:left="562" w:hanging="562"/>
        <w:spacing w:after="0"/>
        <w:tabs>
          <w:tab w:leader="none" w:pos="5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1,447</w:t>
      </w:r>
    </w:p>
    <w:p>
      <w:pPr>
        <w:spacing w:after="0" w:line="19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46,347,190</w:t>
      </w:r>
    </w:p>
    <w:p>
      <w:pPr>
        <w:jc w:val="right"/>
        <w:ind w:right="120"/>
        <w:spacing w:after="0" w:line="234" w:lineRule="auto"/>
        <w:rPr>
          <w:sz w:val="20"/>
          <w:szCs w:val="20"/>
          <w:color w:val="auto"/>
        </w:rPr>
      </w:pPr>
      <w:r>
        <w:rPr>
          <w:rFonts w:ascii="Arial" w:cs="Arial" w:eastAsia="Arial" w:hAnsi="Arial"/>
          <w:sz w:val="18"/>
          <w:szCs w:val="18"/>
          <w:color w:val="auto"/>
        </w:rPr>
        <w:t>50,154,199</w:t>
      </w:r>
    </w:p>
    <w:p>
      <w:pPr>
        <w:jc w:val="right"/>
        <w:ind w:right="120"/>
        <w:spacing w:after="0" w:line="235" w:lineRule="auto"/>
        <w:rPr>
          <w:sz w:val="20"/>
          <w:szCs w:val="20"/>
          <w:color w:val="auto"/>
        </w:rPr>
      </w:pPr>
      <w:r>
        <w:rPr>
          <w:rFonts w:ascii="Arial" w:cs="Arial" w:eastAsia="Arial" w:hAnsi="Arial"/>
          <w:sz w:val="18"/>
          <w:szCs w:val="18"/>
          <w:color w:val="auto"/>
        </w:rPr>
        <w:t>1,999,192</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8"/>
          <w:szCs w:val="18"/>
          <w:u w:val="single" w:color="auto"/>
          <w:color w:val="auto"/>
        </w:rPr>
        <w:t>98,500,581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30" w:lineRule="exact"/>
        <w:rPr>
          <w:sz w:val="20"/>
          <w:szCs w:val="20"/>
          <w:color w:val="auto"/>
        </w:rPr>
      </w:pPr>
    </w:p>
    <w:p>
      <w:pPr>
        <w:ind w:left="662" w:hanging="662"/>
        <w:spacing w:after="0"/>
        <w:tabs>
          <w:tab w:leader="none" w:pos="6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3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9278" w:space="720"/>
            <w:col w:w="1142"/>
          </w:cols>
          <w:pgMar w:left="320" w:top="459" w:right="439" w:bottom="1440" w:gutter="0" w:footer="0" w:header="0"/>
          <w:type w:val="continuous"/>
        </w:sectPr>
      </w:pPr>
    </w:p>
    <w:p>
      <w:pPr>
        <w:ind w:left="1320" w:right="320"/>
        <w:spacing w:after="0" w:line="246" w:lineRule="auto"/>
        <w:rPr>
          <w:sz w:val="20"/>
          <w:szCs w:val="20"/>
          <w:color w:val="auto"/>
        </w:rPr>
      </w:pPr>
      <w:r>
        <w:rPr>
          <w:rFonts w:ascii="Arial" w:cs="Arial" w:eastAsia="Arial" w:hAnsi="Arial"/>
          <w:sz w:val="18"/>
          <w:szCs w:val="18"/>
          <w:color w:val="auto"/>
        </w:rPr>
        <w:t>Net income (loss) per Class B share has not been presented as the shares have de minimis economic and participating rights.</w:t>
      </w:r>
    </w:p>
    <w:p>
      <w:pPr>
        <w:spacing w:after="0" w:line="102" w:lineRule="exact"/>
        <w:rPr>
          <w:sz w:val="20"/>
          <w:szCs w:val="20"/>
          <w:color w:val="auto"/>
        </w:rPr>
      </w:pPr>
    </w:p>
    <w:p>
      <w:pPr>
        <w:ind w:left="1300" w:right="160" w:hanging="644"/>
        <w:spacing w:after="0" w:line="246"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02"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pro forma adjustment to allocate the historical equity-based compensation related to Special Limited Partner awards that were granted in October 2018 to noncontrolling interests as the awards do not impact Perella Weinberg Partners as there is no additional dilution to the Perella Weinberg Partners shareholders and no impact to the allocation of distributions from PWP OpCo to each of its investors (including Perella Weinberg Partners). The Special Limited Partner awards were cancelled upon the granting of the VCUs and ACUs and will be accounted for as a modification.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COMPARATIVE PER SHARE INFORMATION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w:t>
      </w:r>
    </w:p>
    <w:p>
      <w:pPr>
        <w:spacing w:after="0" w:line="117" w:lineRule="exact"/>
        <w:rPr>
          <w:sz w:val="20"/>
          <w:szCs w:val="20"/>
          <w:color w:val="auto"/>
        </w:rPr>
      </w:pPr>
    </w:p>
    <w:p>
      <w:pPr>
        <w:ind w:left="880" w:right="120" w:hanging="224"/>
        <w:spacing w:after="0" w:line="24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 for the three months ended March 31, 2021; and</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three months ended March 31, 2021, after giving effect to the Business Combination.</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related transactions as if they had occurred on March 31, 2021 and January 1, 2020, respectively. The following table is also based on the assumption that there are no adjustments for the outstanding warrants issued by FTIV as such securities are not exercisable until 30 days after the closing of the Business Combination.</w:t>
      </w:r>
    </w:p>
    <w:p>
      <w:pPr>
        <w:spacing w:after="0" w:line="18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historical information should be read in conjunction with “</w:t>
      </w:r>
      <w:r>
        <w:rPr>
          <w:rFonts w:ascii="Arial" w:cs="Arial" w:eastAsia="Arial" w:hAnsi="Arial"/>
          <w:sz w:val="18"/>
          <w:szCs w:val="18"/>
          <w:i w:val="1"/>
          <w:iCs w:val="1"/>
          <w:color w:val="auto"/>
        </w:rPr>
        <w:t>Selected Consolidated Historical Financial Information of PWP</w:t>
      </w:r>
      <w:r>
        <w:rPr>
          <w:rFonts w:ascii="Arial" w:cs="Arial" w:eastAsia="Arial" w:hAnsi="Arial"/>
          <w:sz w:val="18"/>
          <w:szCs w:val="18"/>
          <w:color w:val="auto"/>
        </w:rPr>
        <w:t>” and “</w:t>
      </w:r>
      <w:r>
        <w:rPr>
          <w:rFonts w:ascii="Arial" w:cs="Arial" w:eastAsia="Arial" w:hAnsi="Arial"/>
          <w:sz w:val="18"/>
          <w:szCs w:val="18"/>
          <w:i w:val="1"/>
          <w:iCs w:val="1"/>
          <w:color w:val="auto"/>
        </w:rPr>
        <w:t>PWP’s Management’s Discussion and Analysis of Financial Condition and Results of Operations</w:t>
      </w:r>
      <w:r>
        <w:rPr>
          <w:rFonts w:ascii="Arial" w:cs="Arial" w:eastAsia="Arial" w:hAnsi="Arial"/>
          <w:sz w:val="18"/>
          <w:szCs w:val="18"/>
          <w:color w:val="auto"/>
        </w:rPr>
        <w:t>” contained elsewhere in this prospectus and the audited historical financial statements and the related notes of PWP and FTIV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related transactions or to project our results of operations that may be achieved after the Business Combination. The unaudited pro forma book value per share information below does not purport to represent our actual book value giving effect to the Business Combination and related transactions nor the book value per share for any future date or period.</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PWP</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FTIV</w:t>
            </w: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65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Combined</w:t>
            </w: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Book value per share(1)</w:t>
            </w: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w w:val="88"/>
              </w:rPr>
              <w:t>—</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Basic net income (loss) per Class A common share, March 31, 2021</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0.29</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(loss) per Class A common share, March 31, 2021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outstanding—basic, March 31, 2021</w:t>
            </w:r>
          </w:p>
        </w:tc>
        <w:tc>
          <w:tcPr>
            <w:tcW w:w="140" w:type="dxa"/>
            <w:vAlign w:val="bottom"/>
          </w:tcPr>
          <w:p>
            <w:pPr>
              <w:spacing w:after="0"/>
              <w:rPr>
                <w:sz w:val="17"/>
                <w:szCs w:val="17"/>
                <w:color w:val="auto"/>
              </w:rPr>
            </w:pPr>
          </w:p>
        </w:tc>
        <w:tc>
          <w:tcPr>
            <w:tcW w:w="9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w w:val="97"/>
              </w:rPr>
              <w:t>23,000,000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46,347,190</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outstanding—diluted, March 31, 2021</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w w:val="97"/>
              </w:rPr>
              <w:t>23,000,000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98,500,581</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Basic net income (loss) per Class A common share, December 31, 2020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(0.77)</w:t>
            </w: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Class A common share, December 31,</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(1.56)</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Weighted average shares outstanding—basic, December 31, 2020</w:t>
            </w:r>
          </w:p>
        </w:tc>
        <w:tc>
          <w:tcPr>
            <w:tcW w:w="140" w:type="dxa"/>
            <w:vAlign w:val="bottom"/>
          </w:tcPr>
          <w:p>
            <w:pPr>
              <w:spacing w:after="0"/>
              <w:rPr>
                <w:sz w:val="17"/>
                <w:szCs w:val="17"/>
                <w:color w:val="auto"/>
              </w:rPr>
            </w:pPr>
          </w:p>
        </w:tc>
        <w:tc>
          <w:tcPr>
            <w:tcW w:w="9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w w:val="97"/>
              </w:rPr>
              <w:t>23,000,000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44,480,947</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outstanding—diluted, December 31, 2020</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w w:val="97"/>
              </w:rPr>
              <w:t>23,000,000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94,635,145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520" w:right="1340" w:hanging="5404"/>
        <w:spacing w:after="0" w:line="418" w:lineRule="auto"/>
        <w:tabs>
          <w:tab w:leader="none" w:pos="6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Book value per share equals total equity divided by weighted average Class A common stock outstanding—diluted. 94</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ind w:left="120" w:right="360" w:firstLine="551"/>
        <w:spacing w:after="0" w:line="238" w:lineRule="auto"/>
        <w:rPr>
          <w:sz w:val="20"/>
          <w:szCs w:val="20"/>
          <w:color w:val="auto"/>
        </w:rPr>
      </w:pPr>
      <w:r>
        <w:rPr>
          <w:rFonts w:ascii="Arial" w:cs="Arial" w:eastAsia="Arial" w:hAnsi="Arial"/>
          <w:sz w:val="18"/>
          <w:szCs w:val="18"/>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of the Business Combination</w:t>
      </w:r>
    </w:p>
    <w:p>
      <w:pPr>
        <w:spacing w:after="0" w:line="126" w:lineRule="exact"/>
        <w:rPr>
          <w:sz w:val="20"/>
          <w:szCs w:val="20"/>
          <w:color w:val="auto"/>
        </w:rPr>
      </w:pPr>
    </w:p>
    <w:p>
      <w:pPr>
        <w:ind w:left="120" w:right="360" w:firstLine="551"/>
        <w:spacing w:after="0" w:line="238"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10" w:lineRule="exact"/>
        <w:rPr>
          <w:sz w:val="20"/>
          <w:szCs w:val="20"/>
          <w:color w:val="auto"/>
        </w:rPr>
      </w:pPr>
    </w:p>
    <w:p>
      <w:pPr>
        <w:ind w:left="1300" w:right="180" w:hanging="644"/>
        <w:spacing w:after="0" w:line="238"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w:t>
      </w:r>
    </w:p>
    <w:p>
      <w:pPr>
        <w:spacing w:after="0" w:line="110"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17" w:lineRule="exact"/>
        <w:rPr>
          <w:rFonts w:ascii="Arial" w:cs="Arial" w:eastAsia="Arial" w:hAnsi="Arial"/>
          <w:sz w:val="18"/>
          <w:szCs w:val="18"/>
          <w:color w:val="auto"/>
        </w:rPr>
      </w:pPr>
    </w:p>
    <w:p>
      <w:pPr>
        <w:ind w:left="1300" w:hanging="644"/>
        <w:spacing w:after="0" w:line="23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08" w:lineRule="exact"/>
        <w:rPr>
          <w:rFonts w:ascii="Arial" w:cs="Arial" w:eastAsia="Arial" w:hAnsi="Arial"/>
          <w:sz w:val="18"/>
          <w:szCs w:val="18"/>
          <w:color w:val="auto"/>
        </w:rPr>
      </w:pPr>
    </w:p>
    <w:p>
      <w:pPr>
        <w:ind w:left="1300" w:right="240" w:hanging="644"/>
        <w:spacing w:after="0" w:line="238"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repayment of all outstanding borrowings under the Revolving Credit Agreement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205"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Proxy Statement.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w:t>
      </w:r>
    </w:p>
    <w:p>
      <w:pPr>
        <w:ind w:left="120"/>
        <w:spacing w:after="0" w:line="234" w:lineRule="auto"/>
        <w:rPr>
          <w:sz w:val="20"/>
          <w:szCs w:val="20"/>
          <w:color w:val="auto"/>
        </w:rPr>
      </w:pPr>
      <w:r>
        <w:rPr>
          <w:rFonts w:ascii="Arial" w:cs="Arial" w:eastAsia="Arial" w:hAnsi="Arial"/>
          <w:sz w:val="18"/>
          <w:szCs w:val="18"/>
          <w:color w:val="auto"/>
        </w:rPr>
        <w:t>$975,000,000, including certain cash consideration in the approximate amount of $230,000,000, which was financed with the funds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available in the Trust Account as well as a $125,000,000 fully committed private placement in private equity.</w:t>
      </w:r>
    </w:p>
    <w:p>
      <w:pPr>
        <w:spacing w:after="0" w:line="21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560"/>
        <w:spacing w:after="0"/>
        <w:rPr>
          <w:sz w:val="20"/>
          <w:szCs w:val="20"/>
          <w:color w:val="auto"/>
        </w:rPr>
      </w:pPr>
      <w:r>
        <w:rPr>
          <w:rFonts w:ascii="Arial" w:cs="Arial" w:eastAsia="Arial" w:hAnsi="Arial"/>
          <w:sz w:val="18"/>
          <w:szCs w:val="18"/>
          <w:color w:val="auto"/>
        </w:rPr>
        <w:t>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w:t>
      </w:r>
    </w:p>
    <w:p>
      <w:pPr>
        <w:spacing w:after="0" w:line="203" w:lineRule="exact"/>
        <w:rPr>
          <w:sz w:val="20"/>
          <w:szCs w:val="20"/>
          <w:color w:val="auto"/>
        </w:rPr>
      </w:pPr>
    </w:p>
    <w:p>
      <w:pPr>
        <w:ind w:left="120" w:right="440" w:firstLine="551"/>
        <w:spacing w:after="0" w:line="274" w:lineRule="auto"/>
        <w:rPr>
          <w:sz w:val="20"/>
          <w:szCs w:val="20"/>
          <w:color w:val="auto"/>
        </w:rPr>
      </w:pPr>
      <w:r>
        <w:rPr>
          <w:rFonts w:ascii="Arial" w:cs="Arial" w:eastAsia="Arial" w:hAnsi="Arial"/>
          <w:sz w:val="17"/>
          <w:szCs w:val="17"/>
          <w:color w:val="auto"/>
        </w:rPr>
        <w:t>On the Closing Date of the Business Combination, we entered into certain related agreements, including the Tax Receivable Agreement, Amended and Restated Registration Rights Agreement and Stockholders Agreement (each of which is described below).</w:t>
      </w:r>
    </w:p>
    <w:p>
      <w:pPr>
        <w:spacing w:after="0" w:line="175" w:lineRule="exact"/>
        <w:rPr>
          <w:sz w:val="20"/>
          <w:szCs w:val="20"/>
          <w:color w:val="auto"/>
        </w:rPr>
      </w:pPr>
    </w:p>
    <w:p>
      <w:pPr>
        <w:ind w:left="120" w:right="560" w:firstLine="551"/>
        <w:spacing w:after="0"/>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Interests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(millions)</w:t>
            </w:r>
          </w:p>
        </w:tc>
        <w:tc>
          <w:tcPr>
            <w:tcW w:w="6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 A Shares (excluding Founder Shares)</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36.1</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Founder Shares(1)</w:t>
            </w:r>
          </w:p>
        </w:tc>
        <w:tc>
          <w:tcPr>
            <w:tcW w:w="18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6.8</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Class A Common Stock Outstanding</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43.0</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Additional Class A Common Stock Assuming All PWP OpCo Units Exchanged(2)</w:t>
            </w:r>
          </w:p>
        </w:tc>
        <w:tc>
          <w:tcPr>
            <w:tcW w:w="116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640" w:type="dxa"/>
            <w:vAlign w:val="bottom"/>
            <w:vMerge w:val="continue"/>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53.9%</w:t>
            </w: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Class A Common Stock (Assuming PWP OpCo Units are Fully Exchanged) Excluding</w:t>
            </w:r>
          </w:p>
        </w:tc>
        <w:tc>
          <w:tcPr>
            <w:tcW w:w="1160" w:type="dxa"/>
            <w:vAlign w:val="bottom"/>
            <w:tcBorders>
              <w:top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Unvested RSUs and Warrants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93.1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39"/>
        </w:trPr>
        <w:tc>
          <w:tcPr>
            <w:tcW w:w="8480" w:type="dxa"/>
            <w:vAlign w:val="bottom"/>
          </w:tcPr>
          <w:p>
            <w:pPr>
              <w:spacing w:after="0"/>
              <w:rPr>
                <w:sz w:val="20"/>
                <w:szCs w:val="20"/>
                <w:color w:val="auto"/>
              </w:rPr>
            </w:pPr>
            <w:r>
              <w:rPr>
                <w:rFonts w:ascii="Arial" w:cs="Arial" w:eastAsia="Arial" w:hAnsi="Arial"/>
                <w:sz w:val="18"/>
                <w:szCs w:val="18"/>
                <w:b w:val="1"/>
                <w:bCs w:val="1"/>
                <w:color w:val="auto"/>
              </w:rPr>
              <w:t>Warrants Struck at $11.50 (Excluded Above)</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7.9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amounts on this capitalization table are approximate and are provided as of June 30, 2021.</w:t>
      </w:r>
    </w:p>
    <w:p>
      <w:pPr>
        <w:ind w:left="660" w:hanging="544"/>
        <w:spacing w:after="0" w:line="23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 of founder shares (1.4 million unrestricted of 6.8 million) are not subject to performance targets. 80% of founder shares</w:t>
      </w:r>
    </w:p>
    <w:p>
      <w:pPr>
        <w:ind w:left="660" w:right="220"/>
        <w:spacing w:after="0" w:line="234" w:lineRule="auto"/>
        <w:rPr>
          <w:rFonts w:ascii="Arial" w:cs="Arial" w:eastAsia="Arial" w:hAnsi="Arial"/>
          <w:sz w:val="18"/>
          <w:szCs w:val="18"/>
          <w:color w:val="auto"/>
        </w:rPr>
      </w:pPr>
      <w:r>
        <w:rPr>
          <w:rFonts w:ascii="Arial" w:cs="Arial" w:eastAsia="Arial" w:hAnsi="Arial"/>
          <w:sz w:val="18"/>
          <w:szCs w:val="18"/>
          <w:color w:val="auto"/>
        </w:rPr>
        <w:t>(5.5 million restricted of 6.8 million) are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w:t>
      </w:r>
    </w:p>
    <w:p>
      <w:pPr>
        <w:spacing w:after="0" w:line="2" w:lineRule="exact"/>
        <w:rPr>
          <w:rFonts w:ascii="Arial" w:cs="Arial" w:eastAsia="Arial" w:hAnsi="Arial"/>
          <w:sz w:val="18"/>
          <w:szCs w:val="18"/>
          <w:color w:val="auto"/>
        </w:rPr>
      </w:pPr>
    </w:p>
    <w:p>
      <w:pPr>
        <w:jc w:val="both"/>
        <w:ind w:left="660" w:right="160" w:hanging="544"/>
        <w:spacing w:after="0" w:line="23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Assumes that all PWP OpCo Units and shares of Class B-1 and Class B-2 common stock held by Professional Partners and ILPs, respectively, are exchanged for Class A common stock. As the Class B-1 and Class B-2 shares have de minimis economic rights, they have been excluded from the calculations in this table of Class A common stock issued upon exchange of PWP OpCo Units and Class B shares.</w:t>
      </w:r>
    </w:p>
    <w:p>
      <w:pPr>
        <w:spacing w:after="0" w:line="29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Related Agreements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In connection with the Closing, we entered into the Amended and Restated Registration Rights Agreement, with the Sponsor, Professionals, and the third party investor limited partners of PWP OpCo (other than Professional Partners) (each such limited partner, an “</w:t>
      </w:r>
      <w:r>
        <w:rPr>
          <w:rFonts w:ascii="Arial" w:cs="Arial" w:eastAsia="Arial" w:hAnsi="Arial"/>
          <w:sz w:val="18"/>
          <w:szCs w:val="18"/>
          <w:u w:val="single" w:color="auto"/>
          <w:color w:val="auto"/>
        </w:rPr>
        <w:t>ILP</w:t>
      </w:r>
      <w:r>
        <w:rPr>
          <w:rFonts w:ascii="Arial" w:cs="Arial" w:eastAsia="Arial" w:hAnsi="Arial"/>
          <w:sz w:val="18"/>
          <w:szCs w:val="18"/>
          <w:color w:val="auto"/>
        </w:rPr>
        <w:t>”)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202"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Amended and Restated Registration Rights Agreement provides that we will as soon as practicable but no later than 30 business days following the closing date of the Business Combination,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7"/>
          <w:szCs w:val="17"/>
          <w:color w:val="auto"/>
        </w:rPr>
        <w:t>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w:t>
      </w:r>
    </w:p>
    <w:p>
      <w:pPr>
        <w:spacing w:after="0" w:line="2" w:lineRule="exact"/>
        <w:rPr>
          <w:sz w:val="20"/>
          <w:szCs w:val="20"/>
          <w:color w:val="auto"/>
        </w:rPr>
      </w:pPr>
    </w:p>
    <w:p>
      <w:pPr>
        <w:ind w:left="120" w:hanging="4"/>
        <w:spacing w:after="0"/>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26"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18"/>
          <w:szCs w:val="18"/>
          <w:color w:val="auto"/>
        </w:rPr>
        <w:t>On the Closing Date, the Company and Professional Partners entered into a stockholders agreement, pursuant to which, for so long as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the Company or its subsidiaries had been exchanged for our Class A common stock) (the “</w:t>
      </w:r>
      <w:r>
        <w:rPr>
          <w:rFonts w:ascii="Arial" w:cs="Arial" w:eastAsia="Arial" w:hAnsi="Arial"/>
          <w:sz w:val="18"/>
          <w:szCs w:val="18"/>
          <w:u w:val="single" w:color="auto"/>
          <w:color w:val="auto"/>
        </w:rPr>
        <w:t>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w:t>
      </w:r>
      <w:r>
        <w:rPr>
          <w:rFonts w:ascii="Arial" w:cs="Arial" w:eastAsia="Arial" w:hAnsi="Arial"/>
          <w:sz w:val="18"/>
          <w:szCs w:val="18"/>
          <w:color w:val="auto"/>
        </w:rPr>
        <w:t xml:space="preserve"> ”), Professional Partners will have approval rights over the following actions: (a) any incurrence of indebtedness (other than inter-company indebtedness) by the Company or any of its subsidiaries or controlled affiliates in an amount in excess of $ 25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w:t>
      </w:r>
    </w:p>
    <w:p>
      <w:pPr>
        <w:spacing w:after="0" w:line="1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$25 million; (f) any disposition or divestment by the Company or any of its subsidiaries or controlled affiliates of any asset or business unit with a value in excess of $ 25 million; (g) the adoption of a stockholder rights plan by the Company; (h) any removal, change of duty or appointment of any officer of the Company that is, or would be, subject to Section 16 of the Exchange Act ; (i) any amendment to the Second Amended and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20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Additionally, for so long as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the Company or its subsidiaries had been exchanged for our Class A common stock) (the “</w:t>
      </w:r>
      <w:r>
        <w:rPr>
          <w:rFonts w:ascii="Arial" w:cs="Arial" w:eastAsia="Arial" w:hAnsi="Arial"/>
          <w:sz w:val="18"/>
          <w:szCs w:val="18"/>
          <w:u w:val="single" w:color="auto"/>
          <w:color w:val="auto"/>
        </w:rPr>
        <w:t>Secondary Class B Condition</w:t>
      </w:r>
      <w:r>
        <w:rPr>
          <w:rFonts w:ascii="Arial" w:cs="Arial" w:eastAsia="Arial" w:hAnsi="Arial"/>
          <w:sz w:val="18"/>
          <w:szCs w:val="18"/>
          <w:color w:val="auto"/>
        </w:rPr>
        <w:t>”), Professional Partners will have approval rights over the following actions: (a) any amendment to the Second Amended and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207"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97"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26"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On the Closing Date, PWP OpCo adopted an Amended and Restated Agreement of Limited Partnership of PWP OpCo (as amended, restated, modified or supplemented from time to time, the “</w:t>
      </w:r>
      <w:r>
        <w:rPr>
          <w:rFonts w:ascii="Arial" w:cs="Arial" w:eastAsia="Arial" w:hAnsi="Arial"/>
          <w:sz w:val="18"/>
          <w:szCs w:val="18"/>
          <w:u w:val="single" w:color="auto"/>
          <w:color w:val="auto"/>
        </w:rPr>
        <w:t>PWP OpCo LPA</w:t>
      </w:r>
      <w:r>
        <w:rPr>
          <w:rFonts w:ascii="Arial" w:cs="Arial" w:eastAsia="Arial" w:hAnsi="Arial"/>
          <w:sz w:val="18"/>
          <w:szCs w:val="18"/>
          <w:color w:val="auto"/>
        </w:rPr>
        <w:t>”). We operate our business through PWP OpCo and its subsidiaries. The provisions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governing the operations of PWP OpCo and the rights and obligations of its partners are set forth in the PWP OpCo LPA, the material terms of which are described below.</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Governance</w:t>
      </w:r>
    </w:p>
    <w:p>
      <w:pPr>
        <w:spacing w:after="0" w:line="122"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Through our control of PWP GP, the general partner of PWP OpCo, we have unilateral control (subject to the consent of PWP OpCo’s partners on certain limited matters) over the affairs and decisions of PWP OpCo, including the appointment of officers and directors of PWP OpCo. As such, including through such officers and directors, we are responsible for all operational and administrative decisions of PWP OpCo and the day-to-day management of PWP OpCo’s business. Furthermore, PWP GP cannot be removed as the general partner without our approval. No PWP OpCo Class A unitholders, in their capacity as such, have any authority or right to control the management of PWP OpCo or to bind it in connection with any matter. However, Professional Partners, which is ultimately managed by a committee of Limited Partners that manages Professionals GP, the general partner of Professional Partners, has the ability to exercise majority voting control over us by virtue of its ownership of all outstanding shares of our Class B-1 common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and Economic Rights</w:t>
      </w:r>
    </w:p>
    <w:p>
      <w:pPr>
        <w:spacing w:after="0" w:line="12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Company, Professional Partners and certain of the ILPs hold PWP OpCo Class A partnership units. PWP OpCo Class A partnership unitholders will have no voting rights by virtue of their ownership of PWP OpCo Class A partnership units, except for the right to approve certain amendments to the PWP OpCo LPA and certain changes to the distribution or redemption rights of the limited partners of PWP OpCo. Professional Partners, which is ultimately managed by a committee of Limited Partners that manages Professionals GP, the general partner of Professional Partners, holds all outstanding shares of our Class B-1 common stock, enabling it to exercise majority voting control over us and, indirectly, over PWP OpCo.</w:t>
      </w:r>
    </w:p>
    <w:p>
      <w:pPr>
        <w:spacing w:after="0" w:line="205"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Pursuant to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except as required under the terms of any new partnership interests that we may create in the future.</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holders of Class A partnership units, including the Company,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we may create in the future. In accordance with the PWP OpCo LPA, we intend to use our best efforts to cause PWP OpCo to make sufficient cash distributions to the holders of partnership units of PWP OpCo to fund their tax obligations in respect of the income of PWP OpCo that is allocated to them. Generally, these tax distributions will be computed based on our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Coordination of Perella Weinberg Partners and PWP OpCo</w:t>
      </w:r>
    </w:p>
    <w:p>
      <w:pPr>
        <w:spacing w:after="0" w:line="12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At any time we issue a share of our Class A common stock for cash, the net proceeds received by us will be promptly transferred to PWP OpCo, and PWP OpCo will issue to us one of its PWP OpCo</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Class A partnership units. At any time we issue a share of our Class A common stock pursuant to the Perella Weinberg Partners 2021 Omnibus Incentive Plan, we will contribute to PWP OpCo all of the proceeds that we receive (if any), and PWP OpCo will issue to us one of its PWP OpCo Class A partnership units, having the same restrictions, if any, attached to the shares of our Class A common stock issued under the Perella Weinberg Partners 2021 Omnibus Incentive Plan.</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Under the terms of the PWP OpCo LPA, we may in the future cause PWP OpCo to issue PWP OpCo Class A partnership units or other, newly created classes of PWP OpCo securities to one or more investors having such rights, preferences and other terms as we determine, and in such amounts as we may determine. In addition, we may in the future elect to compensate our employees by granting them, directly or indirectly, PWP OpCo Class A partnership units, whether or not subject to forfeiture, or profits interests or other securities. Any such issuance may have a dilutive effect on the economic interest we hold in PWP OpCo.</w:t>
      </w:r>
    </w:p>
    <w:p>
      <w:pPr>
        <w:spacing w:after="0" w:line="202"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Pursuant to the PWP OpCo LPA, we agree, subject to certain limited exceptions set forth in the PWP OpCo LPA, not to conduct any business other than in connection with (i) our operation as a reporting company with a class (or classes) of securities registered under the Exchange Act, (ii) the offering, sale, syndication, private placement or public offering of stock, bonds, securities or other interests, (iii) financing or refinancing of any type related to PWP OpCo or its assets or activities and (iv) such activities as are incidental thereto.</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Corporate Transactions</w:t>
      </w:r>
    </w:p>
    <w:p>
      <w:pPr>
        <w:spacing w:after="0" w:line="12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Through our ownership of PWP GP, the general partner of PWP OpCo, we have the power and authority to cause PWP OpCo to engage in material corporate transactions, including a merger, consolidation, dissolution or sale of substantially all of its assets. In addition, in the event that we, through PWP GP, in its capacity as the general partner of PWP OpCo, determines that all (or any portion) of our partnership units of PWP OpCo should be sold to a third party purchaser, we will have the right to compel the other holders of the partnership units of PWP OpCo to sell all (or the same portion) of their partnership units of PWP OpCo to such third party purchaser.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Rights</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the Company, holders of PWP OpCo Class A partnership units (other than the Company)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w:t>
      </w:r>
    </w:p>
    <w:p>
      <w:pPr>
        <w:spacing w:after="0" w:line="202"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have reserved approximately 61.1 million shares of Class A common stock for issuance on the Closing or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the Company is correspondingly increased as we acquire the exchanged Class A partnership units (and a corresponding number of shares of Class B common stock are converted). We may in the future cause PWP OpCo to issue additional PWP OpCo Class A partnership units that would also be exchangeable for shares of Class A common stock.</w:t>
      </w:r>
    </w:p>
    <w:p>
      <w:pPr>
        <w:spacing w:after="0" w:line="2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PWP OpCo LPA contains restrictions on the ability to exchange Class A partnership units for shares of Class A common stock or cash from an offering of shares of Class A common stock, for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will be 180 days after Closing; and (b) for Working Partners, will be between three to five years after the Closing), (ii) Class A partnership units held by ILPs existing at the time of the Business Combination will be subject to such restriction for 180 days after the Closing, and (iii) any other outstanding Class A partnership units not previously covered by clauses (i) and (ii) above will be subject to such restriction for a period of twelve months following the date on which such Class A partnership units were acquired. PWP GP may waive the foregoing restrictions for any holder with respect to all or a portion of such holder’s units, with no obligation to do so for any other holder.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of Class B Common Stock</w:t>
      </w:r>
    </w:p>
    <w:p>
      <w:pPr>
        <w:spacing w:after="0" w:line="12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60,000 shares of Class A common stock for issuance on the Closing or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Exculpation and Indemnification</w:t>
      </w:r>
    </w:p>
    <w:p>
      <w:pPr>
        <w:spacing w:after="0" w:line="122" w:lineRule="exact"/>
        <w:rPr>
          <w:sz w:val="20"/>
          <w:szCs w:val="20"/>
          <w:color w:val="auto"/>
        </w:rPr>
      </w:pPr>
    </w:p>
    <w:p>
      <w:pPr>
        <w:ind w:left="120" w:firstLine="551"/>
        <w:spacing w:after="0" w:line="257" w:lineRule="auto"/>
        <w:rPr>
          <w:sz w:val="20"/>
          <w:szCs w:val="20"/>
          <w:color w:val="auto"/>
        </w:rPr>
      </w:pPr>
      <w:r>
        <w:rPr>
          <w:rFonts w:ascii="Arial" w:cs="Arial" w:eastAsia="Arial" w:hAnsi="Arial"/>
          <w:sz w:val="17"/>
          <w:szCs w:val="17"/>
          <w:color w:val="auto"/>
        </w:rPr>
        <w:t>None of PWP GP, the Company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8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PWP OpCo will indemnify and hold harmless PWP GP and the Company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Reimbursement of Operating Expenses</w:t>
      </w:r>
    </w:p>
    <w:p>
      <w:pPr>
        <w:spacing w:after="0" w:line="122" w:lineRule="exact"/>
        <w:rPr>
          <w:sz w:val="20"/>
          <w:szCs w:val="20"/>
          <w:color w:val="auto"/>
        </w:rPr>
      </w:pPr>
    </w:p>
    <w:p>
      <w:pPr>
        <w:jc w:val="both"/>
        <w:ind w:left="120" w:right="420" w:firstLine="551"/>
        <w:spacing w:after="0"/>
        <w:rPr>
          <w:sz w:val="20"/>
          <w:szCs w:val="20"/>
          <w:color w:val="auto"/>
        </w:rPr>
      </w:pPr>
      <w:r>
        <w:rPr>
          <w:rFonts w:ascii="Arial" w:cs="Arial" w:eastAsia="Arial" w:hAnsi="Arial"/>
          <w:sz w:val="18"/>
          <w:szCs w:val="18"/>
          <w:color w:val="auto"/>
        </w:rPr>
        <w:t>PWP OpCo shall be liable for, and shall reimburse the Company, PWP GP, Professional Partners and Professionals GP, in its capacity as general partner of Professional Partners, for, operating expenses (including indemnification obligations) as set forth in the PWP OpCo LPA.</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Dissolution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PWP OpCo may be dissolved only upon the occurrence of certain unlikely events specified in the PWP OpCo LPA.</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GP Limited Liability Company Agreement</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On the Closing Date, the Company, in its capacity as the sole and managing member of PWP GP, entered into the Amended and Restated Limited Liability Company Agreement of PWP GP, which, among other things, provides that PWP GP will act as general partner of PWP OpCo.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Company’s acquisition of Class A partnership units in PWP OpCo as part of the Closing, and if and when applicable pursuant to future exchanges of PWP OpCo Class A partnership units for shares of our Class A common stock or cash, and certain other transactions, are expected to result in increases in the tax basis of PWP OpCo’s assets that otherwise would not have been available to us. Such increases in tax basis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the Closing Date, in connection with the consummation of the Business Combination, we entered into a Tax Receivable Agreement with PWP OpCo, Professional Partners and certain other persons party thereto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For purposes of the Tax Receivable Agreement,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Tax Receivable Agreement. The term of the Tax Receivable Agreement will commence upon consummation of the Business Combination and will continue until all such tax benefits have been utilized or expired, unless the Company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our Class A common stock). The Tax Receivable Agreement will cover any exchanges of PWP OpCo Class A partnership units by ILPs and Limited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20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payment obligation under the Tax Receivable Agreement is an obligation of Perella Weinberg Partners and not an obligation of PWP OpCo. In addition, although we are not aware of any issue that would cause the IRS to challenge a tax basis increase that results in a payment under the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Tax Receivable Agreement, the ILPs and/or Limited Partners will not reimburse us for any payments previously made under the Tax Receivable Agreement if such basis increases or other benefits are subsequently disallowed, although excess payments made to any ILP and/or Limited Partner may be netted against payments otherwise to be made, if any, to the relevant ILP or Limited Partner after our determination of such excess. As a result, in certain circumstances we may make payments to the ILPs and/or Limited Partners under the Tax Receivable Agreement in excess of our actual cash tax savings. While the actual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Tax Receivable Agreement, the payments that we may make to the ILPs and/or Limited Partners could be substantial. Payments made under the Tax Receivable Agreement are required to be made within 240 days of the filing of the Company’s tax returns. Because we generally expect to receive the tax savings prior to making the cash payments to the ILPs and/or Limited Partners, we do not expect the cash payments to have a material impact on our liquidity.</w:t>
      </w:r>
    </w:p>
    <w:p>
      <w:pPr>
        <w:spacing w:after="0" w:line="2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will be subject to transfer restrictions for six months following the Closing and that 80% of the founder shares held by it will also be subject to vesting conditions based on certain closing share price thresholds of our Class A common stock for 20 out of any 30 consecutive trading days, specifically:</w:t>
      </w:r>
    </w:p>
    <w:p>
      <w:pPr>
        <w:spacing w:after="0" w:line="108" w:lineRule="exact"/>
        <w:rPr>
          <w:sz w:val="20"/>
          <w:szCs w:val="20"/>
          <w:color w:val="auto"/>
        </w:rPr>
      </w:pPr>
    </w:p>
    <w:p>
      <w:pPr>
        <w:ind w:left="880" w:right="80" w:hanging="224"/>
        <w:spacing w:after="0" w:line="24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shall not be transferable or salable until the date that is the six-month anniversary of the Closing (the “</w:t>
      </w:r>
      <w:r>
        <w:rPr>
          <w:rFonts w:ascii="Arial" w:cs="Arial" w:eastAsia="Arial" w:hAnsi="Arial"/>
          <w:sz w:val="18"/>
          <w:szCs w:val="18"/>
          <w:u w:val="single" w:color="auto"/>
          <w:color w:val="auto"/>
        </w:rPr>
        <w:t>6-Month Anniversary</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1,369,334 founder shares shall not be transferable or salable until the later of (x) the 6-Month Anniversary and (y) the earlier of</w:t>
      </w:r>
    </w:p>
    <w:p>
      <w:pPr>
        <w:ind w:left="880" w:right="320" w:hanging="8"/>
        <w:spacing w:after="0" w:line="246" w:lineRule="auto"/>
        <w:tabs>
          <w:tab w:leader="none" w:pos="11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ten-year anniversary of the Closing (the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and (B) the date that is 15 days following the first date that the closing share price is greater than $12.00 per share for any 20 out of 30 consecutive trading days;</w:t>
      </w:r>
    </w:p>
    <w:p>
      <w:pPr>
        <w:spacing w:after="0" w:line="97"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w:t>
      </w:r>
    </w:p>
    <w:p>
      <w:pPr>
        <w:ind w:left="1160" w:hanging="288"/>
        <w:spacing w:after="0" w:line="234"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10-Year Anniversary and (B) the first date that the closing share price is greater than $13.50 per share for any 20 out of</w:t>
      </w:r>
    </w:p>
    <w:p>
      <w:pPr>
        <w:ind w:left="880"/>
        <w:spacing w:after="0"/>
        <w:rPr>
          <w:rFonts w:ascii="Arial" w:cs="Arial" w:eastAsia="Arial" w:hAnsi="Arial"/>
          <w:sz w:val="18"/>
          <w:szCs w:val="18"/>
          <w:color w:val="auto"/>
        </w:rPr>
      </w:pPr>
      <w:r>
        <w:rPr>
          <w:rFonts w:ascii="Arial" w:cs="Arial" w:eastAsia="Arial" w:hAnsi="Arial"/>
          <w:sz w:val="18"/>
          <w:szCs w:val="18"/>
          <w:color w:val="auto"/>
        </w:rPr>
        <w:t>30 consecutive trading days;</w:t>
      </w:r>
    </w:p>
    <w:p>
      <w:pPr>
        <w:spacing w:after="0" w:line="112"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w:t>
      </w:r>
    </w:p>
    <w:p>
      <w:pPr>
        <w:ind w:left="1160" w:hanging="288"/>
        <w:spacing w:after="0" w:line="234"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10-Year Anniversary and (B) the date that is 15 days following the first date that the closing share price is greater than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$15.00 per share for any 20 out of 30 consecutive trading days; and</w:t>
      </w:r>
    </w:p>
    <w:p>
      <w:pPr>
        <w:spacing w:after="0" w:line="113"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w:t>
      </w:r>
    </w:p>
    <w:p>
      <w:pPr>
        <w:ind w:left="880" w:right="200"/>
        <w:spacing w:after="0" w:line="246" w:lineRule="auto"/>
        <w:rPr>
          <w:rFonts w:ascii="Arial" w:cs="Arial" w:eastAsia="Arial" w:hAnsi="Arial"/>
          <w:sz w:val="18"/>
          <w:szCs w:val="18"/>
          <w:color w:val="auto"/>
        </w:rPr>
      </w:pPr>
      <w:r>
        <w:rPr>
          <w:rFonts w:ascii="Arial" w:cs="Arial" w:eastAsia="Arial" w:hAnsi="Arial"/>
          <w:sz w:val="18"/>
          <w:szCs w:val="18"/>
          <w:color w:val="auto"/>
        </w:rPr>
        <w:t>(A) the 10-Year Anniversary and (B) the first date that the closing share price is greater than $17.00 per share for any 20 out of 30 consecutive trading days;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prior to the fourth anniversary of the Closing, the closing share price is greater than $12.00 per share or $15.00 per share for any period of 20 out of 30 consecutive trading days (each a “</w:t>
      </w:r>
      <w:r>
        <w:rPr>
          <w:rFonts w:ascii="Arial" w:cs="Arial" w:eastAsia="Arial" w:hAnsi="Arial"/>
          <w:sz w:val="18"/>
          <w:szCs w:val="18"/>
          <w:u w:val="single" w:color="auto"/>
          <w:color w:val="auto"/>
        </w:rPr>
        <w:t>Trigger Date</w:t>
      </w:r>
      <w:r>
        <w:rPr>
          <w:rFonts w:ascii="Arial" w:cs="Arial" w:eastAsia="Arial" w:hAnsi="Arial"/>
          <w:sz w:val="18"/>
          <w:szCs w:val="18"/>
          <w:color w:val="auto"/>
        </w:rPr>
        <w:t>”),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On the Closing Date, we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the Company or, at our request, service to other entities, as officers or directors to the maximum extent permitted by applicable law.</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Subscription Agreements</w:t>
      </w:r>
    </w:p>
    <w:p>
      <w:pPr>
        <w:spacing w:after="0" w:line="234"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Pursuant to the Subscription Agreements, the PIPE Investors purchased an aggregate of 12,500,000 shares of Class A common stock in a private placement for a price of $10.00 per share for an aggregate purchase price of approximately $125,000,000.</w:t>
      </w:r>
    </w:p>
    <w:p>
      <w:pPr>
        <w:spacing w:after="0" w:line="197"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The shares of Class A common stock issued in connection with the Subscription Agreements (the “PIPE Shares”) were not registered under the Securities Act, and were issued in reliance on the exemption from registration requirements thereof provided by Section 4(a)(2) of the Securities Act and/or Regulation D promulgated thereunder.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Subscription Agreements for the PIPE Investors (other than the Sponsor-related PIPE Investors, whose registration rights are governed by the Amended and Restated Registration Rights Agreement (the “</w:t>
      </w:r>
      <w:r>
        <w:rPr>
          <w:rFonts w:ascii="Arial" w:cs="Arial" w:eastAsia="Arial" w:hAnsi="Arial"/>
          <w:sz w:val="18"/>
          <w:szCs w:val="18"/>
          <w:u w:val="single" w:color="auto"/>
          <w:color w:val="auto"/>
        </w:rPr>
        <w:t>Non-Sponsor PIPE Investors</w:t>
      </w:r>
      <w:r>
        <w:rPr>
          <w:rFonts w:ascii="Arial" w:cs="Arial" w:eastAsia="Arial" w:hAnsi="Arial"/>
          <w:sz w:val="18"/>
          <w:szCs w:val="18"/>
          <w:color w:val="auto"/>
        </w:rPr>
        <w:t>”), and other than the subscribing Perella Weinberg Partners executives) provide for certain registration rights. In particular, we are required to, as soon as practicable but no later than 30 calendar days following the closing date of the Business Combination file with the SEC (at our sole cost and expense) a registration statement registering the resale of such shares, and will use our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we are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34"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prior to the consummation of the Business Combination.</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20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205"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w:t>
      </w:r>
    </w:p>
    <w:p>
      <w:pPr>
        <w:spacing w:after="0" w:line="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June 30, 2021, we serve our clients with 372 advisory professionals, including 57 advisory partners, based in ten offices, located in five countries around the world.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demonstrated robust financial performance, achieving revenues of $169.8 million, operating income of $28.0 million and</w:t>
      </w:r>
    </w:p>
    <w:p>
      <w:pPr>
        <w:ind w:left="120"/>
        <w:spacing w:after="0" w:line="234" w:lineRule="auto"/>
        <w:rPr>
          <w:sz w:val="20"/>
          <w:szCs w:val="20"/>
          <w:color w:val="auto"/>
        </w:rPr>
      </w:pPr>
      <w:r>
        <w:rPr>
          <w:rFonts w:ascii="Arial" w:cs="Arial" w:eastAsia="Arial" w:hAnsi="Arial"/>
          <w:sz w:val="18"/>
          <w:szCs w:val="18"/>
          <w:color w:val="auto"/>
        </w:rPr>
        <w:t>Adjusted operating income of $36.0 million for the three months ended March 31, 2021, revenues of $519.0 million, operating loss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$14.6 million and Adjusted operating income of $40.3 million for the year ended December 31, 2020, revenues of $533.3 million, operating</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loss of $155.1 million and Adjusted operating income of $49.5 million for the year ended December 31, 2019, revenues of $702.0 million,</w:t>
      </w:r>
    </w:p>
    <w:p>
      <w:pPr>
        <w:ind w:left="120"/>
        <w:spacing w:after="0"/>
        <w:rPr>
          <w:sz w:val="20"/>
          <w:szCs w:val="20"/>
          <w:color w:val="auto"/>
        </w:rPr>
      </w:pPr>
      <w:r>
        <w:rPr>
          <w:rFonts w:ascii="Arial" w:cs="Arial" w:eastAsia="Arial" w:hAnsi="Arial"/>
          <w:sz w:val="18"/>
          <w:szCs w:val="18"/>
          <w:color w:val="auto"/>
        </w:rPr>
        <w:t>operating loss of $107.4 million and Adjusted operating income of $107.7 million for the year ended December 31, 2018 and revenues of</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$418.4 million, operating loss of $173.9 million and Adjusted operating income of $40.1 million for the year ended December 31, 2017. These GAAP operating losses have been largely due to the equity-based compensation awards granted by Professional Partners, which have no economic impact on PWP or PWP OpCo. The vesting of equity awards granted in connection with the Transaction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8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 accelerating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pace. 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7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 peers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7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74"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tax policies, environmental laws, regulations and policies, migration policies and economic stability, among others, can have a significant impact on the decisions that business leaders make to drive the success of their businesses.</w:t>
      </w:r>
    </w:p>
    <w:p>
      <w:pPr>
        <w:spacing w:after="0" w:line="191"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8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b w:val="1"/>
          <w:bCs w:val="1"/>
          <w:i w:val="1"/>
          <w:iCs w:val="1"/>
          <w:color w:val="auto"/>
        </w:rPr>
        <w:t xml:space="preserve">Growing Demand for Independent Advice: </w:t>
      </w:r>
      <w:r>
        <w:rPr>
          <w:rFonts w:ascii="Arial" w:cs="Arial" w:eastAsia="Arial" w:hAnsi="Arial"/>
          <w:sz w:val="18"/>
          <w:szCs w:val="18"/>
          <w:color w:val="auto"/>
        </w:rPr>
        <w:t>We believe the momentum driving demand for independent advice remains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founded our 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 five-year period ended December 31, 2020, up from 47% on average during the five-year period ended December 31, 2005. Similarly, according to Dealogic, the estimated M&amp;A fee pool of our peer independent advisory firms averaged $ 4.8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83"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Dynamic Mergers &amp; Acquisitions Activity: </w:t>
      </w:r>
      <w:r>
        <w:rPr>
          <w:rFonts w:ascii="Arial" w:cs="Arial" w:eastAsia="Arial" w:hAnsi="Arial"/>
          <w:sz w:val="18"/>
          <w:szCs w:val="18"/>
          <w:color w:val="auto"/>
        </w:rPr>
        <w:t>We believe the M&amp;A environment will remain active over the medium term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80"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b w:val="1"/>
          <w:bCs w:val="1"/>
          <w:i w:val="1"/>
          <w:iCs w:val="1"/>
          <w:color w:val="auto"/>
        </w:rPr>
        <w:t xml:space="preserve">Growing Demand in Liability Management (Restructuring and Capital Markets) Advisory Services: </w:t>
      </w:r>
      <w:r>
        <w:rPr>
          <w:rFonts w:ascii="Arial" w:cs="Arial" w:eastAsia="Arial" w:hAnsi="Arial"/>
          <w:sz w:val="18"/>
          <w:szCs w:val="18"/>
          <w:color w:val="auto"/>
        </w:rPr>
        <w:t>We believe that,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debt 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Principles Define Our Strategy</w:t>
      </w:r>
    </w:p>
    <w:p>
      <w:pPr>
        <w:spacing w:after="0" w:line="234"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Five key principles drive our approach:</w:t>
      </w:r>
    </w:p>
    <w:p>
      <w:pPr>
        <w:spacing w:after="0" w:line="82" w:lineRule="exact"/>
        <w:rPr>
          <w:sz w:val="20"/>
          <w:szCs w:val="20"/>
          <w:color w:val="auto"/>
        </w:rPr>
      </w:pPr>
    </w:p>
    <w:p>
      <w:pPr>
        <w:jc w:val="both"/>
        <w:ind w:left="120" w:right="560" w:firstLine="551"/>
        <w:spacing w:after="0" w:line="271"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dialogue. Our clients often rely on us to assist them in assessing opportunities and challenges throughout their corporate evolution.</w:t>
      </w:r>
    </w:p>
    <w:p>
      <w:pPr>
        <w:spacing w:after="0" w:line="154"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humility, rigor, and intensity. Working together is a critical ingredient of our success.</w:t>
      </w:r>
    </w:p>
    <w:p>
      <w:pPr>
        <w:spacing w:after="0" w:line="154"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active advisory markets worldwide. Our closely integrated partnership approach enables us to efficiently leverage our deep industry expertise with clients across geographies.</w:t>
      </w:r>
    </w:p>
    <w:p>
      <w:pPr>
        <w:spacing w:after="0" w:line="169"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thinking and personalized approach to partner with our clients to achieve their objectives.</w:t>
      </w:r>
    </w:p>
    <w:p>
      <w:pPr>
        <w:spacing w:after="0" w:line="15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with innovative, independent views and a willingness to speak with candor. We are not afraid to voice our perspective and are not afraid for “no” to be the right answer.</w:t>
      </w:r>
    </w:p>
    <w:p>
      <w:pPr>
        <w:spacing w:after="0" w:line="191"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Key Competitive Strengths</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8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decisions 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8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79" w:lineRule="exact"/>
        <w:rPr>
          <w:sz w:val="20"/>
          <w:szCs w:val="20"/>
          <w:color w:val="auto"/>
        </w:rPr>
      </w:pPr>
    </w:p>
    <w:p>
      <w:pPr>
        <w:ind w:left="120" w:right="180" w:firstLine="551"/>
        <w:spacing w:after="0" w:line="266" w:lineRule="auto"/>
        <w:rPr>
          <w:sz w:val="20"/>
          <w:szCs w:val="20"/>
          <w:color w:val="auto"/>
        </w:rPr>
      </w:pPr>
      <w:r>
        <w:rPr>
          <w:rFonts w:ascii="Arial" w:cs="Arial" w:eastAsia="Arial" w:hAnsi="Arial"/>
          <w:sz w:val="17"/>
          <w:szCs w:val="17"/>
          <w:b w:val="1"/>
          <w:bCs w:val="1"/>
          <w:i w:val="1"/>
          <w:iCs w:val="1"/>
          <w:color w:val="auto"/>
        </w:rPr>
        <w:t xml:space="preserve">Innovation, Creativity and Ingenuity: </w:t>
      </w:r>
      <w:r>
        <w:rPr>
          <w:rFonts w:ascii="Arial" w:cs="Arial" w:eastAsia="Arial" w:hAnsi="Arial"/>
          <w:sz w:val="17"/>
          <w:szCs w:val="17"/>
          <w:color w:val="auto"/>
        </w:rPr>
        <w:t>From the very beginning, we have strived for differentiation. We seek original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exceptional 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5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79"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creative ideas. 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9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8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which 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8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85"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away 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76"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Attracting, Developing and Retaining World-Class Talent to the Firm: </w:t>
      </w:r>
      <w:r>
        <w:rPr>
          <w:rFonts w:ascii="Arial" w:cs="Arial" w:eastAsia="Arial" w:hAnsi="Arial"/>
          <w:sz w:val="18"/>
          <w:szCs w:val="18"/>
          <w:color w:val="auto"/>
        </w:rPr>
        <w:t>Attracting and retaining world-class talent at the firm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term commitment to our Company and (v) they are committed to mentorship and investing in expanding our commitment to diversity and inclusion.</w:t>
      </w:r>
    </w:p>
    <w:p>
      <w:pPr>
        <w:spacing w:after="0" w:line="197"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8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Maintaining Discipline in How We Manage Our Business: </w:t>
      </w:r>
      <w:r>
        <w:rPr>
          <w:rFonts w:ascii="Arial" w:cs="Arial" w:eastAsia="Arial" w:hAnsi="Arial"/>
          <w:sz w:val="18"/>
          <w:szCs w:val="18"/>
          <w:color w:val="auto"/>
        </w:rPr>
        <w:t>We manage our business in an effort to deliver value creation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20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Benefits of Being a Public Company</w:t>
      </w:r>
    </w:p>
    <w:p>
      <w:pPr>
        <w:spacing w:after="0" w:line="234"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We believe that being a public company pursuant to the Business Combination is an important evolutionary step for our business and will allow us to:</w:t>
      </w:r>
    </w:p>
    <w:p>
      <w:pPr>
        <w:spacing w:after="0" w:line="102" w:lineRule="exact"/>
        <w:rPr>
          <w:sz w:val="20"/>
          <w:szCs w:val="20"/>
          <w:color w:val="auto"/>
        </w:rPr>
      </w:pPr>
    </w:p>
    <w:p>
      <w:pPr>
        <w:ind w:left="880" w:right="340" w:hanging="224"/>
        <w:spacing w:after="0" w:line="24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expand our business, including through the improved ability to attract, hire and retain talented advisory professionals utilizing publicly traded equity;</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expand our capabilities, including through investments in additional technology-enabled services and data that we believe can improve our overall advisory service offerings;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strengthen our brand and further position us as a leading global independent advisor;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deepen and broaden our ownership culture through continued equity-based compensation to a broad base of our employees;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liquidity to our ILPs and Limited Partners;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 means for broad alignment of our partners with the value creation of the firm.</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Advisory Offerings</w:t>
      </w:r>
    </w:p>
    <w:p>
      <w:pPr>
        <w:spacing w:after="0" w:line="234"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Clients</w:t>
      </w:r>
    </w:p>
    <w:p>
      <w:pPr>
        <w:spacing w:after="0" w:line="126"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203" w:lineRule="exact"/>
        <w:rPr>
          <w:sz w:val="20"/>
          <w:szCs w:val="20"/>
          <w:color w:val="auto"/>
        </w:rPr>
      </w:pPr>
    </w:p>
    <w:p>
      <w:pPr>
        <w:jc w:val="both"/>
        <w:ind w:left="120" w:right="180" w:firstLine="551"/>
        <w:spacing w:after="0"/>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203" w:lineRule="exact"/>
        <w:rPr>
          <w:sz w:val="20"/>
          <w:szCs w:val="20"/>
          <w:color w:val="auto"/>
        </w:rPr>
      </w:pPr>
    </w:p>
    <w:p>
      <w:pPr>
        <w:jc w:val="both"/>
        <w:ind w:left="120" w:right="440" w:firstLine="551"/>
        <w:spacing w:after="0" w:line="238"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900 clients on transactions in over 40 countries.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26"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81"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 range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79"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b w:val="1"/>
          <w:bCs w:val="1"/>
          <w:i w:val="1"/>
          <w:iCs w:val="1"/>
          <w:color w:val="auto"/>
        </w:rPr>
        <w:t xml:space="preserve">Liability Management and Capital Structure Advisory: </w:t>
      </w:r>
      <w:r>
        <w:rPr>
          <w:rFonts w:ascii="Arial" w:cs="Arial" w:eastAsia="Arial" w:hAnsi="Arial"/>
          <w:sz w:val="18"/>
          <w:szCs w:val="18"/>
          <w:color w:val="auto"/>
        </w:rPr>
        <w:t>We have built a leading franchise to serve the liability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85"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Special Purpose Acquisition Companies: </w:t>
      </w:r>
      <w:r>
        <w:rPr>
          <w:rFonts w:ascii="Arial" w:cs="Arial" w:eastAsia="Arial" w:hAnsi="Arial"/>
          <w:sz w:val="18"/>
          <w:szCs w:val="18"/>
          <w:color w:val="auto"/>
        </w:rPr>
        <w:t>We have a relationship with the sponsor of PFAC, a SPAC that was formed to effect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with a company that is founded by, led by or enriches the lives of women. We may in the future have relationships with subsequent SPACs and similar entities. SPACs provide us with opportunities to use our expertise to assist private companies in accessing growth capital and becoming publicly-traded companies. We believe working with growth companies enhances our network and facilitates dialogues with other participants in the industry, and subsequently may lead to business opportunities.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Collaborations with Other Firms: </w:t>
      </w:r>
      <w:r>
        <w:rPr>
          <w:rFonts w:ascii="Arial" w:cs="Arial" w:eastAsia="Arial" w:hAnsi="Arial"/>
          <w:sz w:val="18"/>
          <w:szCs w:val="18"/>
          <w:color w:val="auto"/>
        </w:rPr>
        <w:t>The Company has entered into collaborative relationships with certain other firms,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Mizuho 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w:t>
      </w:r>
    </w:p>
    <w:p>
      <w:pPr>
        <w:spacing w:after="0" w:line="126"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Since our inception, we have advised on over $1 trillion of M&amp;A transactions with over 900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219" w:lineRule="exact"/>
        <w:rPr>
          <w:sz w:val="20"/>
          <w:szCs w:val="20"/>
          <w:color w:val="auto"/>
        </w:rPr>
      </w:pPr>
    </w:p>
    <w:tbl>
      <w:tblPr>
        <w:tblLayout w:type="fixed"/>
        <w:tblInd w:w="130" w:type="dxa"/>
        <w:tblCellMar>
          <w:top w:w="0" w:type="dxa"/>
          <w:left w:w="0" w:type="dxa"/>
          <w:bottom w:w="0" w:type="dxa"/>
          <w:right w:w="0" w:type="dxa"/>
        </w:tblCellMar>
      </w:tblPr>
      <w:tr>
        <w:trPr>
          <w:trHeight w:val="254"/>
        </w:trPr>
        <w:tc>
          <w:tcPr>
            <w:tcW w:w="920" w:type="dxa"/>
            <w:vAlign w:val="bottom"/>
            <w:tcBorders>
              <w:top w:val="single" w:sz="8" w:color="auto"/>
              <w:left w:val="single" w:sz="8" w:color="auto"/>
              <w:bottom w:val="single" w:sz="8" w:color="auto"/>
            </w:tcBorders>
            <w:shd w:val="clear" w:color="auto" w:fill="01649D"/>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01649D"/>
          </w:tcPr>
          <w:p>
            <w:pPr>
              <w:ind w:left="120"/>
              <w:spacing w:after="0"/>
              <w:rPr>
                <w:sz w:val="20"/>
                <w:szCs w:val="20"/>
                <w:color w:val="auto"/>
              </w:rPr>
            </w:pPr>
            <w:r>
              <w:rPr>
                <w:rFonts w:ascii="Arial" w:cs="Arial" w:eastAsia="Arial" w:hAnsi="Arial"/>
                <w:sz w:val="18"/>
                <w:szCs w:val="18"/>
                <w:b w:val="1"/>
                <w:bCs w:val="1"/>
                <w:color w:val="FFFFFF"/>
              </w:rPr>
              <w:t>Large-Cap Advisory</w:t>
            </w:r>
          </w:p>
        </w:tc>
        <w:tc>
          <w:tcPr>
            <w:tcW w:w="980" w:type="dxa"/>
            <w:vAlign w:val="bottom"/>
            <w:tcBorders>
              <w:top w:val="single" w:sz="8" w:color="auto"/>
              <w:bottom w:val="single" w:sz="8" w:color="auto"/>
            </w:tcBorders>
            <w:shd w:val="clear" w:color="auto" w:fill="01649D"/>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01649D"/>
          </w:tcPr>
          <w:p>
            <w:pPr>
              <w:ind w:left="160"/>
              <w:spacing w:after="0"/>
              <w:rPr>
                <w:sz w:val="20"/>
                <w:szCs w:val="20"/>
                <w:color w:val="auto"/>
              </w:rPr>
            </w:pPr>
            <w:r>
              <w:rPr>
                <w:rFonts w:ascii="Arial" w:cs="Arial" w:eastAsia="Arial" w:hAnsi="Arial"/>
                <w:sz w:val="18"/>
                <w:szCs w:val="18"/>
                <w:b w:val="1"/>
                <w:bCs w:val="1"/>
                <w:color w:val="FFFFFF"/>
              </w:rPr>
              <w:t>Mid-Cap Advisory</w:t>
            </w:r>
          </w:p>
        </w:tc>
        <w:tc>
          <w:tcPr>
            <w:tcW w:w="3620" w:type="dxa"/>
            <w:vAlign w:val="bottom"/>
            <w:tcBorders>
              <w:top w:val="single" w:sz="8" w:color="auto"/>
              <w:bottom w:val="single" w:sz="8" w:color="auto"/>
              <w:right w:val="single" w:sz="8" w:color="auto"/>
            </w:tcBorders>
            <w:gridSpan w:val="2"/>
            <w:shd w:val="clear" w:color="auto" w:fill="01649D"/>
          </w:tcPr>
          <w:p>
            <w:pPr>
              <w:ind w:left="480"/>
              <w:spacing w:after="0"/>
              <w:rPr>
                <w:sz w:val="20"/>
                <w:szCs w:val="20"/>
                <w:color w:val="auto"/>
              </w:rPr>
            </w:pPr>
            <w:r>
              <w:rPr>
                <w:rFonts w:ascii="Arial" w:cs="Arial" w:eastAsia="Arial" w:hAnsi="Arial"/>
                <w:sz w:val="18"/>
                <w:szCs w:val="18"/>
                <w:b w:val="1"/>
                <w:bCs w:val="1"/>
                <w:color w:val="FFFFFF"/>
              </w:rPr>
              <w:t>Restructuring / Capital Markets</w:t>
            </w:r>
          </w:p>
        </w:tc>
        <w:tc>
          <w:tcPr>
            <w:tcW w:w="0" w:type="dxa"/>
            <w:vAlign w:val="bottom"/>
          </w:tcPr>
          <w:p>
            <w:pPr>
              <w:spacing w:after="0"/>
              <w:rPr>
                <w:sz w:val="1"/>
                <w:szCs w:val="1"/>
                <w:color w:val="auto"/>
              </w:rPr>
            </w:pPr>
          </w:p>
        </w:tc>
      </w:tr>
      <w:tr>
        <w:trPr>
          <w:trHeight w:val="167"/>
        </w:trPr>
        <w:tc>
          <w:tcPr>
            <w:tcW w:w="920" w:type="dxa"/>
            <w:vAlign w:val="bottom"/>
            <w:tcBorders>
              <w:left w:val="single" w:sz="8" w:color="auto"/>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00" w:type="dxa"/>
            <w:vAlign w:val="bottom"/>
            <w:tcBorders>
              <w:bottom w:val="single" w:sz="8" w:color="auto"/>
              <w:right w:val="single" w:sz="8" w:color="auto"/>
            </w:tcBorders>
            <w:shd w:val="clear" w:color="auto" w:fill="9CB3D5"/>
          </w:tcPr>
          <w:p>
            <w:pPr>
              <w:spacing w:after="0"/>
              <w:rPr>
                <w:sz w:val="14"/>
                <w:szCs w:val="14"/>
                <w:color w:val="auto"/>
              </w:rPr>
            </w:pPr>
          </w:p>
        </w:tc>
        <w:tc>
          <w:tcPr>
            <w:tcW w:w="25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3"/>
                <w:szCs w:val="13"/>
                <w:b w:val="1"/>
                <w:bCs w:val="1"/>
                <w:color w:val="FFFFFF"/>
              </w:rPr>
              <w:t>Transaction</w:t>
            </w:r>
          </w:p>
        </w:tc>
        <w:tc>
          <w:tcPr>
            <w:tcW w:w="980" w:type="dxa"/>
            <w:vAlign w:val="bottom"/>
            <w:tcBorders>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20" w:type="dxa"/>
            <w:vAlign w:val="bottom"/>
            <w:tcBorders>
              <w:bottom w:val="single" w:sz="8" w:color="auto"/>
              <w:right w:val="single" w:sz="8" w:color="auto"/>
            </w:tcBorders>
            <w:shd w:val="clear" w:color="auto" w:fill="9CB3D5"/>
          </w:tcPr>
          <w:p>
            <w:pPr>
              <w:spacing w:after="0"/>
              <w:rPr>
                <w:sz w:val="14"/>
                <w:szCs w:val="14"/>
                <w:color w:val="auto"/>
              </w:rPr>
            </w:pPr>
          </w:p>
        </w:tc>
        <w:tc>
          <w:tcPr>
            <w:tcW w:w="254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3"/>
                <w:szCs w:val="13"/>
                <w:b w:val="1"/>
                <w:bCs w:val="1"/>
                <w:color w:val="FFFFFF"/>
              </w:rPr>
              <w:t>Transaction</w:t>
            </w:r>
          </w:p>
        </w:tc>
        <w:tc>
          <w:tcPr>
            <w:tcW w:w="1200" w:type="dxa"/>
            <w:vAlign w:val="bottom"/>
            <w:tcBorders>
              <w:bottom w:val="single" w:sz="8" w:color="auto"/>
              <w:right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420" w:type="dxa"/>
            <w:vAlign w:val="bottom"/>
            <w:tcBorders>
              <w:bottom w:val="single" w:sz="8" w:color="auto"/>
              <w:right w:val="single" w:sz="8" w:color="auto"/>
            </w:tcBorders>
            <w:shd w:val="clear" w:color="auto" w:fill="9CB3D5"/>
          </w:tcPr>
          <w:p>
            <w:pPr>
              <w:ind w:left="860"/>
              <w:spacing w:after="0"/>
              <w:rPr>
                <w:sz w:val="20"/>
                <w:szCs w:val="20"/>
                <w:color w:val="auto"/>
              </w:rPr>
            </w:pPr>
            <w:r>
              <w:rPr>
                <w:rFonts w:ascii="Arial" w:cs="Arial" w:eastAsia="Arial" w:hAnsi="Arial"/>
                <w:sz w:val="13"/>
                <w:szCs w:val="13"/>
                <w:b w:val="1"/>
                <w:bCs w:val="1"/>
                <w:color w:val="FFFFFF"/>
              </w:rPr>
              <w:t>Transaction</w:t>
            </w:r>
          </w:p>
        </w:tc>
        <w:tc>
          <w:tcPr>
            <w:tcW w:w="0" w:type="dxa"/>
            <w:vAlign w:val="bottom"/>
          </w:tcPr>
          <w:p>
            <w:pPr>
              <w:spacing w:after="0"/>
              <w:rPr>
                <w:sz w:val="1"/>
                <w:szCs w:val="1"/>
                <w:color w:val="auto"/>
              </w:rPr>
            </w:pPr>
          </w:p>
        </w:tc>
      </w:tr>
      <w:tr>
        <w:trPr>
          <w:trHeight w:val="140"/>
        </w:trPr>
        <w:tc>
          <w:tcPr>
            <w:tcW w:w="9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Borders>
              <w:right w:val="single" w:sz="8" w:color="auto"/>
            </w:tcBorders>
          </w:tcPr>
          <w:p>
            <w:pPr>
              <w:ind w:left="100"/>
              <w:spacing w:after="0" w:line="140" w:lineRule="exact"/>
              <w:rPr>
                <w:sz w:val="20"/>
                <w:szCs w:val="20"/>
                <w:color w:val="auto"/>
              </w:rPr>
            </w:pPr>
            <w:r>
              <w:rPr>
                <w:rFonts w:ascii="Arial" w:cs="Arial" w:eastAsia="Arial" w:hAnsi="Arial"/>
                <w:sz w:val="13"/>
                <w:szCs w:val="13"/>
                <w:color w:val="auto"/>
              </w:rPr>
              <w:t>Exclusive financial advisor to the PSTH</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Board of Directors in connection with</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Financial advisor to MKS Instruments in</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Garrett Motion in</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PSTH’s acquisition of 10% of Universal</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6"/>
              </w:rPr>
              <w:t>connection with MKS’s $6.5B acquisition of</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connection with its Chapter 11 process</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Music Group from Vivendi for</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Atotech</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righ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approximately $4B</w:t>
            </w: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28" w:lineRule="exact"/>
              <w:rPr>
                <w:sz w:val="20"/>
                <w:szCs w:val="20"/>
                <w:color w:val="auto"/>
              </w:rPr>
            </w:pPr>
            <w:r>
              <w:rPr>
                <w:rFonts w:ascii="Arial" w:cs="Arial" w:eastAsia="Arial" w:hAnsi="Arial"/>
                <w:sz w:val="13"/>
                <w:szCs w:val="13"/>
                <w:color w:val="auto"/>
                <w:w w:val="99"/>
              </w:rPr>
              <w:t>Financial advisor to Vonovia in connection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7"/>
              </w:rPr>
              <w:t>Financial advisor to Luminex in connection</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28" w:lineRule="exact"/>
              <w:rPr>
                <w:sz w:val="20"/>
                <w:szCs w:val="20"/>
                <w:color w:val="auto"/>
              </w:rPr>
            </w:pPr>
            <w:r>
              <w:rPr>
                <w:rFonts w:ascii="Arial" w:cs="Arial" w:eastAsia="Arial" w:hAnsi="Arial"/>
                <w:sz w:val="13"/>
                <w:szCs w:val="13"/>
                <w:color w:val="auto"/>
              </w:rPr>
              <w:t>Capital markets advisor to Maravai</w:t>
            </w:r>
          </w:p>
        </w:tc>
        <w:tc>
          <w:tcPr>
            <w:tcW w:w="0" w:type="dxa"/>
            <w:vAlign w:val="bottom"/>
          </w:tcPr>
          <w:p>
            <w:pPr>
              <w:spacing w:after="0"/>
              <w:rPr>
                <w:sz w:val="1"/>
                <w:szCs w:val="1"/>
                <w:color w:val="auto"/>
              </w:rPr>
            </w:pPr>
          </w:p>
        </w:tc>
      </w:tr>
      <w:tr>
        <w:trPr>
          <w:trHeight w:val="76"/>
        </w:trPr>
        <w:tc>
          <w:tcPr>
            <w:tcW w:w="9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56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w w:val="98"/>
              </w:rPr>
              <w:t>with Vonovia’s €29B business combination</w:t>
            </w: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40" w:type="dxa"/>
            <w:vAlign w:val="bottom"/>
            <w:tcBorders>
              <w:right w:val="single" w:sz="8" w:color="auto"/>
            </w:tcBorders>
            <w:vMerge w:val="continue"/>
          </w:tcPr>
          <w:p>
            <w:pPr>
              <w:spacing w:after="0"/>
              <w:rPr>
                <w:sz w:val="6"/>
                <w:szCs w:val="6"/>
                <w:color w:val="auto"/>
              </w:rPr>
            </w:pPr>
          </w:p>
        </w:tc>
        <w:tc>
          <w:tcPr>
            <w:tcW w:w="1200" w:type="dxa"/>
            <w:vAlign w:val="bottom"/>
          </w:tcPr>
          <w:p>
            <w:pPr>
              <w:spacing w:after="0"/>
              <w:rPr>
                <w:sz w:val="6"/>
                <w:szCs w:val="6"/>
                <w:color w:val="auto"/>
              </w:rPr>
            </w:pPr>
          </w:p>
        </w:tc>
        <w:tc>
          <w:tcPr>
            <w:tcW w:w="242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w w:val="99"/>
              </w:rPr>
              <w:t>LifeSciences on pricing of upsized Initial</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with its $1.8B sale to DiaSorin</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with Deutsche Wohnen</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Public Offering</w:t>
            </w: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vMerge w:val="continue"/>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Advisor to the Independent Transaction</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w w:val="96"/>
              </w:rPr>
              <w:t>Exclusive financial advisor to Kraft Heinz in</w:t>
            </w:r>
          </w:p>
        </w:tc>
        <w:tc>
          <w:tcPr>
            <w:tcW w:w="1200" w:type="dxa"/>
            <w:vAlign w:val="bottom"/>
          </w:tcPr>
          <w:p>
            <w:pPr>
              <w:spacing w:after="0"/>
              <w:rPr>
                <w:sz w:val="10"/>
                <w:szCs w:val="10"/>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Independent capital markets advisor to</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8"/>
              </w:rPr>
              <w:t>Committee of Discovery, Inc. in connection</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connection with the $3.35B sale of its</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Maravai LifeSciences on its follow-on</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7"/>
              </w:rPr>
              <w:t>with Discovery’s business combination with</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Planters brand to Hormel Foods</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offering of common stock</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AT&amp;T’s WarnerMedia</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Corporation</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vMerge w:val="continue"/>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Financial advisor to PureCycle</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Financial advisor to Royal Caribbean</w:t>
            </w:r>
          </w:p>
        </w:tc>
        <w:tc>
          <w:tcPr>
            <w:tcW w:w="0" w:type="dxa"/>
            <w:vAlign w:val="bottom"/>
          </w:tcPr>
          <w:p>
            <w:pPr>
              <w:spacing w:after="0"/>
              <w:rPr>
                <w:sz w:val="1"/>
                <w:szCs w:val="1"/>
                <w:color w:val="auto"/>
              </w:rPr>
            </w:pPr>
          </w:p>
        </w:tc>
      </w:tr>
      <w:tr>
        <w:trPr>
          <w:trHeight w:val="127"/>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27" w:lineRule="exact"/>
              <w:rPr>
                <w:sz w:val="20"/>
                <w:szCs w:val="20"/>
                <w:color w:val="auto"/>
              </w:rPr>
            </w:pPr>
            <w:r>
              <w:rPr>
                <w:rFonts w:ascii="Arial" w:cs="Arial" w:eastAsia="Arial" w:hAnsi="Arial"/>
                <w:sz w:val="13"/>
                <w:szCs w:val="13"/>
                <w:color w:val="auto"/>
              </w:rPr>
              <w:t>Financial advisor to Veolia in connection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27" w:lineRule="exact"/>
              <w:rPr>
                <w:sz w:val="20"/>
                <w:szCs w:val="20"/>
                <w:color w:val="auto"/>
              </w:rPr>
            </w:pPr>
            <w:r>
              <w:rPr>
                <w:rFonts w:ascii="Arial" w:cs="Arial" w:eastAsia="Arial" w:hAnsi="Arial"/>
                <w:sz w:val="13"/>
                <w:szCs w:val="13"/>
                <w:color w:val="auto"/>
              </w:rPr>
              <w:t>Technologies in its merger with Roth CH</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3"/>
                <w:szCs w:val="13"/>
                <w:color w:val="auto"/>
              </w:rPr>
              <w:t>Cruises Ltd. in connection with multiple</w:t>
            </w:r>
          </w:p>
        </w:tc>
        <w:tc>
          <w:tcPr>
            <w:tcW w:w="0" w:type="dxa"/>
            <w:vAlign w:val="bottom"/>
          </w:tcPr>
          <w:p>
            <w:pPr>
              <w:spacing w:after="0"/>
              <w:rPr>
                <w:sz w:val="1"/>
                <w:szCs w:val="1"/>
                <w:color w:val="auto"/>
              </w:rPr>
            </w:pPr>
          </w:p>
        </w:tc>
      </w:tr>
      <w:tr>
        <w:trPr>
          <w:trHeight w:val="143"/>
        </w:trPr>
        <w:tc>
          <w:tcPr>
            <w:tcW w:w="9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with Veolia’s €25.9B merger with Suez</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Acquisition I Co. and $1.2B listing on the</w:t>
            </w:r>
          </w:p>
        </w:tc>
        <w:tc>
          <w:tcPr>
            <w:tcW w:w="1200" w:type="dxa"/>
            <w:vAlign w:val="bottom"/>
          </w:tcPr>
          <w:p>
            <w:pPr>
              <w:spacing w:after="0"/>
              <w:rPr>
                <w:sz w:val="12"/>
                <w:szCs w:val="12"/>
                <w:color w:val="auto"/>
              </w:rPr>
            </w:pPr>
          </w:p>
        </w:tc>
        <w:tc>
          <w:tcPr>
            <w:tcW w:w="24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financing transactions across both the</w:t>
            </w: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Nasdaq</w:t>
            </w: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debt and equity capital markets</w:t>
            </w: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w w:val="97"/>
              </w:rPr>
              <w:t>Advisor to Owl Rock Capital Partners LP in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96"/>
              </w:rPr>
              <w:t>executing a definitive business combination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Financial advisor to Precision Medicine</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the Ad Hoc Committee in</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agreement with Dyal Capital Partners to</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Group, LLC in majority investment and</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w w:val="97"/>
              </w:rPr>
              <w:t>Pacific Gas and Electric Company’s debt</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form Blue Owl Capital Inc. and list on</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recapitalization transaction led by The</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restructuring</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NYSE via a $12.5B business combination</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Blackstone Group Inc.</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righ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with Altimar Acquisition Corporation</w:t>
            </w: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Exclusive financial advisor to Northrop</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Grumman Corp. on the sale of its Federal</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6"/>
              </w:rPr>
              <w:t>Financial advisor to KKR in connection with</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Financial advisor to Alta Mesa</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9"/>
              </w:rPr>
              <w:t>IT and Mission Support Services Business</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Resources, Inc. in connection with its</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KKR’s $5.3B acquisition of Cloudera</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9"/>
              </w:rPr>
              <w:t>to Veritas Capital Fund Management, LLC</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Chapter 11 process</w:t>
            </w:r>
          </w:p>
        </w:tc>
        <w:tc>
          <w:tcPr>
            <w:tcW w:w="0" w:type="dxa"/>
            <w:vAlign w:val="bottom"/>
          </w:tcPr>
          <w:p>
            <w:pPr>
              <w:spacing w:after="0"/>
              <w:rPr>
                <w:sz w:val="1"/>
                <w:szCs w:val="1"/>
                <w:color w:val="auto"/>
              </w:rPr>
            </w:pPr>
          </w:p>
        </w:tc>
      </w:tr>
      <w:tr>
        <w:trPr>
          <w:trHeight w:val="51"/>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righ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for $3.4B</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9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Financial advisor to KKR &amp; Co. Inc. on its</w:t>
            </w:r>
          </w:p>
        </w:tc>
        <w:tc>
          <w:tcPr>
            <w:tcW w:w="1200" w:type="dxa"/>
            <w:vAlign w:val="bottom"/>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Exclusive advisor to Northrop Grumman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$4.3B acquisition of a majority stake in</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Financial advisor to Del Monte Foods,</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9"/>
              </w:rPr>
              <w:t>Coty Inc.’s Professional Beauty and Retail</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Corp. in its $9.2B acquisition of Orbital</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Inc. and Del Monte Pacific Limited on</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Hair businesses and $1.0B investment in</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ATK,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capital structure refinancing</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Coty Inc. in the form of convertible</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right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preferred shares</w:t>
            </w: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Advisor to the Supervisory Board of</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Lead financial advisor to Invitae Corp. in</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rPr>
              <w:t>Financial advisor to Sabre Corp. on its</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99"/>
              </w:rPr>
              <w:t>Peugeot S.A. on its $26B merger with Fiat</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connection with $1.4B business</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$1.1 billion secured and exchangeable</w:t>
            </w: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Chrysler Automobiles N.V.</w:t>
            </w: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combination with ArcherDX, Inc.</w:t>
            </w:r>
          </w:p>
        </w:tc>
        <w:tc>
          <w:tcPr>
            <w:tcW w:w="1200" w:type="dxa"/>
            <w:vAlign w:val="bottom"/>
            <w:tcBorders>
              <w:bottom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note offerings</w:t>
            </w: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Sole financial advisor to Oaktree Capital</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Sole financial advisor to PayPal Holdings,</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w w:val="98"/>
              </w:rPr>
              <w:t>Financial advisor to the Ad Hoc Group of</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w w:val="98"/>
              </w:rPr>
              <w:t>Constitutional Debtholders on settlement</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6"/>
              </w:rPr>
              <w:t>Group, LLC in 62% sale to Brookfield Asset</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Inc. on its $4B acquisition of Honey</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with Puerto Rico Oversight and</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Management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Science Corporation</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Management Board</w:t>
            </w: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Advisor to Altria Group, Inc. in connection</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Advisor to Occidental Petroleum Corp. on</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Legacy Reserves Inc. in its</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w w:val="97"/>
              </w:rPr>
              <w:t>with its stake in SABMiller plc’s $107B sale</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formation of Midland Basin JV with</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joint Chapter 11 plan of reorganization</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to Anheuser-Busch InBev SA/NV</w:t>
            </w: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EcoPetrol for $1.5B</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bottom w:val="single" w:sz="8" w:color="auto"/>
              <w:right w:val="single" w:sz="8" w:color="auto"/>
            </w:tcBorders>
            <w:vMerge w:val="continue"/>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Advisor to Altria Group, Inc. in its $12.8B</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Exclusive financial advisor to Cantel</w:t>
            </w:r>
          </w:p>
        </w:tc>
        <w:tc>
          <w:tcPr>
            <w:tcW w:w="1200" w:type="dxa"/>
            <w:vAlign w:val="bottom"/>
          </w:tcPr>
          <w:p>
            <w:pPr>
              <w:spacing w:after="0"/>
              <w:rPr>
                <w:sz w:val="10"/>
                <w:szCs w:val="10"/>
                <w:color w:val="auto"/>
              </w:rPr>
            </w:pPr>
          </w:p>
        </w:tc>
        <w:tc>
          <w:tcPr>
            <w:tcW w:w="24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w w:val="98"/>
              </w:rPr>
              <w:t>Exclusive financial advisor to the Special</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Medical Corp. on its $775M acquisition of</w:t>
            </w: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Committee of the WeWork Board of</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investment in JUUL Labs,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Hu-Friedy Mfg. Co.</w:t>
            </w: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Directors</w:t>
            </w:r>
          </w:p>
        </w:tc>
        <w:tc>
          <w:tcPr>
            <w:tcW w:w="0" w:type="dxa"/>
            <w:vAlign w:val="bottom"/>
          </w:tcPr>
          <w:p>
            <w:pPr>
              <w:spacing w:after="0"/>
              <w:rPr>
                <w:sz w:val="1"/>
                <w:szCs w:val="1"/>
                <w:color w:val="auto"/>
              </w:rPr>
            </w:pPr>
          </w:p>
        </w:tc>
      </w:tr>
      <w:tr>
        <w:trPr>
          <w:trHeight w:val="56"/>
        </w:trPr>
        <w:tc>
          <w:tcPr>
            <w:tcW w:w="9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92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7"/>
              </w:rPr>
              <w:t>Financial advisor to Altria Group, Inc. on its</w:t>
            </w: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tcBorders>
              <w:right w:val="single" w:sz="8" w:color="auto"/>
            </w:tcBorders>
          </w:tcPr>
          <w:p>
            <w:pPr>
              <w:ind w:left="100"/>
              <w:spacing w:after="0" w:line="114" w:lineRule="exact"/>
              <w:rPr>
                <w:sz w:val="20"/>
                <w:szCs w:val="20"/>
                <w:color w:val="auto"/>
              </w:rPr>
            </w:pPr>
            <w:r>
              <w:rPr>
                <w:rFonts w:ascii="Arial" w:cs="Arial" w:eastAsia="Arial" w:hAnsi="Arial"/>
                <w:sz w:val="13"/>
                <w:szCs w:val="13"/>
                <w:color w:val="auto"/>
              </w:rPr>
              <w:t>Advisor to Altran Technologies SA in</w:t>
            </w:r>
          </w:p>
        </w:tc>
        <w:tc>
          <w:tcPr>
            <w:tcW w:w="1200" w:type="dxa"/>
            <w:vAlign w:val="bottom"/>
          </w:tcPr>
          <w:p>
            <w:pPr>
              <w:spacing w:after="0"/>
              <w:rPr>
                <w:sz w:val="9"/>
                <w:szCs w:val="9"/>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the Ad Hoc Group in Hexion</w:t>
            </w:r>
          </w:p>
        </w:tc>
        <w:tc>
          <w:tcPr>
            <w:tcW w:w="0" w:type="dxa"/>
            <w:vAlign w:val="bottom"/>
          </w:tcPr>
          <w:p>
            <w:pPr>
              <w:spacing w:after="0"/>
              <w:rPr>
                <w:sz w:val="1"/>
                <w:szCs w:val="1"/>
                <w:color w:val="auto"/>
              </w:rPr>
            </w:pPr>
          </w:p>
        </w:tc>
      </w:tr>
      <w:tr>
        <w:trPr>
          <w:trHeight w:val="76"/>
        </w:trPr>
        <w:tc>
          <w:tcPr>
            <w:tcW w:w="9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560" w:type="dxa"/>
            <w:vAlign w:val="bottom"/>
            <w:tcBorders>
              <w:right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4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rPr>
              <w:t>relation to Capgemini SE’s €5B public</w:t>
            </w:r>
          </w:p>
        </w:tc>
        <w:tc>
          <w:tcPr>
            <w:tcW w:w="1200" w:type="dxa"/>
            <w:vAlign w:val="bottom"/>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$1.8B acquisition of Cronos Group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Inc.’s debt restructuring</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takeover offer</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-4234180</wp:posOffset>
            </wp:positionV>
            <wp:extent cx="36004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0045" cy="17145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-4208780</wp:posOffset>
            </wp:positionV>
            <wp:extent cx="342900" cy="111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0" cy="1111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-4225925</wp:posOffset>
            </wp:positionV>
            <wp:extent cx="41148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1480" cy="14605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-3822700</wp:posOffset>
            </wp:positionV>
            <wp:extent cx="334010"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4010" cy="596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-3822700</wp:posOffset>
            </wp:positionV>
            <wp:extent cx="351155"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1155" cy="6858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-3702685</wp:posOffset>
            </wp:positionV>
            <wp:extent cx="394335"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4335" cy="17970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-3531235</wp:posOffset>
            </wp:positionV>
            <wp:extent cx="411480" cy="939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-3548380</wp:posOffset>
            </wp:positionV>
            <wp:extent cx="28257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257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-3180080</wp:posOffset>
            </wp:positionV>
            <wp:extent cx="411480" cy="111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1480" cy="11112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-3162935</wp:posOffset>
            </wp:positionV>
            <wp:extent cx="411480"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-3171190</wp:posOffset>
            </wp:positionV>
            <wp:extent cx="394335" cy="939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4335" cy="9398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-2725420</wp:posOffset>
            </wp:positionV>
            <wp:extent cx="37719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-2802890</wp:posOffset>
            </wp:positionV>
            <wp:extent cx="419735" cy="2482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9735" cy="24828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-2742565</wp:posOffset>
            </wp:positionV>
            <wp:extent cx="37719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77190"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-1971040</wp:posOffset>
            </wp:positionV>
            <wp:extent cx="419735" cy="939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19735" cy="9398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-1979930</wp:posOffset>
            </wp:positionV>
            <wp:extent cx="325755"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755" cy="10287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-2237105</wp:posOffset>
            </wp:positionV>
            <wp:extent cx="38608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6080" cy="10287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-1808480</wp:posOffset>
            </wp:positionV>
            <wp:extent cx="26543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430" cy="20574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-1405255</wp:posOffset>
            </wp:positionV>
            <wp:extent cx="334010" cy="196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4010" cy="19685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-1362710</wp:posOffset>
            </wp:positionV>
            <wp:extent cx="377190" cy="1111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7190" cy="11112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-1362710</wp:posOffset>
            </wp:positionV>
            <wp:extent cx="377190" cy="1111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7190" cy="11112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-1045210</wp:posOffset>
            </wp:positionV>
            <wp:extent cx="402590" cy="1111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2590" cy="11112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-1079500</wp:posOffset>
            </wp:positionV>
            <wp:extent cx="40322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3225"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-1071245</wp:posOffset>
            </wp:positionV>
            <wp:extent cx="25717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-488315</wp:posOffset>
            </wp:positionV>
            <wp:extent cx="40259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2590" cy="15430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-770890</wp:posOffset>
            </wp:positionV>
            <wp:extent cx="196850" cy="196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-719455</wp:posOffset>
            </wp:positionV>
            <wp:extent cx="41148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1480" cy="10287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-454025</wp:posOffset>
            </wp:positionV>
            <wp:extent cx="377190" cy="93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-454025</wp:posOffset>
            </wp:positionV>
            <wp:extent cx="386080" cy="939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6080" cy="9398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-179705</wp:posOffset>
            </wp:positionV>
            <wp:extent cx="44577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45770" cy="857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411480" cy="685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1480" cy="68580"/>
                    </a:xfrm>
                    <a:prstGeom prst="rect">
                      <a:avLst/>
                    </a:prstGeom>
                    <a:noFill/>
                  </pic:spPr>
                </pic:pic>
              </a:graphicData>
            </a:graphic>
          </wp:anchor>
        </w:drawing>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30" w:type="dxa"/>
        <w:tblCellMar>
          <w:top w:w="0" w:type="dxa"/>
          <w:left w:w="0" w:type="dxa"/>
          <w:bottom w:w="0" w:type="dxa"/>
          <w:right w:w="0" w:type="dxa"/>
        </w:tblCellMar>
      </w:tblPr>
      <w:tr>
        <w:trPr>
          <w:trHeight w:val="254"/>
        </w:trPr>
        <w:tc>
          <w:tcPr>
            <w:tcW w:w="920" w:type="dxa"/>
            <w:vAlign w:val="bottom"/>
            <w:tcBorders>
              <w:top w:val="single" w:sz="8" w:color="auto"/>
              <w:left w:val="single" w:sz="8" w:color="auto"/>
              <w:bottom w:val="single" w:sz="8" w:color="auto"/>
            </w:tcBorders>
            <w:shd w:val="clear" w:color="auto" w:fill="01649D"/>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01649D"/>
          </w:tcPr>
          <w:p>
            <w:pPr>
              <w:ind w:left="120"/>
              <w:spacing w:after="0"/>
              <w:rPr>
                <w:sz w:val="20"/>
                <w:szCs w:val="20"/>
                <w:color w:val="auto"/>
              </w:rPr>
            </w:pPr>
            <w:r>
              <w:rPr>
                <w:rFonts w:ascii="Arial" w:cs="Arial" w:eastAsia="Arial" w:hAnsi="Arial"/>
                <w:sz w:val="18"/>
                <w:szCs w:val="18"/>
                <w:b w:val="1"/>
                <w:bCs w:val="1"/>
                <w:color w:val="FFFFFF"/>
              </w:rPr>
              <w:t>Large-Cap Advisory</w:t>
            </w:r>
          </w:p>
        </w:tc>
        <w:tc>
          <w:tcPr>
            <w:tcW w:w="980" w:type="dxa"/>
            <w:vAlign w:val="bottom"/>
            <w:tcBorders>
              <w:top w:val="single" w:sz="8" w:color="auto"/>
              <w:bottom w:val="single" w:sz="8" w:color="auto"/>
            </w:tcBorders>
            <w:shd w:val="clear" w:color="auto" w:fill="01649D"/>
          </w:tcPr>
          <w:p>
            <w:pPr>
              <w:spacing w:after="0"/>
              <w:rPr>
                <w:sz w:val="22"/>
                <w:szCs w:val="22"/>
                <w:color w:val="auto"/>
              </w:rPr>
            </w:pPr>
          </w:p>
        </w:tc>
        <w:tc>
          <w:tcPr>
            <w:tcW w:w="2760" w:type="dxa"/>
            <w:vAlign w:val="bottom"/>
            <w:tcBorders>
              <w:top w:val="single" w:sz="8" w:color="auto"/>
              <w:bottom w:val="single" w:sz="8" w:color="auto"/>
              <w:right w:val="single" w:sz="8" w:color="auto"/>
            </w:tcBorders>
            <w:gridSpan w:val="2"/>
            <w:shd w:val="clear" w:color="auto" w:fill="01649D"/>
          </w:tcPr>
          <w:p>
            <w:pPr>
              <w:ind w:left="160"/>
              <w:spacing w:after="0"/>
              <w:rPr>
                <w:sz w:val="20"/>
                <w:szCs w:val="20"/>
                <w:color w:val="auto"/>
              </w:rPr>
            </w:pPr>
            <w:r>
              <w:rPr>
                <w:rFonts w:ascii="Arial" w:cs="Arial" w:eastAsia="Arial" w:hAnsi="Arial"/>
                <w:sz w:val="18"/>
                <w:szCs w:val="18"/>
                <w:b w:val="1"/>
                <w:bCs w:val="1"/>
                <w:color w:val="FFFFFF"/>
              </w:rPr>
              <w:t>Mid-Cap Advisory</w:t>
            </w:r>
          </w:p>
        </w:tc>
        <w:tc>
          <w:tcPr>
            <w:tcW w:w="3620" w:type="dxa"/>
            <w:vAlign w:val="bottom"/>
            <w:tcBorders>
              <w:top w:val="single" w:sz="8" w:color="auto"/>
              <w:bottom w:val="single" w:sz="8" w:color="auto"/>
              <w:right w:val="single" w:sz="8" w:color="auto"/>
            </w:tcBorders>
            <w:gridSpan w:val="2"/>
            <w:shd w:val="clear" w:color="auto" w:fill="01649D"/>
          </w:tcPr>
          <w:p>
            <w:pPr>
              <w:ind w:left="480"/>
              <w:spacing w:after="0"/>
              <w:rPr>
                <w:sz w:val="20"/>
                <w:szCs w:val="20"/>
                <w:color w:val="auto"/>
              </w:rPr>
            </w:pPr>
            <w:r>
              <w:rPr>
                <w:rFonts w:ascii="Arial" w:cs="Arial" w:eastAsia="Arial" w:hAnsi="Arial"/>
                <w:sz w:val="18"/>
                <w:szCs w:val="18"/>
                <w:b w:val="1"/>
                <w:bCs w:val="1"/>
                <w:color w:val="FFFFFF"/>
              </w:rPr>
              <w:t>Restructuring / Capital Markets</w:t>
            </w:r>
          </w:p>
        </w:tc>
        <w:tc>
          <w:tcPr>
            <w:tcW w:w="0" w:type="dxa"/>
            <w:vAlign w:val="bottom"/>
          </w:tcPr>
          <w:p>
            <w:pPr>
              <w:spacing w:after="0"/>
              <w:rPr>
                <w:sz w:val="1"/>
                <w:szCs w:val="1"/>
                <w:color w:val="auto"/>
              </w:rPr>
            </w:pPr>
          </w:p>
        </w:tc>
      </w:tr>
      <w:tr>
        <w:trPr>
          <w:trHeight w:val="167"/>
        </w:trPr>
        <w:tc>
          <w:tcPr>
            <w:tcW w:w="920" w:type="dxa"/>
            <w:vAlign w:val="bottom"/>
            <w:tcBorders>
              <w:left w:val="single" w:sz="8" w:color="auto"/>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00" w:type="dxa"/>
            <w:vAlign w:val="bottom"/>
            <w:tcBorders>
              <w:bottom w:val="single" w:sz="8" w:color="auto"/>
              <w:right w:val="single" w:sz="8" w:color="auto"/>
            </w:tcBorders>
            <w:shd w:val="clear" w:color="auto" w:fill="9CB3D5"/>
          </w:tcPr>
          <w:p>
            <w:pPr>
              <w:spacing w:after="0"/>
              <w:rPr>
                <w:sz w:val="14"/>
                <w:szCs w:val="14"/>
                <w:color w:val="auto"/>
              </w:rPr>
            </w:pPr>
          </w:p>
        </w:tc>
        <w:tc>
          <w:tcPr>
            <w:tcW w:w="25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3"/>
                <w:szCs w:val="13"/>
                <w:b w:val="1"/>
                <w:bCs w:val="1"/>
                <w:color w:val="FFFFFF"/>
              </w:rPr>
              <w:t>Transaction</w:t>
            </w:r>
          </w:p>
        </w:tc>
        <w:tc>
          <w:tcPr>
            <w:tcW w:w="980" w:type="dxa"/>
            <w:vAlign w:val="bottom"/>
            <w:tcBorders>
              <w:bottom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20" w:type="dxa"/>
            <w:vAlign w:val="bottom"/>
            <w:tcBorders>
              <w:bottom w:val="single" w:sz="8" w:color="auto"/>
              <w:right w:val="single" w:sz="8" w:color="auto"/>
            </w:tcBorders>
            <w:shd w:val="clear" w:color="auto" w:fill="9CB3D5"/>
          </w:tcPr>
          <w:p>
            <w:pPr>
              <w:spacing w:after="0"/>
              <w:rPr>
                <w:sz w:val="14"/>
                <w:szCs w:val="14"/>
                <w:color w:val="auto"/>
              </w:rPr>
            </w:pPr>
          </w:p>
        </w:tc>
        <w:tc>
          <w:tcPr>
            <w:tcW w:w="254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3"/>
                <w:szCs w:val="13"/>
                <w:b w:val="1"/>
                <w:bCs w:val="1"/>
                <w:color w:val="FFFFFF"/>
              </w:rPr>
              <w:t>Transaction</w:t>
            </w:r>
          </w:p>
        </w:tc>
        <w:tc>
          <w:tcPr>
            <w:tcW w:w="1200" w:type="dxa"/>
            <w:vAlign w:val="bottom"/>
            <w:tcBorders>
              <w:bottom w:val="single" w:sz="8" w:color="auto"/>
              <w:right w:val="single" w:sz="8" w:color="auto"/>
            </w:tcBorders>
            <w:shd w:val="clear" w:color="auto" w:fill="9CB3D5"/>
          </w:tcPr>
          <w:p>
            <w:pPr>
              <w:ind w:left="460"/>
              <w:spacing w:after="0"/>
              <w:rPr>
                <w:sz w:val="20"/>
                <w:szCs w:val="20"/>
                <w:color w:val="auto"/>
              </w:rPr>
            </w:pPr>
            <w:r>
              <w:rPr>
                <w:rFonts w:ascii="Arial" w:cs="Arial" w:eastAsia="Arial" w:hAnsi="Arial"/>
                <w:sz w:val="13"/>
                <w:szCs w:val="13"/>
                <w:b w:val="1"/>
                <w:bCs w:val="1"/>
                <w:color w:val="FFFFFF"/>
              </w:rPr>
              <w:t>Client</w:t>
            </w:r>
          </w:p>
        </w:tc>
        <w:tc>
          <w:tcPr>
            <w:tcW w:w="2420" w:type="dxa"/>
            <w:vAlign w:val="bottom"/>
            <w:tcBorders>
              <w:bottom w:val="single" w:sz="8" w:color="auto"/>
              <w:right w:val="single" w:sz="8" w:color="auto"/>
            </w:tcBorders>
            <w:shd w:val="clear" w:color="auto" w:fill="9CB3D5"/>
          </w:tcPr>
          <w:p>
            <w:pPr>
              <w:ind w:left="860"/>
              <w:spacing w:after="0"/>
              <w:rPr>
                <w:sz w:val="20"/>
                <w:szCs w:val="20"/>
                <w:color w:val="auto"/>
              </w:rPr>
            </w:pPr>
            <w:r>
              <w:rPr>
                <w:rFonts w:ascii="Arial" w:cs="Arial" w:eastAsia="Arial" w:hAnsi="Arial"/>
                <w:sz w:val="13"/>
                <w:szCs w:val="13"/>
                <w:b w:val="1"/>
                <w:bCs w:val="1"/>
                <w:color w:val="FFFFFF"/>
              </w:rPr>
              <w:t>Transaction</w:t>
            </w:r>
          </w:p>
        </w:tc>
        <w:tc>
          <w:tcPr>
            <w:tcW w:w="0" w:type="dxa"/>
            <w:vAlign w:val="bottom"/>
          </w:tcPr>
          <w:p>
            <w:pPr>
              <w:spacing w:after="0"/>
              <w:rPr>
                <w:sz w:val="1"/>
                <w:szCs w:val="1"/>
                <w:color w:val="auto"/>
              </w:rPr>
            </w:pPr>
          </w:p>
        </w:tc>
      </w:tr>
      <w:tr>
        <w:trPr>
          <w:trHeight w:val="132"/>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Sole advisor to RSP Permian, Inc. in its</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2" w:lineRule="exact"/>
              <w:rPr>
                <w:sz w:val="20"/>
                <w:szCs w:val="20"/>
                <w:color w:val="auto"/>
              </w:rPr>
            </w:pPr>
            <w:r>
              <w:rPr>
                <w:rFonts w:ascii="Arial" w:cs="Arial" w:eastAsia="Arial" w:hAnsi="Arial"/>
                <w:sz w:val="13"/>
                <w:szCs w:val="13"/>
                <w:color w:val="auto"/>
              </w:rPr>
              <w:t>Advisor to OSRAM Licht AG in relation to</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2" w:lineRule="exact"/>
              <w:rPr>
                <w:sz w:val="20"/>
                <w:szCs w:val="20"/>
                <w:color w:val="auto"/>
              </w:rPr>
            </w:pPr>
            <w:r>
              <w:rPr>
                <w:rFonts w:ascii="Arial" w:cs="Arial" w:eastAsia="Arial" w:hAnsi="Arial"/>
                <w:sz w:val="13"/>
                <w:szCs w:val="13"/>
                <w:color w:val="auto"/>
              </w:rPr>
              <w:t>Advisor to one of the largest creditors in</w:t>
            </w:r>
          </w:p>
        </w:tc>
        <w:tc>
          <w:tcPr>
            <w:tcW w:w="0" w:type="dxa"/>
            <w:vAlign w:val="bottom"/>
          </w:tcPr>
          <w:p>
            <w:pPr>
              <w:spacing w:after="0"/>
              <w:rPr>
                <w:sz w:val="1"/>
                <w:szCs w:val="1"/>
                <w:color w:val="auto"/>
              </w:rPr>
            </w:pPr>
          </w:p>
        </w:tc>
      </w:tr>
      <w:tr>
        <w:trPr>
          <w:trHeight w:val="76"/>
        </w:trPr>
        <w:tc>
          <w:tcPr>
            <w:tcW w:w="9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560" w:type="dxa"/>
            <w:vAlign w:val="bottom"/>
            <w:tcBorders>
              <w:right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40" w:type="dxa"/>
            <w:vAlign w:val="bottom"/>
            <w:tcBorders>
              <w:right w:val="single" w:sz="8" w:color="auto"/>
            </w:tcBorders>
            <w:vMerge w:val="restart"/>
          </w:tcPr>
          <w:p>
            <w:pPr>
              <w:ind w:left="100"/>
              <w:spacing w:after="0" w:line="143" w:lineRule="exact"/>
              <w:rPr>
                <w:sz w:val="20"/>
                <w:szCs w:val="20"/>
                <w:color w:val="auto"/>
              </w:rPr>
            </w:pPr>
            <w:r>
              <w:rPr>
                <w:rFonts w:ascii="Arial" w:cs="Arial" w:eastAsia="Arial" w:hAnsi="Arial"/>
                <w:sz w:val="13"/>
                <w:szCs w:val="13"/>
                <w:color w:val="auto"/>
                <w:w w:val="96"/>
              </w:rPr>
              <w:t>the announced intended €4B takeover offer</w:t>
            </w:r>
          </w:p>
        </w:tc>
        <w:tc>
          <w:tcPr>
            <w:tcW w:w="1200" w:type="dxa"/>
            <w:vAlign w:val="bottom"/>
          </w:tcPr>
          <w:p>
            <w:pPr>
              <w:spacing w:after="0"/>
              <w:rPr>
                <w:sz w:val="6"/>
                <w:szCs w:val="6"/>
                <w:color w:val="auto"/>
              </w:rPr>
            </w:pPr>
          </w:p>
        </w:tc>
        <w:tc>
          <w:tcPr>
            <w:tcW w:w="242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3"/>
                <w:szCs w:val="13"/>
                <w:color w:val="auto"/>
              </w:rPr>
              <w:t>Sears, Roebuck and Co.’s debt</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$9.5B sale to Concho Resources,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by Bain Capital and The Carlyle Group</w:t>
            </w: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restructuring</w:t>
            </w: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w w:val="98"/>
              </w:rPr>
              <w:t>Lead advisor to Becton, Dickinson and Co.</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Exclusive advisor to SodaStream</w:t>
            </w:r>
          </w:p>
        </w:tc>
        <w:tc>
          <w:tcPr>
            <w:tcW w:w="1200" w:type="dxa"/>
            <w:vAlign w:val="bottom"/>
          </w:tcPr>
          <w:p>
            <w:pPr>
              <w:spacing w:after="0"/>
              <w:rPr>
                <w:sz w:val="11"/>
                <w:szCs w:val="11"/>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Advisor to iHeartMedia, Inc.</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color w:val="auto"/>
              </w:rPr>
              <w:t>International, Ltd. in its $3.2B sale to</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in its $24B acquisition of C.R. Bard, Inc.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independent directors</w:t>
            </w: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restart"/>
          </w:tcPr>
          <w:p>
            <w:pPr>
              <w:ind w:left="100"/>
              <w:spacing w:after="0" w:line="141" w:lineRule="exact"/>
              <w:rPr>
                <w:sz w:val="20"/>
                <w:szCs w:val="20"/>
                <w:color w:val="auto"/>
              </w:rPr>
            </w:pPr>
            <w:r>
              <w:rPr>
                <w:rFonts w:ascii="Arial" w:cs="Arial" w:eastAsia="Arial" w:hAnsi="Arial"/>
                <w:sz w:val="13"/>
                <w:szCs w:val="13"/>
                <w:color w:val="auto"/>
              </w:rPr>
              <w:t>PepsiCo Inc.</w:t>
            </w:r>
          </w:p>
        </w:tc>
        <w:tc>
          <w:tcPr>
            <w:tcW w:w="120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2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Advisor to Medtronic, Inc., in its $42.9B</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Advisor to Apache Corporation in the</w:t>
            </w:r>
          </w:p>
        </w:tc>
        <w:tc>
          <w:tcPr>
            <w:tcW w:w="1200" w:type="dxa"/>
            <w:vAlign w:val="bottom"/>
          </w:tcPr>
          <w:p>
            <w:pPr>
              <w:spacing w:after="0"/>
              <w:rPr>
                <w:sz w:val="11"/>
                <w:szCs w:val="11"/>
                <w:color w:val="auto"/>
              </w:rPr>
            </w:pPr>
          </w:p>
        </w:tc>
        <w:tc>
          <w:tcPr>
            <w:tcW w:w="242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color w:val="auto"/>
                <w:w w:val="99"/>
              </w:rPr>
              <w:t>Advisor to Concordia International Corp.</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2420" w:type="dxa"/>
            <w:vAlign w:val="bottom"/>
            <w:tcBorders>
              <w:right w:val="single" w:sz="8" w:color="auto"/>
            </w:tcBorders>
            <w:vMerge w:val="restart"/>
          </w:tcPr>
          <w:p>
            <w:pPr>
              <w:ind w:left="80"/>
              <w:spacing w:after="0" w:line="135" w:lineRule="exact"/>
              <w:rPr>
                <w:sz w:val="20"/>
                <w:szCs w:val="20"/>
                <w:color w:val="auto"/>
              </w:rPr>
            </w:pPr>
            <w:r>
              <w:rPr>
                <w:rFonts w:ascii="Arial" w:cs="Arial" w:eastAsia="Arial" w:hAnsi="Arial"/>
                <w:sz w:val="13"/>
                <w:szCs w:val="13"/>
                <w:color w:val="auto"/>
              </w:rPr>
              <w:t>in its restructuring and capital raise</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acquisition of Covidien plc</w:t>
            </w: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$3.5B formation of Altus Midstream LP</w:t>
            </w:r>
          </w:p>
        </w:tc>
        <w:tc>
          <w:tcPr>
            <w:tcW w:w="1200" w:type="dxa"/>
            <w:vAlign w:val="bottom"/>
          </w:tcPr>
          <w:p>
            <w:pPr>
              <w:spacing w:after="0"/>
              <w:rPr>
                <w:sz w:val="5"/>
                <w:szCs w:val="5"/>
                <w:color w:val="auto"/>
              </w:rPr>
            </w:pPr>
          </w:p>
        </w:tc>
        <w:tc>
          <w:tcPr>
            <w:tcW w:w="2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9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2420" w:type="dxa"/>
            <w:vAlign w:val="bottom"/>
            <w:tcBorders>
              <w:right w:val="single" w:sz="8" w:color="auto"/>
            </w:tcBorders>
            <w:vMerge w:val="restart"/>
          </w:tcPr>
          <w:p>
            <w:pPr>
              <w:ind w:left="80"/>
              <w:spacing w:after="0" w:line="141" w:lineRule="exact"/>
              <w:rPr>
                <w:sz w:val="20"/>
                <w:szCs w:val="20"/>
                <w:color w:val="auto"/>
              </w:rPr>
            </w:pPr>
            <w:r>
              <w:rPr>
                <w:rFonts w:ascii="Arial" w:cs="Arial" w:eastAsia="Arial" w:hAnsi="Arial"/>
                <w:sz w:val="13"/>
                <w:szCs w:val="13"/>
                <w:color w:val="auto"/>
              </w:rPr>
              <w:t>through Canadian CBCA process</w:t>
            </w:r>
          </w:p>
        </w:tc>
        <w:tc>
          <w:tcPr>
            <w:tcW w:w="0" w:type="dxa"/>
            <w:vAlign w:val="bottom"/>
          </w:tcPr>
          <w:p>
            <w:pPr>
              <w:spacing w:after="0"/>
              <w:rPr>
                <w:sz w:val="1"/>
                <w:szCs w:val="1"/>
                <w:color w:val="auto"/>
              </w:rPr>
            </w:pPr>
          </w:p>
        </w:tc>
      </w:tr>
      <w:tr>
        <w:trPr>
          <w:trHeight w:val="56"/>
        </w:trPr>
        <w:tc>
          <w:tcPr>
            <w:tcW w:w="9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-736600</wp:posOffset>
            </wp:positionV>
            <wp:extent cx="411480" cy="1028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1480" cy="10287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-736600</wp:posOffset>
            </wp:positionV>
            <wp:extent cx="403225"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3225" cy="946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-728345</wp:posOffset>
            </wp:positionV>
            <wp:extent cx="30861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08610" cy="8572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-479425</wp:posOffset>
            </wp:positionV>
            <wp:extent cx="36004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-454025</wp:posOffset>
            </wp:positionV>
            <wp:extent cx="471170" cy="774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1170" cy="7747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-462280</wp:posOffset>
            </wp:positionV>
            <wp:extent cx="316865" cy="1028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6865" cy="10287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-179705</wp:posOffset>
            </wp:positionV>
            <wp:extent cx="462915"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2915" cy="8572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-222250</wp:posOffset>
            </wp:positionV>
            <wp:extent cx="4368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68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386080" cy="68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6080" cy="68580"/>
                    </a:xfrm>
                    <a:prstGeom prst="rect">
                      <a:avLst/>
                    </a:prstGeom>
                    <a:noFill/>
                  </pic:spPr>
                </pic:pic>
              </a:graphicData>
            </a:graphic>
          </wp:anchor>
        </w:drawing>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believe that leadership in the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86" w:lineRule="exact"/>
        <w:rPr>
          <w:sz w:val="20"/>
          <w:szCs w:val="20"/>
          <w:color w:val="auto"/>
        </w:rPr>
      </w:pPr>
    </w:p>
    <w:p>
      <w:pPr>
        <w:ind w:left="880" w:right="140" w:hanging="224"/>
        <w:spacing w:after="0" w:line="25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auto"/>
        </w:rPr>
        <w:t>The Environmental pillar is focused on assessing and monitoring our environmental footprint, and proactively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raising our firm-wide awareness of environmental risk and opportunity by committing to sustainable practices to oversee environmental aspects in our business activities.</w:t>
      </w:r>
    </w:p>
    <w:p>
      <w:pPr>
        <w:spacing w:after="0" w:line="74"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motivate our employees, and maintaining a rigorous cybersecurity program to protect our valuable data.</w:t>
      </w:r>
    </w:p>
    <w:p>
      <w:pPr>
        <w:spacing w:after="0" w:line="59" w:lineRule="exact"/>
        <w:rPr>
          <w:rFonts w:ascii="Arial" w:cs="Arial" w:eastAsia="Arial" w:hAnsi="Arial"/>
          <w:sz w:val="18"/>
          <w:szCs w:val="18"/>
          <w:color w:val="auto"/>
        </w:rPr>
      </w:pPr>
    </w:p>
    <w:p>
      <w:pPr>
        <w:ind w:left="880" w:right="500" w:hanging="224"/>
        <w:spacing w:after="0" w:line="25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The Governance pillar is focused on upholding our commitment to ethical business conduct,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and corporate responsibility by integrating strong governance and enterprise risk management oversight across all aspects of our business.</w:t>
      </w:r>
    </w:p>
    <w:p>
      <w:pPr>
        <w:spacing w:after="0" w:line="191"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We plan to report how we oversee and manage ESG factors material to our business under the industry-specific ESG framework recommended by the SASB for the Financials—Investment Banking industry, and also evaluate how our ESG objectives align with elements of the United Nations Sustainable Development Goals.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People and Inclusive Culture</w:t>
      </w:r>
    </w:p>
    <w:p>
      <w:pPr>
        <w:spacing w:after="0" w:line="234"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203"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to 183 advisory professionals, including 32 advisory partners. As of June 30, 2021, we serve our clients with 372 advisory professionals, including 57 advisory partners, based in ten offices, located in five countries around the world.</w:t>
      </w:r>
    </w:p>
    <w:p>
      <w:pPr>
        <w:spacing w:after="0" w:line="19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205"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57 advisory partners were promoted internally.</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9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Focus on Cybersecurity</w:t>
      </w:r>
    </w:p>
    <w:p>
      <w:pPr>
        <w:spacing w:after="0" w:line="23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NIST and ISO frameworks, and our policies and procedures in managing PII are in compliance with GDPR requirements.</w:t>
      </w:r>
    </w:p>
    <w:p>
      <w:pPr>
        <w:spacing w:after="0" w:line="203" w:lineRule="exact"/>
        <w:rPr>
          <w:sz w:val="20"/>
          <w:szCs w:val="20"/>
          <w:color w:val="auto"/>
        </w:rPr>
      </w:pPr>
    </w:p>
    <w:p>
      <w:pPr>
        <w:jc w:val="both"/>
        <w:ind w:left="120" w:right="320" w:firstLine="551"/>
        <w:spacing w:after="0" w:line="234"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w:t>
      </w:r>
    </w:p>
    <w:p>
      <w:pPr>
        <w:spacing w:after="0" w:line="2"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9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TPH Business Combination</w:t>
      </w:r>
    </w:p>
    <w:p>
      <w:pPr>
        <w:spacing w:after="0" w:line="23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203" w:lineRule="exact"/>
        <w:rPr>
          <w:sz w:val="20"/>
          <w:szCs w:val="20"/>
          <w:color w:val="auto"/>
        </w:rPr>
      </w:pPr>
    </w:p>
    <w:p>
      <w:pPr>
        <w:jc w:val="both"/>
        <w:ind w:left="120" w:right="160" w:firstLine="551"/>
        <w:spacing w:after="0" w:line="261" w:lineRule="auto"/>
        <w:rPr>
          <w:sz w:val="20"/>
          <w:szCs w:val="20"/>
          <w:color w:val="auto"/>
        </w:rPr>
      </w:pPr>
      <w:r>
        <w:rPr>
          <w:rFonts w:ascii="Arial" w:cs="Arial" w:eastAsia="Arial" w:hAnsi="Arial"/>
          <w:sz w:val="17"/>
          <w:szCs w:val="17"/>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success of this combination can be derived from many factors including:</w:t>
      </w:r>
    </w:p>
    <w:p>
      <w:pPr>
        <w:spacing w:after="0" w:line="95" w:lineRule="exact"/>
        <w:rPr>
          <w:sz w:val="20"/>
          <w:szCs w:val="20"/>
          <w:color w:val="auto"/>
        </w:rPr>
      </w:pPr>
    </w:p>
    <w:p>
      <w:pPr>
        <w:ind w:left="880" w:right="100" w:hanging="224"/>
        <w:spacing w:after="0" w:line="253"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Shared Common Culture: </w:t>
      </w:r>
      <w:r>
        <w:rPr>
          <w:rFonts w:ascii="Arial" w:cs="Arial" w:eastAsia="Arial" w:hAnsi="Arial"/>
          <w:sz w:val="18"/>
          <w:szCs w:val="18"/>
          <w:color w:val="auto"/>
        </w:rPr>
        <w:t>The founders of both our Company and TPH have long-standing relationships, initially working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Wall Street investment banks. This unique shared heritage of our founders provided a common foundation upon which each firm was built and we believe has allowed for seamless integration and successful commercial synergy.</w:t>
      </w:r>
    </w:p>
    <w:p>
      <w:pPr>
        <w:spacing w:after="0" w:line="74"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Advisory Synergy: </w:t>
      </w:r>
      <w:r>
        <w:rPr>
          <w:rFonts w:ascii="Arial" w:cs="Arial" w:eastAsia="Arial" w:hAnsi="Arial"/>
          <w:sz w:val="18"/>
          <w:szCs w:val="18"/>
          <w:color w:val="auto"/>
        </w:rPr>
        <w:t>As standalone businesses, we believed our Company and TPH were not fully capitalizing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potential of the respective franchises. In the case of TPH, their sole focus on energy limited their ability to justify investments in a broader advisory offering, including most notably in restructuring advice. In the case of our Company, despite a strong restructuring advisory franchise, a limited presence in the energy sector left our Company less equipped to penetrate the sector as deeply as the opportunity would warrant. As a combined entity, we believe we have seen significant potential of the combined organization, as we have leveraged industry or advisory service knowledge across the respective businesses.</w:t>
      </w:r>
    </w:p>
    <w:p>
      <w:pPr>
        <w:spacing w:after="0" w:line="84"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Aligned Interests: </w:t>
      </w:r>
      <w:r>
        <w:rPr>
          <w:rFonts w:ascii="Arial" w:cs="Arial" w:eastAsia="Arial" w:hAnsi="Arial"/>
          <w:sz w:val="18"/>
          <w:szCs w:val="18"/>
          <w:color w:val="auto"/>
        </w:rPr>
        <w:t>Through the TPH Business Combination, we combined two firms with shared cultures into one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a common goal of independence with a particularly deep focus on sector expertise.</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Separation</w:t>
      </w:r>
    </w:p>
    <w:p>
      <w:pPr>
        <w:spacing w:after="0" w:line="234"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On February 28, 2019, we effected the PWP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8"/>
          <w:szCs w:val="18"/>
          <w:i w:val="1"/>
          <w:iCs w:val="1"/>
          <w:color w:val="auto"/>
        </w:rPr>
        <w:t>Certain Relationships and Related Persons Transactions—PWP’s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Transactions—Agreements with PWP Capital.</w:t>
      </w:r>
      <w:r>
        <w:rPr>
          <w:rFonts w:ascii="Arial" w:cs="Arial" w:eastAsia="Arial" w:hAnsi="Arial"/>
          <w:sz w:val="18"/>
          <w:szCs w:val="18"/>
          <w:color w:val="auto"/>
        </w:rPr>
        <w:t>”</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Organizational Structure</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203"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Regulation</w:t>
      </w:r>
    </w:p>
    <w:p>
      <w:pPr>
        <w:spacing w:after="0" w:line="234"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customers participating in those markets.</w:t>
      </w:r>
    </w:p>
    <w:p>
      <w:pPr>
        <w:spacing w:after="0" w:line="18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20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In addition to the regulation we are subject to in the United States, we are also subject to regulation internationally. PWP U.K. is authorized and regulated by the FCA and, as a limited license IFPRU investment firm, is required to maintain, as a minimum, regulatory capital of the greater of: (a) its base capital requirement of €50,000; (b) the sum of its market and credit risk requirements; or</w:t>
      </w:r>
    </w:p>
    <w:p>
      <w:pPr>
        <w:ind w:left="120" w:right="100" w:hanging="4"/>
        <w:spacing w:after="0" w:line="252" w:lineRule="auto"/>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one-quarter of PWP U.K.’s annual fixed overheads calculated in accordance with European Union laws that have implemented the European Banking Authority’s regulatory technical standards.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9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Bank Secrecy Act (the “</w:t>
      </w:r>
      <w:r>
        <w:rPr>
          <w:rFonts w:ascii="Arial" w:cs="Arial" w:eastAsia="Arial" w:hAnsi="Arial"/>
          <w:sz w:val="18"/>
          <w:szCs w:val="18"/>
          <w:u w:val="single" w:color="auto"/>
          <w:color w:val="auto"/>
        </w:rPr>
        <w:t>BSA</w:t>
      </w:r>
      <w:r>
        <w:rPr>
          <w:rFonts w:ascii="Arial" w:cs="Arial" w:eastAsia="Arial" w:hAnsi="Arial"/>
          <w:sz w:val="18"/>
          <w:szCs w:val="18"/>
          <w:color w:val="auto"/>
        </w:rPr>
        <w:t>”), as amended by the USA PATRIOT Act of 2001,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208" w:lineRule="exact"/>
        <w:rPr>
          <w:sz w:val="20"/>
          <w:szCs w:val="20"/>
          <w:color w:val="auto"/>
        </w:rPr>
      </w:pPr>
    </w:p>
    <w:p>
      <w:pPr>
        <w:jc w:val="both"/>
        <w:ind w:left="120" w:right="80" w:firstLine="551"/>
        <w:spacing w:after="0"/>
        <w:rPr>
          <w:sz w:val="20"/>
          <w:szCs w:val="20"/>
          <w:color w:val="auto"/>
        </w:rPr>
      </w:pPr>
      <w:r>
        <w:rPr>
          <w:rFonts w:ascii="Arial" w:cs="Arial" w:eastAsia="Arial" w:hAnsi="Arial"/>
          <w:sz w:val="18"/>
          <w:szCs w:val="18"/>
          <w:color w:val="auto"/>
        </w:rPr>
        <w:t>In support of U.S. foreign policy and national security goals, the Treasury Department’s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administers and enforces economic and trade sanctions against targeted foreign countries and regimes, terrorists, international narcotics traffickers, and those engaged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w:t>
      </w:r>
      <w:r>
        <w:rPr>
          <w:rFonts w:ascii="Arial" w:cs="Arial" w:eastAsia="Arial" w:hAnsi="Arial"/>
          <w:sz w:val="18"/>
          <w:szCs w:val="18"/>
          <w:u w:val="single" w:color="auto"/>
          <w:color w:val="auto"/>
        </w:rPr>
        <w:t>Sanctioned Countries</w:t>
      </w:r>
      <w:r>
        <w:rPr>
          <w:rFonts w:ascii="Arial" w:cs="Arial" w:eastAsia="Arial" w:hAnsi="Arial"/>
          <w:sz w:val="18"/>
          <w:szCs w:val="18"/>
          <w:color w:val="auto"/>
        </w:rPr>
        <w:t>”)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w:t>
      </w:r>
      <w:r>
        <w:rPr>
          <w:rFonts w:ascii="Arial" w:cs="Arial" w:eastAsia="Arial" w:hAnsi="Arial"/>
          <w:sz w:val="18"/>
          <w:szCs w:val="18"/>
          <w:u w:val="single" w:color="auto"/>
          <w:color w:val="auto"/>
        </w:rPr>
        <w:t>SDNs</w:t>
      </w:r>
      <w:r>
        <w:rPr>
          <w:rFonts w:ascii="Arial" w:cs="Arial" w:eastAsia="Arial" w:hAnsi="Arial"/>
          <w:sz w:val="18"/>
          <w:szCs w:val="18"/>
          <w:color w:val="auto"/>
        </w:rPr>
        <w:t>”)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FCPA, the UK Bribery Act 2010 (the “</w:t>
      </w:r>
      <w:r>
        <w:rPr>
          <w:rFonts w:ascii="Arial" w:cs="Arial" w:eastAsia="Arial" w:hAnsi="Arial"/>
          <w:sz w:val="18"/>
          <w:szCs w:val="18"/>
          <w:u w:val="single" w:color="auto"/>
          <w:color w:val="auto"/>
        </w:rPr>
        <w:t>UK Bribery Act</w:t>
      </w:r>
      <w:r>
        <w:rPr>
          <w:rFonts w:ascii="Arial" w:cs="Arial" w:eastAsia="Arial" w:hAnsi="Arial"/>
          <w:sz w:val="18"/>
          <w:szCs w:val="18"/>
          <w:color w:val="auto"/>
        </w:rPr>
        <w: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jc w:val="both"/>
        <w:ind w:left="120" w:right="180" w:firstLine="551"/>
        <w:spacing w:after="0"/>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had 538 employees.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120" w:right="60" w:firstLine="551"/>
        <w:spacing w:after="0" w:line="252" w:lineRule="auto"/>
        <w:rPr>
          <w:sz w:val="20"/>
          <w:szCs w:val="20"/>
          <w:color w:val="auto"/>
        </w:rPr>
      </w:pPr>
      <w:r>
        <w:rPr>
          <w:rFonts w:ascii="Arial" w:cs="Arial" w:eastAsia="Arial" w:hAnsi="Arial"/>
          <w:sz w:val="17"/>
          <w:szCs w:val="17"/>
          <w:color w:val="auto"/>
        </w:rPr>
        <w:t>On October 20, 2015, Professionals GP, PWP MC LP, PWP Equity I LP and Perella Weinberg Partners Group LP (collectively, the “</w:t>
      </w:r>
      <w:r>
        <w:rPr>
          <w:rFonts w:ascii="Arial" w:cs="Arial" w:eastAsia="Arial" w:hAnsi="Arial"/>
          <w:sz w:val="17"/>
          <w:szCs w:val="17"/>
          <w:u w:val="single" w:color="auto"/>
          <w:color w:val="auto"/>
        </w:rPr>
        <w:t>PWP Plaintiffs</w:t>
      </w:r>
      <w:r>
        <w:rPr>
          <w:rFonts w:ascii="Arial" w:cs="Arial" w:eastAsia="Arial" w:hAnsi="Arial"/>
          <w:sz w:val="17"/>
          <w:szCs w:val="17"/>
          <w:color w:val="auto"/>
        </w:rPr>
        <w:t>”), filed a complaint against Michael A. Kramer, Derron S. Slonecker, Joshua S. Scherer, Adam W. Verost (collectively, the “</w:t>
      </w:r>
      <w:r>
        <w:rPr>
          <w:rFonts w:ascii="Arial" w:cs="Arial" w:eastAsia="Arial" w:hAnsi="Arial"/>
          <w:sz w:val="17"/>
          <w:szCs w:val="17"/>
          <w:u w:val="single" w:color="auto"/>
          <w:color w:val="auto"/>
        </w:rPr>
        <w:t>Individual Defendants</w:t>
      </w:r>
      <w:r>
        <w:rPr>
          <w:rFonts w:ascii="Arial" w:cs="Arial" w:eastAsia="Arial" w:hAnsi="Arial"/>
          <w:sz w:val="17"/>
          <w:szCs w:val="17"/>
          <w:color w:val="auto"/>
        </w:rPr>
        <w:t>”) and Ducera Partners LLC (together with the Individual Defendants, the “</w:t>
      </w:r>
      <w:r>
        <w:rPr>
          <w:rFonts w:ascii="Arial" w:cs="Arial" w:eastAsia="Arial" w:hAnsi="Arial"/>
          <w:sz w:val="17"/>
          <w:szCs w:val="17"/>
          <w:u w:val="single" w:color="auto"/>
          <w:color w:val="auto"/>
        </w:rPr>
        <w:t>Defendants</w:t>
      </w:r>
      <w:r>
        <w:rPr>
          <w:rFonts w:ascii="Arial" w:cs="Arial" w:eastAsia="Arial" w:hAnsi="Arial"/>
          <w:sz w:val="17"/>
          <w:szCs w:val="17"/>
          <w:color w:val="auto"/>
        </w:rPr>
        <w: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9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w:t>
      </w:r>
      <w:r>
        <w:rPr>
          <w:rFonts w:ascii="Arial" w:cs="Arial" w:eastAsia="Arial" w:hAnsi="Arial"/>
          <w:sz w:val="18"/>
          <w:szCs w:val="18"/>
          <w:u w:val="single" w:color="auto"/>
          <w:color w:val="auto"/>
        </w:rPr>
        <w:t>First Department</w:t>
      </w:r>
      <w:r>
        <w:rPr>
          <w:rFonts w:ascii="Arial" w:cs="Arial" w:eastAsia="Arial" w:hAnsi="Arial"/>
          <w:sz w:val="18"/>
          <w:szCs w:val="18"/>
          <w:color w:val="auto"/>
        </w:rPr>
        <w: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205"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held oral argument on the motions for summary judgment on May 27, 2021. The Court has yet to issue a decision on the motions for summary judgment.</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202"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PWP’S MANAGEMENT’S DISCUSSION AND ANALYSIS OF FINANCIAL CONDITION AND RESULTS OF OPERATIONS</w:t>
      </w:r>
    </w:p>
    <w:p>
      <w:pPr>
        <w:spacing w:after="0" w:line="23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Unless the context otherwise requires, all references in this section to “PWP,” the “Company,” “we,” “us” or “our” refer to the business of PWP prior to the consummation of the Business Combination and Perella Weinberg Partners following the consummation of the Business Combination.</w:t>
      </w:r>
    </w:p>
    <w:p>
      <w:pPr>
        <w:spacing w:after="0" w:line="203"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w:t>
      </w:r>
      <w:r>
        <w:rPr>
          <w:rFonts w:ascii="Arial" w:cs="Arial" w:eastAsia="Arial" w:hAnsi="Arial"/>
          <w:sz w:val="18"/>
          <w:szCs w:val="18"/>
          <w:i w:val="1"/>
          <w:iCs w:val="1"/>
          <w:color w:val="auto"/>
        </w:rPr>
        <w:t>Selected Historical Financial and Other Information of PWP</w:t>
      </w:r>
      <w:r>
        <w:rPr>
          <w:rFonts w:ascii="Arial" w:cs="Arial" w:eastAsia="Arial" w:hAnsi="Arial"/>
          <w:sz w:val="18"/>
          <w:szCs w:val="18"/>
          <w:color w:val="auto"/>
        </w:rPr>
        <w:t>” and our historical consolidated financial statements and related notes included elsewhere in this prospectus.</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sections entitled “Risk Factors” and “Cautionary Statement Regarding Forward-Looking Statements” and elsewhere in this prospectus.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Overview</w:t>
      </w:r>
    </w:p>
    <w:p>
      <w:pPr>
        <w:spacing w:after="0" w:line="23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20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development of individual professionals, in November 2016, we completed a business combination with TPH, an independent advisory firm, focused on the energy industry, that shares our culture and strategic vision, which increased our footprint in this sector. As of June 30, 2021, we serve our clients with 372 advisory professionals, including 57 advisory partners, based in ten offices, located in five countries around the world.</w:t>
      </w:r>
    </w:p>
    <w:p>
      <w:pPr>
        <w:spacing w:after="0" w:line="205"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97"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Environment and Outlook</w:t>
      </w:r>
    </w:p>
    <w:p>
      <w:pPr>
        <w:spacing w:after="0" w:line="234"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Worldwide announced M&amp;A volumes during the first quarter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three months ended March 31, 2021. The level of M&amp;A advisory dialogue remains strong across all our industries and geographies of focus and among our large cap, middle market and sponsor clients. As companies focus intently on strategic growth and capital deployment, we expect these considerations and the overall business environment will keep activity robust in the medium term.</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Although restructuring activity in the first quarter of 2021 was higher than in the first quarter of 2020, this level of activity moderated in the first quarter of 2021 compared to the elevated levels seen throughout most of 2020. Restructuring activity continues to be less active as compared to 2020 and while we expect that this more moderate pace of activity will continue through the year, we believe that the restructuring and liability management opportunity remains significant in the medium term.</w:t>
      </w:r>
    </w:p>
    <w:p>
      <w:pPr>
        <w:spacing w:after="0" w:line="205" w:lineRule="exact"/>
        <w:rPr>
          <w:sz w:val="20"/>
          <w:szCs w:val="20"/>
          <w:color w:val="auto"/>
        </w:rPr>
      </w:pPr>
    </w:p>
    <w:p>
      <w:pPr>
        <w:ind w:left="120" w:right="300" w:firstLine="551"/>
        <w:spacing w:after="0" w:line="257" w:lineRule="auto"/>
        <w:rPr>
          <w:sz w:val="20"/>
          <w:szCs w:val="20"/>
          <w:color w:val="auto"/>
        </w:rPr>
      </w:pPr>
      <w:r>
        <w:rPr>
          <w:rFonts w:ascii="Arial" w:cs="Arial" w:eastAsia="Arial" w:hAnsi="Arial"/>
          <w:sz w:val="17"/>
          <w:szCs w:val="17"/>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9" w:lineRule="exact"/>
        <w:rPr>
          <w:sz w:val="20"/>
          <w:szCs w:val="20"/>
          <w:color w:val="auto"/>
        </w:rPr>
      </w:pPr>
    </w:p>
    <w:p>
      <w:pPr>
        <w:jc w:val="both"/>
        <w:ind w:left="120" w:right="900" w:firstLine="551"/>
        <w:spacing w:after="0"/>
        <w:rPr>
          <w:sz w:val="20"/>
          <w:szCs w:val="20"/>
          <w:color w:val="auto"/>
        </w:rPr>
      </w:pPr>
      <w:r>
        <w:rPr>
          <w:rFonts w:ascii="Arial" w:cs="Arial" w:eastAsia="Arial" w:hAnsi="Arial"/>
          <w:sz w:val="18"/>
          <w:szCs w:val="18"/>
          <w:color w:val="auto"/>
        </w:rPr>
        <w:t>As our team of advisory professionals expands and continues to gain traction, we expect our sector-focused global team collaboration will deepen and continue to resonate with clients. We expect to continue to experience growing global demand for independent advice.</w:t>
      </w:r>
    </w:p>
    <w:p>
      <w:pPr>
        <w:spacing w:after="0" w:line="185" w:lineRule="exact"/>
        <w:rPr>
          <w:sz w:val="20"/>
          <w:szCs w:val="20"/>
          <w:color w:val="auto"/>
        </w:rPr>
      </w:pPr>
    </w:p>
    <w:p>
      <w:pPr>
        <w:ind w:left="120" w:right="40" w:firstLine="551"/>
        <w:spacing w:after="0" w:line="26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w:t>
      </w:r>
      <w:r>
        <w:rPr>
          <w:rFonts w:ascii="Arial" w:cs="Arial" w:eastAsia="Arial" w:hAnsi="Arial"/>
          <w:sz w:val="18"/>
          <w:szCs w:val="18"/>
          <w:color w:val="auto"/>
        </w:rPr>
        <w:t>” in this prospectus for a discussion of some of the factors that can affect our performance.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vs.</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40" w:type="dxa"/>
            <w:vAlign w:val="bottom"/>
            <w:gridSpan w:val="4"/>
          </w:tcPr>
          <w:p>
            <w:pPr>
              <w:jc w:val="right"/>
              <w:ind w:right="64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169,802</w:t>
            </w: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$92,396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$518,986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$ 533,297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$ 701,989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 and benefits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109,470</w:t>
            </w: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58,511</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374,332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349,819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477,606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Equity-based compensation</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6,157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6,185</w:t>
            </w:r>
          </w:p>
        </w:tc>
        <w:tc>
          <w:tcPr>
            <w:tcW w:w="2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(0.5%)</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24,815</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193,299</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199,052</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compensation and benefits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115,627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64,696</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79%</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399,147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543,118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676,658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Non-compensation expenses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26,131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31,295</w:t>
            </w:r>
          </w:p>
        </w:tc>
        <w:tc>
          <w:tcPr>
            <w:tcW w:w="2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(17%)</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134,435</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145,298</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132,748</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(7%)</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141,758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95,991</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533,582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688,416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809,406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28,044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(3,595)</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(14,596)</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(155,119)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(107,417)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91%</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Non-operating income (expense)</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Related party revenues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2,209</w:t>
            </w:r>
          </w:p>
        </w:tc>
        <w:tc>
          <w:tcPr>
            <w:tcW w:w="14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2,369</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9,263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8,810</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5%</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(1,854)</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1,848</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(634)</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(3,868)</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rPr>
              <w:t>(3,974)</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3%</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(15,741)</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(15,395)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(15,164)</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(2%)</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non-operating income (expenses)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(3,513)</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243</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(6,293)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(6,477)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(15,798)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Income (loss) before income taxes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24,531</w:t>
            </w:r>
          </w:p>
        </w:tc>
        <w:tc>
          <w:tcPr>
            <w:tcW w:w="14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rPr>
              <w:t>(3,352)</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(20,889)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(161,596)</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(123,215)</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87%</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(expense)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(2,024)</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(710)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(3,453)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(2,423)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Net income (loss)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22,507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 (4,062)</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NM</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 (24,342)</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(164,019)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(125,757)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85%</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5"/>
          </w:tcPr>
          <w:p>
            <w:pPr>
              <w:jc w:val="right"/>
              <w:ind w:right="460"/>
              <w:spacing w:after="0" w:line="155"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fees</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$ 168,021</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4"/>
              </w:rPr>
              <w:t>$ 90,862</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$ 511,251</w:t>
            </w: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$ 524,126</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Reimbursed expenses(1)</w:t>
            </w: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1,603</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1,534</w:t>
            </w:r>
          </w:p>
        </w:tc>
        <w:tc>
          <w:tcPr>
            <w:tcW w:w="10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6,461</w:t>
            </w:r>
          </w:p>
        </w:tc>
        <w:tc>
          <w:tcPr>
            <w:tcW w:w="10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Co-advisor advisory fees(2)</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1,274</w:t>
            </w: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$ 169,802</w:t>
            </w: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$ 92,396</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$ 518,986</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$ 533,297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660" w:hanging="54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Reimbursed expenses include amounts reimbursed by our clients for collection of expenses.</w:t>
      </w:r>
    </w:p>
    <w:p>
      <w:pPr>
        <w:ind w:left="660" w:right="220" w:hanging="544"/>
        <w:spacing w:after="0" w:line="23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Co-advisor advisory fees include amounts reimbursed by our clients for professional fees pursuant to certain co-advisory engagements incurred on their behalf. Certain of our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205" w:lineRule="exact"/>
        <w:rPr>
          <w:sz w:val="20"/>
          <w:szCs w:val="20"/>
          <w:color w:val="auto"/>
        </w:rPr>
      </w:pPr>
    </w:p>
    <w:p>
      <w:pPr>
        <w:ind w:left="120" w:right="440" w:firstLine="551"/>
        <w:spacing w:after="0" w:line="238" w:lineRule="auto"/>
        <w:rPr>
          <w:sz w:val="20"/>
          <w:szCs w:val="20"/>
          <w:color w:val="auto"/>
        </w:rPr>
      </w:pPr>
      <w:r>
        <w:rPr>
          <w:rFonts w:ascii="Arial" w:cs="Arial" w:eastAsia="Arial" w:hAnsi="Arial"/>
          <w:sz w:val="18"/>
          <w:szCs w:val="18"/>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than such periods.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Revenues were $169.8 million for the three months ended March 31, 2021 as compared with $92.4 million for the same period in 2020, representing an increase of 84%. The quarter-on-quarter growth reflects strong performance in the M&amp;A and restructuring advisory businesses. The increase in revenue can be attributed to an increase in the number of advisory clients and the average fee size as compared to the same period last year.</w:t>
      </w:r>
    </w:p>
    <w:p>
      <w:pPr>
        <w:spacing w:after="0" w:line="20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For the three months ended March 31, 2021 and 2020, we earned revenues from 95 and 65 advisory clients, respectively. The number of advisory clients who paid fees equal to or greater than $1.0 million increased to 29 advisory clients for the three months ended March 31, 2021 compared to 17 advisory clients for the three months ended March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780" w:firstLine="551"/>
        <w:spacing w:after="0" w:line="246"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revenues was primarily driven by a decline in mergers and acquisitions activity in the COVID-19 pandemic, offset partially by an increase in capital structure and restructuring activity.</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Revenues were $533.3 million for the year ended December 31, 2019 compared to $702.0 million for the year ended December 31, 2018, representing a decrease of 24%. The decrease in revenues was primarily driven by the number and average size of fees received on our engagements.</w:t>
      </w:r>
    </w:p>
    <w:p>
      <w:pPr>
        <w:spacing w:after="0" w:line="203"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For the years ended December 31, 2019 and 2018, we earned revenues from 179 and 197 advisory clients, respectively. The number of advisory clients who paid fees equal to or greater than $1 million decreased to 100 advisory clients for the year ended December 31, 2019 compared to 105 such advisory clients for the year ended December 31, 2018. Additionally, the average fee size declined approximately 16% to $ 2.98 million for the year ended December 31, 2018 from $3.56 million for the year ended December 31, 2019. This was largely driven by a stronger M&amp;A environment for the year ended December 31, 2018 and approximately $70 million of revenues from 2016 announced transactions which did not close until 2018. Additionally, this $70 million was from only two fees which also increased the average fee size in 2018.</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2021 vs.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jc w:val="right"/>
              <w:ind w:right="228"/>
              <w:spacing w:after="0" w:line="143" w:lineRule="exact"/>
              <w:rPr>
                <w:sz w:val="20"/>
                <w:szCs w:val="20"/>
                <w:color w:val="auto"/>
              </w:rPr>
            </w:pPr>
            <w:r>
              <w:rPr>
                <w:rFonts w:ascii="Arial" w:cs="Arial" w:eastAsia="Arial" w:hAnsi="Arial"/>
                <w:sz w:val="14"/>
                <w:szCs w:val="14"/>
                <w:b w:val="1"/>
                <w:bCs w:val="1"/>
                <w:color w:val="auto"/>
              </w:rPr>
              <w:t>2020 vs.</w:t>
            </w:r>
          </w:p>
        </w:tc>
        <w:tc>
          <w:tcPr>
            <w:tcW w:w="700" w:type="dxa"/>
            <w:vAlign w:val="bottom"/>
          </w:tcPr>
          <w:p>
            <w:pPr>
              <w:jc w:val="center"/>
              <w:ind w:left="68"/>
              <w:spacing w:after="0" w:line="143" w:lineRule="exact"/>
              <w:rPr>
                <w:sz w:val="20"/>
                <w:szCs w:val="20"/>
                <w:color w:val="auto"/>
              </w:rPr>
            </w:pPr>
            <w:r>
              <w:rPr>
                <w:rFonts w:ascii="Arial" w:cs="Arial" w:eastAsia="Arial" w:hAnsi="Arial"/>
                <w:sz w:val="14"/>
                <w:szCs w:val="14"/>
                <w:b w:val="1"/>
                <w:bCs w:val="1"/>
                <w:color w:val="auto"/>
              </w:rPr>
              <w:t>2019 vs.</w:t>
            </w:r>
          </w:p>
        </w:tc>
        <w:tc>
          <w:tcPr>
            <w:tcW w:w="220" w:type="dxa"/>
            <w:vAlign w:val="bottom"/>
          </w:tcPr>
          <w:p>
            <w:pPr>
              <w:spacing w:after="0"/>
              <w:rPr>
                <w:sz w:val="12"/>
                <w:szCs w:val="12"/>
                <w:color w:val="auto"/>
              </w:rPr>
            </w:pPr>
          </w:p>
        </w:tc>
      </w:tr>
      <w:tr>
        <w:trPr>
          <w:trHeight w:val="175"/>
        </w:trPr>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r>
      <w:tr>
        <w:trPr>
          <w:trHeight w:val="155"/>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right"/>
              <w:ind w:right="348"/>
              <w:spacing w:after="0" w:line="155" w:lineRule="exact"/>
              <w:rPr>
                <w:sz w:val="20"/>
                <w:szCs w:val="20"/>
                <w:color w:val="auto"/>
              </w:rPr>
            </w:pPr>
            <w:r>
              <w:rPr>
                <w:rFonts w:ascii="Arial" w:cs="Arial" w:eastAsia="Arial" w:hAnsi="Arial"/>
                <w:sz w:val="14"/>
                <w:szCs w:val="14"/>
                <w:b w:val="1"/>
                <w:bCs w:val="1"/>
                <w:color w:val="auto"/>
              </w:rPr>
              <w:t>($ in thousands)</w:t>
            </w: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2"/>
        </w:trPr>
        <w:tc>
          <w:tcPr>
            <w:tcW w:w="3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Compensation and benefits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109,470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58,511</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87%</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$374,332</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$ 349,819</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$ 477,606</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63%</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Equity-based compensation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6,157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6,185</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(0.5%)</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$ 24,815</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$ 193,299</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$ 199,052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Non-compensation expenses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26,131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31,295</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$134,435</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$ 145,298</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$ 132,748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141,758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95,991</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48%</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$533,582</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$ 688,416</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$ 809,406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103%</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24,531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(3,352)</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 (20,889)</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$(161,596)</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$(123,215)</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 of revenues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are classified as (i) compensation and benefits expenses and equity-based compensation and</w:t>
      </w:r>
    </w:p>
    <w:p>
      <w:pPr>
        <w:ind w:left="120" w:right="120" w:hanging="4"/>
        <w:spacing w:after="0" w:line="237" w:lineRule="auto"/>
        <w:tabs>
          <w:tab w:leader="none" w:pos="3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Operating expenses were $141.8 million for the three months ended March 31, 2021 and represented 83% of revenues, compared with $96.0 million for the three months ended March 31, 2020, which represented 104% of revenues. The increase in operating expenses was primarily driven by compensation and benefits expenses, which were $109.5 million for the three months ended March 31, 2021 compared to $58.5 million for the three months ended March 31, 2020, partially offset by lower non-compensation expenses which were $26.1 million for the three months ended March 31, 2021 compared to $31.3 million for the three months ended March 31, 2020. The decrease in non-compensation expense was primarily related to the COVID-19 pandemic and its impact on travel and related expenses, which decreased $3.5 million, as well as lower general, administrative and other expenses, which decreased $0.7 million mainly due to a decrease in office expenses and conferences and seminars, partially offset by higher VAT provision expenses.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80" w:firstLine="551"/>
        <w:spacing w:after="0" w:line="235" w:lineRule="auto"/>
        <w:rPr>
          <w:sz w:val="20"/>
          <w:szCs w:val="20"/>
          <w:color w:val="auto"/>
        </w:rPr>
      </w:pPr>
      <w:r>
        <w:rPr>
          <w:rFonts w:ascii="Arial" w:cs="Arial" w:eastAsia="Arial" w:hAnsi="Arial"/>
          <w:sz w:val="18"/>
          <w:szCs w:val="18"/>
          <w:color w:val="auto"/>
        </w:rPr>
        <w:t>Operating expenses were $533.6 million for the year ended December 31, 2020 and represented 103% of revenues, compared with $688.4 million for the year ended December 31, 2019, which represented 129% of revenues. The decrease in operating expenses was primarily driven by equity-based compensation, which was $24.8 million for the year ended December 31, 2020 compared to $193.3 million for the year ended December 31, 2019. This decrease was due to equity-based compensation awards granted by Professional Partners in connection with the TPH Business Combination fully vesting in 2019, which had no economic impact on PWP OpCo. This decrease was partially offset by certain severance expenses incurred in connection with a restructuring in the spring of 2020 and increased bonus compensation, including public company transaction-related incentive compensation. In addition,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 off of approximately $14.8 million in previously deferred offering costs as a result of the delay of the Company’s pursuit of becoming a public company. This write 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were $688.4 million for the year ended December 31, 2019 and represented 129% of revenues, compared to</w:t>
      </w:r>
    </w:p>
    <w:p>
      <w:pPr>
        <w:ind w:left="120"/>
        <w:spacing w:after="0" w:line="234" w:lineRule="auto"/>
        <w:rPr>
          <w:sz w:val="20"/>
          <w:szCs w:val="20"/>
          <w:color w:val="auto"/>
        </w:rPr>
      </w:pPr>
      <w:r>
        <w:rPr>
          <w:rFonts w:ascii="Arial" w:cs="Arial" w:eastAsia="Arial" w:hAnsi="Arial"/>
          <w:sz w:val="18"/>
          <w:szCs w:val="18"/>
          <w:color w:val="auto"/>
        </w:rPr>
        <w:t>$809.4 million for the year ended December 31, 2018, which represented 115% of revenues. The decrease in operating expenses was</w:t>
      </w:r>
    </w:p>
    <w:p>
      <w:pPr>
        <w:ind w:left="120"/>
        <w:spacing w:after="0" w:line="235" w:lineRule="auto"/>
        <w:rPr>
          <w:sz w:val="20"/>
          <w:szCs w:val="20"/>
          <w:color w:val="auto"/>
        </w:rPr>
      </w:pPr>
      <w:r>
        <w:rPr>
          <w:rFonts w:ascii="Arial" w:cs="Arial" w:eastAsia="Arial" w:hAnsi="Arial"/>
          <w:sz w:val="18"/>
          <w:szCs w:val="18"/>
          <w:color w:val="auto"/>
        </w:rPr>
        <w:t>primarily driven by compensation and benefits expenses, which were $349.8 million for the year ended December 31, 2019 compared to</w:t>
      </w:r>
    </w:p>
    <w:p>
      <w:pPr>
        <w:ind w:left="120"/>
        <w:spacing w:after="0" w:line="235" w:lineRule="auto"/>
        <w:rPr>
          <w:sz w:val="20"/>
          <w:szCs w:val="20"/>
          <w:color w:val="auto"/>
        </w:rPr>
      </w:pPr>
      <w:r>
        <w:rPr>
          <w:rFonts w:ascii="Arial" w:cs="Arial" w:eastAsia="Arial" w:hAnsi="Arial"/>
          <w:sz w:val="18"/>
          <w:szCs w:val="18"/>
          <w:color w:val="auto"/>
        </w:rPr>
        <w:t>$477.6 million for the year ended December 31, 2018 as a result of lower bonus accrual on lower revenue. In addition, a decrease in</w:t>
      </w:r>
    </w:p>
    <w:p>
      <w:pPr>
        <w:ind w:left="120"/>
        <w:spacing w:after="0" w:line="235" w:lineRule="auto"/>
        <w:rPr>
          <w:sz w:val="20"/>
          <w:szCs w:val="20"/>
          <w:color w:val="auto"/>
        </w:rPr>
      </w:pPr>
      <w:r>
        <w:rPr>
          <w:rFonts w:ascii="Arial" w:cs="Arial" w:eastAsia="Arial" w:hAnsi="Arial"/>
          <w:sz w:val="18"/>
          <w:szCs w:val="18"/>
          <w:color w:val="auto"/>
        </w:rPr>
        <w:t>amortization of previously issued equity awards, which was $193.3 million for the year ended December 31, 2019 compared to</w:t>
      </w:r>
    </w:p>
    <w:p>
      <w:pPr>
        <w:ind w:left="120"/>
        <w:spacing w:after="0" w:line="235" w:lineRule="auto"/>
        <w:rPr>
          <w:sz w:val="20"/>
          <w:szCs w:val="20"/>
          <w:color w:val="auto"/>
        </w:rPr>
      </w:pPr>
      <w:r>
        <w:rPr>
          <w:rFonts w:ascii="Arial" w:cs="Arial" w:eastAsia="Arial" w:hAnsi="Arial"/>
          <w:sz w:val="18"/>
          <w:szCs w:val="18"/>
          <w:color w:val="auto"/>
        </w:rPr>
        <w:t>$199.1 million for the year ended December 31, 2018, contributed to the year over year decrease as certain awards related to the TPH</w:t>
      </w:r>
    </w:p>
    <w:p>
      <w:pPr>
        <w:ind w:left="120"/>
        <w:spacing w:after="0"/>
        <w:rPr>
          <w:sz w:val="20"/>
          <w:szCs w:val="20"/>
          <w:color w:val="auto"/>
        </w:rPr>
      </w:pPr>
      <w:r>
        <w:rPr>
          <w:rFonts w:ascii="Arial" w:cs="Arial" w:eastAsia="Arial" w:hAnsi="Arial"/>
          <w:sz w:val="17"/>
          <w:szCs w:val="17"/>
          <w:color w:val="auto"/>
        </w:rPr>
        <w:t>Business Combination were fully vested. Non-compensation expenses increased to $145.3 million for the year ended December 31, 2019</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compared to $132.7 million for the year ended December 31, 2018 primarily due to increases in professional fees, technology and</w:t>
      </w:r>
    </w:p>
    <w:p>
      <w:pPr>
        <w:ind w:left="120"/>
        <w:spacing w:after="0" w:line="234" w:lineRule="auto"/>
        <w:rPr>
          <w:sz w:val="20"/>
          <w:szCs w:val="20"/>
          <w:color w:val="auto"/>
        </w:rPr>
      </w:pPr>
      <w:r>
        <w:rPr>
          <w:rFonts w:ascii="Arial" w:cs="Arial" w:eastAsia="Arial" w:hAnsi="Arial"/>
          <w:sz w:val="18"/>
          <w:szCs w:val="18"/>
          <w:color w:val="auto"/>
        </w:rPr>
        <w:t>infrastructure and rent and occupancy costs. These increases are attributed to headcount growth and costs in preparation to operate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public company. Additionally, there was an increase in expenses related to certain costs incurred post PWP Separation that were charged</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back to PWP Capital under the transition services agreement (the “</w:t>
      </w:r>
      <w:r>
        <w:rPr>
          <w:rFonts w:ascii="Arial" w:cs="Arial" w:eastAsia="Arial" w:hAnsi="Arial"/>
          <w:sz w:val="18"/>
          <w:szCs w:val="18"/>
          <w:u w:val="single" w:color="auto"/>
          <w:color w:val="auto"/>
        </w:rPr>
        <w:t>TSA</w:t>
      </w:r>
      <w:r>
        <w:rPr>
          <w:rFonts w:ascii="Arial" w:cs="Arial" w:eastAsia="Arial" w:hAnsi="Arial"/>
          <w:sz w:val="18"/>
          <w:szCs w:val="18"/>
          <w:color w:val="auto"/>
        </w:rPr>
        <w:t>”) and included in related party revenue. The TSA is for a</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9"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67" w:lineRule="auto"/>
        <w:rPr>
          <w:sz w:val="20"/>
          <w:szCs w:val="20"/>
          <w:color w:val="auto"/>
        </w:rPr>
      </w:pPr>
      <w:r>
        <w:rPr>
          <w:rFonts w:ascii="Arial" w:cs="Arial" w:eastAsia="Arial" w:hAnsi="Arial"/>
          <w:sz w:val="18"/>
          <w:szCs w:val="18"/>
          <w:color w:val="auto"/>
        </w:rPr>
        <w:t>limited transition period. See “</w:t>
      </w:r>
      <w:r>
        <w:rPr>
          <w:rFonts w:ascii="Arial" w:cs="Arial" w:eastAsia="Arial" w:hAnsi="Arial"/>
          <w:sz w:val="18"/>
          <w:szCs w:val="18"/>
          <w:i w:val="1"/>
          <w:iCs w:val="1"/>
          <w:color w:val="auto"/>
        </w:rPr>
        <w:t>Certain Relationships and Related Persons Transactions—PWP’s Related Party Transactions</w:t>
      </w:r>
      <w:r>
        <w:rPr>
          <w:rFonts w:ascii="Arial" w:cs="Arial" w:eastAsia="Arial" w:hAnsi="Arial"/>
          <w:sz w:val="18"/>
          <w:szCs w:val="18"/>
          <w:color w:val="auto"/>
        </w:rPr>
        <w:t>” for more information.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 Expenses</w:t>
      </w:r>
    </w:p>
    <w:p>
      <w:pPr>
        <w:spacing w:after="0" w:line="12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 sharing awards vest immediately, at future dates, or upon the occurrence of certain events, including the Business Combination. Professional Partners grants equity awards that are measured at fair value on the grant date and recognized on a straight-line basis over the vesting period. Equity awards granted by Professional Partners have no economic impact on other investors of the Company. The awards are subject to a service vesting condition and vest ratably on a graded vesting schedule of three to five years. The awards are recorded within equity as they are expensed.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205"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A significant portion of compensation and benefits relates to the equity-based compensation awards granted by Professional Partners in connection with the TPH Business Combination, which were fully vested in 2019 and which had no economic impact on PWP OpCo. The equity-based compensation awards granted by Professional Partners in conjunction with the TPH Business Combination did not dilute the respective interests held by other investors of PWP OpCo. These awards did not change the economic allocations between Professional Partners and other investors of PWP OpCo. The vesting of equity awards granted in connection with the transaction will be recorded as an equity-based compensation expense at PWP OpCo for GAAP accounting purposes. As a result (or due to other factors), we may continue to experience operating losses in future periods. We intend to compensate our personnel competitively in order to continue building our business and growing our firm.</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For the three months ended March 31, 2021, compensation-related expenses of $115.6 million represented 68% of revenues, compared with $ 64.7 million of compensation-related expenses, which represented 70% of revenues for the three months ended March 31, 2020. Included in total compensation-related expense was $6.2 million amortization of equity awards, for each of the three month periods ended March 31, 2021 and March 31, 2020. The increase in total compensation and benefit expenses was due to a larger bonus accrual associated with the increase in revenue as well as a slightly higher compensation margin when compared to the same period in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For the year ended December 31, 2020, total compensation-related expenses of $399.1 million represented 77% of revenues, compared with $543.1 million of compensation-related expenses, which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For the year ended December 31, 2019, total compensation-related expenses of $543.1 million represented 102% of revenues, compared to $676.7 million of compensation-related expenses, which represented 96% of revenues for the year ended December 31, 2018. Included in total compensation-related expense was $193.3 million and $199.1 million amortization of equity awards for the years ended December 31, 2019 and 2018, respectively. The decrease in compensation expenses was primarily driven by lower bonus accrual on lower revenue in the year ended December 31, 2019 compared to the same prior year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Non-Compensation Expenses</w:t>
      </w:r>
    </w:p>
    <w:p>
      <w:pPr>
        <w:spacing w:after="0" w:line="12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non-compensation expenses include the costs of professional fees, travel and related expenses, technology and infrastructure, rent and occupancy, depreciation and amortization and general, administrative and other expenses. Any expenses reimbursed by clients are also presented within revenues on our consolidated statements of operations and comprehensive income (loss).</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non-compensation support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 In July 2020, the Company modified the terms of its New York office space lease by shortening the lease term of certain floor space and extending the contractual term of other floor space. In connection with this lease modification, from and after February 1, 2022, the Company expects to see an annualized reduction in its New York lease expense of approximately $3 million per year as compared to its 2020 New York lease expense. In addition, we expect to incur additional non-compensation expenses in connection with becoming a public company.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640" w:firstLine="551"/>
        <w:spacing w:after="0" w:line="238" w:lineRule="auto"/>
        <w:rPr>
          <w:sz w:val="20"/>
          <w:szCs w:val="20"/>
          <w:color w:val="auto"/>
        </w:rPr>
      </w:pPr>
      <w:r>
        <w:rPr>
          <w:rFonts w:ascii="Arial" w:cs="Arial" w:eastAsia="Arial" w:hAnsi="Arial"/>
          <w:sz w:val="18"/>
          <w:szCs w:val="18"/>
          <w:color w:val="auto"/>
        </w:rPr>
        <w:t>For the three months ended March 31, 2021, non-compensation expenses of $26.1 million represented 15% of revenues, compared with $31.3 million, which represented 34% of revenues, for the three months ended March 31, 2020. The decrease in non-compensation expense was primarily related to the COVID-19 pandemic and its impact on travel and related expenses, which decreased $3.5 million, as well as lower general, administrative and other expenses, which decreased $0.7 million mainly due to a decrease in office expenses and conferences and seminars, partially offset by higher VAT provision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For the year ended December 31, 2020, non-compensation expenses of $134.4 million represented 26% of revenues, compared with $145.3 million, which represented 27% of revenues, for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For the year ended December 31, 2019, non-compensation expenses of $145.3 million represented 27% of revenues, compared to $132.7 million, which represented 19% of revenues, for the year ended December 31, 2018. The increase in non-compensation expense was primarily due to increased rent and occupancy and technology and infrastructure costs. Rent and occupancy increased as a result of changes related to the Paris and Chicago office lease and the start of the Munich office lease, as well as a change in the allocation methodology of the New York and Houston office leases of which a portion of each was subleased to PWP Capital after the PWP Separation. Prior to the PWP Separation, such portion had been allocated to PWP Capital on the combined company’s books and records, but following the PWP Separation, such portion is subleased to PWP Capital. The gross amount of such sublease cost is included in non-compensation expenses beginning from the date of the PWP Separation. Technology and infrastructure increased due to higher software expenses including costs for new services and higher market data costs. Additionally, professional fees were slightly higher due to an increase in legal fees such as those related to the litigation matter as discussed under “</w:t>
      </w:r>
      <w:r>
        <w:rPr>
          <w:rFonts w:ascii="Arial" w:cs="Arial" w:eastAsia="Arial" w:hAnsi="Arial"/>
          <w:sz w:val="18"/>
          <w:szCs w:val="18"/>
          <w:i w:val="1"/>
          <w:iCs w:val="1"/>
          <w:color w:val="auto"/>
        </w:rPr>
        <w:t>Business—Legal Proceedings</w:t>
      </w:r>
      <w:r>
        <w:rPr>
          <w:rFonts w:ascii="Arial" w:cs="Arial" w:eastAsia="Arial" w:hAnsi="Arial"/>
          <w:sz w:val="18"/>
          <w:szCs w:val="18"/>
          <w:color w:val="auto"/>
        </w:rPr>
        <w:t>,” increased recruiting fees for new senior level hires, and legal and consulting costs in preparation to operate as a public company offset by a decrease in co-advisory fees. Increased expenses related to the TSA were approximately $4.5 million for the year ended December 31, 2019 and were invoiced to PWP Capital with the offsetting revenue included in related party revenue on the condensed consolidated statements of operations and comprehensive loss. In connection with the PWP Separation, reorganization and proposed initial public offering, the Company incurred offering costs of $2.2 million during the year ended December 31, 2019 which were being deferred within prepaid expenses and other assets on the consolidated statement of financial condition and were expected to be netted against the proceeds of the proposed initial public offering. These offering costs were subsequently written off in May 2020 and included in non-compensation expense.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Benefit (Expense)</w:t>
      </w:r>
    </w:p>
    <w:p>
      <w:pPr>
        <w:spacing w:after="0" w:line="12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Prior to the Company’s reorganization and the Business Combination offering, the Company was historically treated as a partnership for U.S. federal and state income tax purposes, with the exception of a broker dealer subsidiary, TPH Securities, which at the time was treated as a C corporation for income tax purposes (but has since converted to a limited liability company). The Company was primarily subject to the New York City unincorporated business tax and certain other foreign, state and local taxes. The Company’s U.S. operations were composed of entities organized as Delaware limited liability companies and limited partnerships. For U.S. federal income tax purposes, taxes related to income earned by these entities represented obligations of their interest holders, which were primarily made up of individual partners prior to the Business Combination and have historically not been reflected in our consolidated statements of financial condition. In connection with the Company’s reorganization and the Business Combination, the Company became subject to U.S. corporate, federal, state and local income tax on its allocable share of results of operations from PWP.</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6"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Company’s income tax expense and effective tax rate were $ 2.0 million and (8.3%), respectively, for the three months ended March 31, 2021, compared to income tax expense and effective tax rate of $0.7 million and (21.2%), respectively, for the three months ended March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26"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Company’s income tax expense and effective tax rate were ($2.4) million and (1.5%), respectively, for the year ended December 31, 2019 compared to income tax benefit and effective tax rate of ($ 2.5) million and (2.1%), respectively, for the year ended December 31, 2018. The Company is treated as a Partnership for U.S. federal and state income tax purposes, with certain exceptions. TPH Canada, PWP France and PWP Germany are treated as corporations in their respective foreign jurisdictions. For the nine months ended September 30, 2019 and the years ended December 31, 2018 and 2017, TPH Securities was treated as a C corporation for federal, state and local income tax purposes. As of October 1, 2019, TPH Securities converted to a Texas limited liability company and is now treated as a disregarded entity for federal, state and local income tax purposes. The limited partners of the Company are individually liable for taxes on their distributable share of the Company’s taxable income or loss.</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includes cash funded by the Company to the firm’s asset management business for periods prior to the PWP Separation, and it includes amounts due from PWP Capital for periods after the PWP Separation. We pay a significant portion of our annual incentive compensation, in the form of cash bonuses, during the first quarter of each calendar year with respect to the prior year’s results. When applicable, we have also made distributions primarily in the first quarter of each year in respect of the prior year’s operating results. Therefore, levels of cash generally decline during the first quarter of each year after our annual incentive compensation has been paid to our employees and, if applicable, distributions have been made to partners. Cash then typically builds over the remainder of the year.</w:t>
      </w:r>
    </w:p>
    <w:p>
      <w:pPr>
        <w:spacing w:after="0" w:line="20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March 31, 2021 and December 31, 2020. As of March 31, 2021 and December 31, 2020, the Company had cash balances of $ 197.2 and $329.1 million, respectively, maintained in U.S. and non-U.S. bank accounts, of which most bank account balances exceeded the U.S. Federal Deposit Insurance Corporation (“</w:t>
      </w:r>
      <w:r>
        <w:rPr>
          <w:rFonts w:ascii="Arial" w:cs="Arial" w:eastAsia="Arial" w:hAnsi="Arial"/>
          <w:sz w:val="18"/>
          <w:szCs w:val="18"/>
          <w:u w:val="single" w:color="auto"/>
          <w:color w:val="auto"/>
        </w:rPr>
        <w:t>FDIC</w:t>
      </w:r>
      <w:r>
        <w:rPr>
          <w:rFonts w:ascii="Arial" w:cs="Arial" w:eastAsia="Arial" w:hAnsi="Arial"/>
          <w:sz w:val="18"/>
          <w:szCs w:val="18"/>
          <w:color w:val="auto"/>
        </w:rPr>
        <w:t>”) and U.K. Financial Services Compensation Scheme (“</w:t>
      </w:r>
      <w:r>
        <w:rPr>
          <w:rFonts w:ascii="Arial" w:cs="Arial" w:eastAsia="Arial" w:hAnsi="Arial"/>
          <w:sz w:val="18"/>
          <w:szCs w:val="18"/>
          <w:u w:val="single" w:color="auto"/>
          <w:color w:val="auto"/>
        </w:rPr>
        <w:t>FSCS</w:t>
      </w:r>
      <w:r>
        <w:rPr>
          <w:rFonts w:ascii="Arial" w:cs="Arial" w:eastAsia="Arial" w:hAnsi="Arial"/>
          <w:sz w:val="18"/>
          <w:szCs w:val="18"/>
          <w:color w:val="auto"/>
        </w:rPr>
        <w:t>”) coverage limits.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liquidity is highly dependent upon cash receipts from clients, which generally require the successful completion of transactions. Accounts receivable generally have net terms of 30 days. Accounts receivable was $62.7 million, with $1.2 million of allowance for credit losses balance as of March 31, 2021. Accounts receivable was $40.8 million, with $1.0 million of allowance for credit losses balance as of December 31, 2020.</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On November 30, 2016 and in connection with the TPH Business Combination, PWP OpCo issued the 7.0% Subordinated Unsecured Convertible Notes due 2026 (the “</w:t>
      </w:r>
      <w:r>
        <w:rPr>
          <w:rFonts w:ascii="Arial" w:cs="Arial" w:eastAsia="Arial" w:hAnsi="Arial"/>
          <w:sz w:val="18"/>
          <w:szCs w:val="18"/>
          <w:u w:val="single" w:color="auto"/>
          <w:color w:val="auto"/>
        </w:rPr>
        <w:t>Convertible Notes</w:t>
      </w:r>
      <w:r>
        <w:rPr>
          <w:rFonts w:ascii="Arial" w:cs="Arial" w:eastAsia="Arial" w:hAnsi="Arial"/>
          <w:sz w:val="18"/>
          <w:szCs w:val="18"/>
          <w:color w:val="auto"/>
        </w:rPr>
        <w:t>”) pursuant to a Note Purchase Agreement, as it may be amended from time to time (the “</w:t>
      </w:r>
      <w:r>
        <w:rPr>
          <w:rFonts w:ascii="Arial" w:cs="Arial" w:eastAsia="Arial" w:hAnsi="Arial"/>
          <w:sz w:val="18"/>
          <w:szCs w:val="18"/>
          <w:u w:val="single" w:color="auto"/>
          <w:color w:val="auto"/>
        </w:rPr>
        <w:t>NPA</w:t>
      </w:r>
      <w:r>
        <w:rPr>
          <w:rFonts w:ascii="Arial" w:cs="Arial" w:eastAsia="Arial" w:hAnsi="Arial"/>
          <w:sz w:val="18"/>
          <w:szCs w:val="18"/>
          <w:color w:val="auto"/>
        </w:rPr>
        <w:t>”), between PWP OpCo and the purchasers named therein. As of March 31, 2021, there was $150 million aggregate principal amount of the Convertible Notes outstanding.</w:t>
      </w:r>
    </w:p>
    <w:p>
      <w:pPr>
        <w:spacing w:after="0" w:line="205"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The Convertible Notes mature on November 30, 2026, unless earlier converted or repaid pursuant to the terms of the NPA. Interest on the Convertible Notes accrues at a rate of 7.0% per annum, with payments due quarterly; however, until November 30, 2021, the Company may elect to defer its payment of interest up to eight separate times. In the event of such delayed election, the interest rate on the Convertible Notes will automatically increase to 9.0% per annum until all delayed interest has been paid in full. In addition, the NPA contains customary negative covenants, subject to exceptions and qualifications, applicable to us and our restricted subsidiaries, including, without limitation, covenants related to: indebtedness, dividends and distributions and other restricted payments, changes in the nature of the business, transactions with affiliates, broker-dealer subsidiary restrictions, future guarantor restrictions and certain financial covenants. The NPA also provides for customary events of default. On February 28, 2019, in connection with the PWP Separation, we amended the NPA pursuant to which holders of a majority of the outstanding aggregate principal amount of the Convertible Notes provided their consent to the separation and reorganization and approved (i) related amendments to various restrictive covenants and related definitions in the NPA and (ii) related clarifications to the redemption and conversion provisions. On July 31, 2020, we and the requisite holders of the Convertible Notes executed a second amendment to the NPA with respect to certain technical amendments relating to its financial covenants. In conjunction with executing the Business Combination Agreement for the Business Combination on December 29, 2020, we entered into a third amendment to the NPA reflecting the consent from the requisite holders of the Convertible Notes to the Business Combination and related internal reorganization steps that would be concurrently consummated and making</w:t>
      </w:r>
    </w:p>
    <w:p>
      <w:pPr>
        <w:spacing w:after="0" w:line="10" w:lineRule="exact"/>
        <w:rPr>
          <w:sz w:val="20"/>
          <w:szCs w:val="20"/>
          <w:color w:val="auto"/>
        </w:rPr>
      </w:pPr>
    </w:p>
    <w:p>
      <w:pPr>
        <w:ind w:left="120" w:right="240" w:hanging="4"/>
        <w:spacing w:after="0"/>
        <w:tabs>
          <w:tab w:leader="none" w:pos="3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related amendments to various restrictive covenants and related definitions in the NPA and (ii) related clarifications to the redemption and conversion provisions. See “</w:t>
      </w:r>
      <w:r>
        <w:rPr>
          <w:rFonts w:ascii="Arial" w:cs="Arial" w:eastAsia="Arial" w:hAnsi="Arial"/>
          <w:sz w:val="18"/>
          <w:szCs w:val="18"/>
          <w:i w:val="1"/>
          <w:iCs w:val="1"/>
          <w:color w:val="auto"/>
        </w:rPr>
        <w:t>Certain Relationships and Related Persons Transactions—PWP’s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Notes</w:t>
      </w:r>
      <w:r>
        <w:rPr>
          <w:rFonts w:ascii="Arial" w:cs="Arial" w:eastAsia="Arial" w:hAnsi="Arial"/>
          <w:sz w:val="18"/>
          <w:szCs w:val="18"/>
          <w:color w:val="auto"/>
        </w:rPr>
        <w:t>.”</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November 30, 2016 and in connection with the TPH Business Combination, the Company entered into a credit agreement with Cadence Bank, N.A. (“</w:t>
      </w:r>
      <w:r>
        <w:rPr>
          <w:rFonts w:ascii="Arial" w:cs="Arial" w:eastAsia="Arial" w:hAnsi="Arial"/>
          <w:sz w:val="18"/>
          <w:szCs w:val="18"/>
          <w:u w:val="single" w:color="auto"/>
          <w:color w:val="auto"/>
        </w:rPr>
        <w:t>Cadence</w:t>
      </w:r>
      <w:r>
        <w:rPr>
          <w:rFonts w:ascii="Arial" w:cs="Arial" w:eastAsia="Arial" w:hAnsi="Arial"/>
          <w:sz w:val="18"/>
          <w:szCs w:val="18"/>
          <w:color w:val="auto"/>
        </w:rPr>
        <w:t>”) dated November 30, 2016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through which the Company borrowed an aggregate $50.0 million (the “</w:t>
      </w:r>
      <w:r>
        <w:rPr>
          <w:rFonts w:ascii="Arial" w:cs="Arial" w:eastAsia="Arial" w:hAnsi="Arial"/>
          <w:sz w:val="18"/>
          <w:szCs w:val="18"/>
          <w:u w:val="single" w:color="auto"/>
          <w:color w:val="auto"/>
        </w:rPr>
        <w:t>Senior Term Loan</w:t>
      </w:r>
      <w:r>
        <w:rPr>
          <w:rFonts w:ascii="Arial" w:cs="Arial" w:eastAsia="Arial" w:hAnsi="Arial"/>
          <w:sz w:val="18"/>
          <w:szCs w:val="18"/>
          <w:color w:val="auto"/>
        </w:rPr>
        <w:t>”). On December 11, 2018, the Credit Agreement was amended and restated to change the Senior Term Loan into a revolving credit facility (the “</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in order to pay in full the outstanding Senior Term Loan plus outstanding interest, fees and expenses related thereto and provide for the future working capital needs and other general corporate purposes of Group LP and its subsidiaries. The Revolving Credit Facility provides for a total available line of $50 million, as set forth in our historical consolidated financial statements included elsewhere in this prospectus.</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Senior Term Loan, modified to become the Revolving Credit Facility and as amended in connection with the Closing, is due on July 1, 2025. During the fiscal year ended December 31, 2017, the Company made scheduled principal payments on the Senior Term Loan of $7.9 million, as well as a principal prepayment on the Senior Term Loan of $14.5 million, which reduced the future scheduled principal payments of the Senior Term Loan. No principal payments were made during the year ended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December 31, 2018. Under the terms of the Revolving Credit Facility, the Company may make prepayments of the outstanding principal balance, but any outstanding principal balance is due July 1, 2025. During the year ended December 31, 2019, the Company made draws of $20 million and repayments of $10 million on the Revolving Credit Facility. During the year ended December 31, 2020, the Company made draws of $22 million and repayments of $32 million on the Revolving Credit Facility. During the three months ended March 31, 2021, the Company made no draws or repayments on the Revolving Credit Facility.</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Prior to the Closing, borrowings under the Revolving Credit Facility bore interest, at Group LP’s option, at either the LIBOR, or a comparable or successor rate, plus an applicable margin of 2.50% to 3.00% or at a base rate equal to the highest of (1) the federal funds rate plus 0.50%, (2) Cadence’s prime rate and (3) LIBOR, or a comparable or successor rate, plus 1.00% (“</w:t>
      </w:r>
      <w:r>
        <w:rPr>
          <w:rFonts w:ascii="Arial" w:cs="Arial" w:eastAsia="Arial" w:hAnsi="Arial"/>
          <w:sz w:val="18"/>
          <w:szCs w:val="18"/>
          <w:u w:val="single" w:color="auto"/>
          <w:color w:val="auto"/>
        </w:rPr>
        <w:t>Base Rate</w:t>
      </w:r>
      <w:r>
        <w:rPr>
          <w:rFonts w:ascii="Arial" w:cs="Arial" w:eastAsia="Arial" w:hAnsi="Arial"/>
          <w:sz w:val="18"/>
          <w:szCs w:val="18"/>
          <w:color w:val="auto"/>
        </w:rPr>
        <w:t>”), in each case, plus an applicable margin of between 1.50% and 2.00% depending on PWP OpCo’s leverage ratio from time to time. On December 11, 2018, Group LP borrowed $27.7 million of the Revolving Credit Facility to pay the outstanding Senior Term Loan plus outstanding interest, fees and expenses related thereto.</w:t>
      </w:r>
    </w:p>
    <w:p>
      <w:pPr>
        <w:spacing w:after="0" w:line="205" w:lineRule="exact"/>
        <w:rPr>
          <w:sz w:val="20"/>
          <w:szCs w:val="20"/>
          <w:color w:val="auto"/>
        </w:rPr>
      </w:pPr>
    </w:p>
    <w:p>
      <w:pPr>
        <w:jc w:val="both"/>
        <w:ind w:left="120" w:right="340" w:firstLine="551"/>
        <w:spacing w:after="0"/>
        <w:rPr>
          <w:sz w:val="20"/>
          <w:szCs w:val="20"/>
          <w:color w:val="auto"/>
        </w:rPr>
      </w:pPr>
      <w:r>
        <w:rPr>
          <w:rFonts w:ascii="Arial" w:cs="Arial" w:eastAsia="Arial" w:hAnsi="Arial"/>
          <w:sz w:val="18"/>
          <w:szCs w:val="18"/>
          <w:color w:val="auto"/>
        </w:rPr>
        <w:t>As of March 31, 2021, the Company had $27.7 million of borrowings outstanding under the Revolving Credit Facility. For further information on the Convertible Notes, the Credit Agreement, the Revolving Credit Facility and the Senior Term Loan, refer to the Note “</w:t>
      </w:r>
      <w:r>
        <w:rPr>
          <w:rFonts w:ascii="Arial" w:cs="Arial" w:eastAsia="Arial" w:hAnsi="Arial"/>
          <w:sz w:val="18"/>
          <w:szCs w:val="18"/>
          <w:i w:val="1"/>
          <w:iCs w:val="1"/>
          <w:color w:val="auto"/>
        </w:rPr>
        <w:t>Debt</w:t>
      </w:r>
      <w:r>
        <w:rPr>
          <w:rFonts w:ascii="Arial" w:cs="Arial" w:eastAsia="Arial" w:hAnsi="Arial"/>
          <w:sz w:val="18"/>
          <w:szCs w:val="18"/>
          <w:color w:val="auto"/>
        </w:rPr>
        <w:t>” of our historical consolidated financial statements included elsewhere in this prospectus.</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Revolving Credit Facility remains outstanding post-transaction and was amended on November 11, 2020 to extend the maturity date from December 31, 2021 to April 1, 2022 and was further amended on December 28, 2020 to permit the transactions contemplated by the Business Combination. Additionally, the Revolving Credit Facility was amended on June 15, 2021 in connection with the Closing to implement the following changes, among other things:</w:t>
      </w:r>
    </w:p>
    <w:p>
      <w:pPr>
        <w:spacing w:after="0" w:line="110" w:lineRule="exact"/>
        <w:rPr>
          <w:sz w:val="20"/>
          <w:szCs w:val="20"/>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maturity was extended to July 1, 2025;</w:t>
      </w:r>
    </w:p>
    <w:p>
      <w:pPr>
        <w:spacing w:after="0" w:line="117" w:lineRule="exact"/>
        <w:rPr>
          <w:rFonts w:ascii="Arial" w:cs="Arial" w:eastAsia="Arial" w:hAnsi="Arial"/>
          <w:sz w:val="18"/>
          <w:szCs w:val="18"/>
          <w:color w:val="auto"/>
        </w:rPr>
      </w:pPr>
    </w:p>
    <w:p>
      <w:pPr>
        <w:ind w:left="880" w:right="40" w:hanging="224"/>
        <w:spacing w:after="0" w:line="274"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interest accrues at LIBOR plus a fixed rate of 2.00% per annum (with a 0.25% LIBOR floor) with an alternate base rate option equal to Cadence’s prime rate minus 1.00% (with a 3.25% floor), and the two-month interest period option is no longer available;</w:t>
      </w:r>
    </w:p>
    <w:p>
      <w:pPr>
        <w:spacing w:after="0" w:line="80" w:lineRule="exact"/>
        <w:rPr>
          <w:rFonts w:ascii="Arial" w:cs="Arial" w:eastAsia="Arial" w:hAnsi="Arial"/>
          <w:sz w:val="17"/>
          <w:szCs w:val="17"/>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unused commitment fee accrues at a rate of 0.25% per annum;</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 to $15,000,000 of the Revolving Credit Facility may be used for the issuance of letters of credit, subject to a 1.00% per annum fee on outstanding letters of credit;</w:t>
      </w:r>
    </w:p>
    <w:p>
      <w:pPr>
        <w:spacing w:after="0" w:line="102" w:lineRule="exact"/>
        <w:rPr>
          <w:rFonts w:ascii="Arial" w:cs="Arial" w:eastAsia="Arial" w:hAnsi="Arial"/>
          <w:sz w:val="18"/>
          <w:szCs w:val="18"/>
          <w:color w:val="auto"/>
        </w:rPr>
      </w:pPr>
    </w:p>
    <w:p>
      <w:pPr>
        <w:ind w:left="880" w:right="160" w:hanging="224"/>
        <w:spacing w:after="0" w:line="248"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certain modifications to the affirmative and negative covenants, including: (1) the debt service coverage ratio is reset at 1.50x (after taking into account the repayment of the convertible notes) and all deductions from EBITDA were removed from the numerator of the ratio; (2)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w:t>
      </w:r>
    </w:p>
    <w:p>
      <w:pPr>
        <w:spacing w:after="0" w:line="2" w:lineRule="exact"/>
        <w:rPr>
          <w:rFonts w:ascii="Arial" w:cs="Arial" w:eastAsia="Arial" w:hAnsi="Arial"/>
          <w:sz w:val="17"/>
          <w:szCs w:val="17"/>
          <w:color w:val="auto"/>
        </w:rPr>
      </w:pPr>
    </w:p>
    <w:p>
      <w:pPr>
        <w:ind w:left="880" w:right="60"/>
        <w:spacing w:after="0" w:line="246" w:lineRule="auto"/>
        <w:rPr>
          <w:rFonts w:ascii="Arial" w:cs="Arial" w:eastAsia="Arial" w:hAnsi="Arial"/>
          <w:sz w:val="17"/>
          <w:szCs w:val="17"/>
          <w:color w:val="auto"/>
        </w:rPr>
      </w:pPr>
      <w:r>
        <w:rPr>
          <w:rFonts w:ascii="Arial" w:cs="Arial" w:eastAsia="Arial" w:hAnsi="Arial"/>
          <w:sz w:val="18"/>
          <w:szCs w:val="18"/>
          <w:color w:val="auto"/>
        </w:rPr>
        <w:t>(4) the removal of certain negative covenants, the increase in certain baskets and the provision for certain additional exceptions; and</w:t>
      </w:r>
    </w:p>
    <w:p>
      <w:pPr>
        <w:spacing w:after="0" w:line="102" w:lineRule="exact"/>
        <w:rPr>
          <w:rFonts w:ascii="Arial" w:cs="Arial" w:eastAsia="Arial" w:hAnsi="Arial"/>
          <w:sz w:val="17"/>
          <w:szCs w:val="17"/>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Facility.</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We believe that the cash we retain post-transaction and the cash generated from operations will be sufficient to meet our operating needs and commitments for the next twelve months.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w:t>
      </w:r>
    </w:p>
    <w:p>
      <w:pPr>
        <w:ind w:left="120"/>
        <w:spacing w:after="0" w:line="234" w:lineRule="auto"/>
        <w:rPr>
          <w:sz w:val="20"/>
          <w:szCs w:val="20"/>
          <w:color w:val="auto"/>
        </w:rPr>
      </w:pPr>
      <w:r>
        <w:rPr>
          <w:rFonts w:ascii="Arial" w:cs="Arial" w:eastAsia="Arial" w:hAnsi="Arial"/>
          <w:sz w:val="18"/>
          <w:szCs w:val="18"/>
          <w:color w:val="auto"/>
        </w:rPr>
        <w:t>jurisdictions to ensure general financial soundness and liquidity. This requires, among other things, that we comply with certain minimum</w:t>
      </w:r>
    </w:p>
    <w:p>
      <w:pPr>
        <w:ind w:left="120"/>
        <w:spacing w:after="0" w:line="235" w:lineRule="auto"/>
        <w:rPr>
          <w:sz w:val="20"/>
          <w:szCs w:val="20"/>
          <w:color w:val="auto"/>
        </w:rPr>
      </w:pPr>
      <w:r>
        <w:rPr>
          <w:rFonts w:ascii="Arial" w:cs="Arial" w:eastAsia="Arial" w:hAnsi="Arial"/>
          <w:sz w:val="18"/>
          <w:szCs w:val="18"/>
          <w:color w:val="auto"/>
        </w:rPr>
        <w:t>capital requirements, record-keeping, reporting procedures, experience and training requirements for employees and certain other</w:t>
      </w:r>
    </w:p>
    <w:p>
      <w:pPr>
        <w:ind w:left="120"/>
        <w:spacing w:after="0" w:line="235" w:lineRule="auto"/>
        <w:rPr>
          <w:sz w:val="20"/>
          <w:szCs w:val="20"/>
          <w:color w:val="auto"/>
        </w:rPr>
      </w:pPr>
      <w:r>
        <w:rPr>
          <w:rFonts w:ascii="Arial" w:cs="Arial" w:eastAsia="Arial" w:hAnsi="Arial"/>
          <w:sz w:val="18"/>
          <w:szCs w:val="18"/>
          <w:color w:val="auto"/>
        </w:rPr>
        <w:t>requirements and procedures. These regulatory requirements may restrict the flow of funds to and from affiliates. Refer to the Note</w:t>
      </w:r>
    </w:p>
    <w:p>
      <w:pPr>
        <w:ind w:left="12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Regulatory Requirements</w:t>
      </w:r>
      <w:r>
        <w:rPr>
          <w:rFonts w:ascii="Arial" w:cs="Arial" w:eastAsia="Arial" w:hAnsi="Arial"/>
          <w:sz w:val="18"/>
          <w:szCs w:val="18"/>
          <w:color w:val="auto"/>
        </w:rPr>
        <w:t>” of our historical consolidated financial statements included elsewhere in this prospectus for further information.</w:t>
      </w:r>
    </w:p>
    <w:p>
      <w:pPr>
        <w:ind w:left="120"/>
        <w:spacing w:after="0" w:line="235" w:lineRule="auto"/>
        <w:rPr>
          <w:sz w:val="20"/>
          <w:szCs w:val="20"/>
          <w:color w:val="auto"/>
        </w:rPr>
      </w:pPr>
      <w:r>
        <w:rPr>
          <w:rFonts w:ascii="Arial" w:cs="Arial" w:eastAsia="Arial" w:hAnsi="Arial"/>
          <w:sz w:val="18"/>
          <w:szCs w:val="18"/>
          <w:color w:val="auto"/>
        </w:rPr>
        <w:t>These regulations differ in the United States, United Kingdom, Canada and other countries in which we operate a registered broker-dealer</w:t>
      </w:r>
    </w:p>
    <w:p>
      <w:pPr>
        <w:ind w:left="120"/>
        <w:spacing w:after="0" w:line="234" w:lineRule="auto"/>
        <w:rPr>
          <w:sz w:val="20"/>
          <w:szCs w:val="20"/>
          <w:color w:val="auto"/>
        </w:rPr>
      </w:pPr>
      <w:r>
        <w:rPr>
          <w:rFonts w:ascii="Arial" w:cs="Arial" w:eastAsia="Arial" w:hAnsi="Arial"/>
          <w:sz w:val="18"/>
          <w:szCs w:val="18"/>
          <w:color w:val="auto"/>
        </w:rPr>
        <w:t>or regionally similar construct, as well as in France, where we intend to operate a licensed investment firm in the near future. The license</w:t>
      </w:r>
    </w:p>
    <w:p>
      <w:pPr>
        <w:ind w:left="120"/>
        <w:spacing w:after="0" w:line="235" w:lineRule="auto"/>
        <w:rPr>
          <w:sz w:val="20"/>
          <w:szCs w:val="20"/>
          <w:color w:val="auto"/>
        </w:rPr>
      </w:pPr>
      <w:r>
        <w:rPr>
          <w:rFonts w:ascii="Arial" w:cs="Arial" w:eastAsia="Arial" w:hAnsi="Arial"/>
          <w:sz w:val="18"/>
          <w:szCs w:val="18"/>
          <w:color w:val="auto"/>
        </w:rPr>
        <w:t>or regulatory framework under which we operate in each such country is meant to comply with applicable laws and regulations to conduct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advisory business. We believe that we provide each of our subsidiaries with sufficient capital and liquidity, consistent with their business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regulatory requirements to effectively operate in each jurisdiction.</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addition to financial measures presented in accordance with GAAP, we monitor Adjusted total compensation and benefits, Adjusted non-compensation expense, Adjusted operating income (loss), Adjusted income (loss) before taxes and Adjusted net income (loss), each of which is a non-GAAP measure, to manage our business, make planning decisions, evaluate our performance and allocate resources.</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5"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20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which are found in “</w:t>
      </w:r>
      <w:r>
        <w:rPr>
          <w:rFonts w:ascii="Arial" w:cs="Arial" w:eastAsia="Arial" w:hAnsi="Arial"/>
          <w:sz w:val="18"/>
          <w:szCs w:val="18"/>
          <w:i w:val="1"/>
          <w:iCs w:val="1"/>
          <w:color w:val="auto"/>
        </w:rPr>
        <w:t>Selected Historical Financial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of PWP</w:t>
      </w:r>
      <w:r>
        <w:rPr>
          <w:rFonts w:ascii="Arial" w:cs="Arial" w:eastAsia="Arial" w:hAnsi="Arial"/>
          <w:sz w:val="18"/>
          <w:szCs w:val="18"/>
          <w:color w:val="auto"/>
        </w:rPr>
        <w: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and contributions from limited partners of PWP OpCo.</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(4,062)</w:t>
            </w:r>
          </w:p>
        </w:tc>
        <w:tc>
          <w:tcPr>
            <w:tcW w:w="11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(24,342)</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$(164,019)</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$(125,757)</w:t>
            </w:r>
          </w:p>
        </w:tc>
      </w:tr>
      <w:tr>
        <w:trPr>
          <w:trHeight w:val="203"/>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Non-cash charges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14,822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14,948</w:t>
            </w:r>
          </w:p>
        </w:tc>
        <w:tc>
          <w:tcPr>
            <w:tcW w:w="1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64,389</w:t>
            </w:r>
          </w:p>
        </w:tc>
        <w:tc>
          <w:tcPr>
            <w:tcW w:w="12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229,122</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218,986</w:t>
            </w: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activities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(158,558)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(148,436)</w:t>
            </w:r>
          </w:p>
        </w:tc>
        <w:tc>
          <w:tcPr>
            <w:tcW w:w="11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(45,860)</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(171,210)</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177,648</w:t>
            </w:r>
          </w:p>
        </w:tc>
      </w:tr>
      <w:tr>
        <w:trPr>
          <w:trHeight w:val="203"/>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Total operating activities</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(121,229)</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(137,550)</w:t>
            </w:r>
          </w:p>
        </w:tc>
        <w:tc>
          <w:tcPr>
            <w:tcW w:w="1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85,907</w:t>
            </w: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(106,107)</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270,877</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(1,086)</w:t>
            </w:r>
          </w:p>
        </w:tc>
        <w:tc>
          <w:tcPr>
            <w:tcW w:w="11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(5,522)</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(7,267)</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(2,780)</w:t>
            </w:r>
          </w:p>
        </w:tc>
      </w:tr>
      <w:tr>
        <w:trPr>
          <w:trHeight w:val="209"/>
        </w:trPr>
        <w:tc>
          <w:tcPr>
            <w:tcW w:w="5480" w:type="dxa"/>
            <w:vAlign w:val="bottom"/>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(9,816)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2,571</w:t>
            </w:r>
          </w:p>
        </w:tc>
        <w:tc>
          <w:tcPr>
            <w:tcW w:w="11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(21,989)</w:t>
            </w: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(30,213)</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(24,541)</w:t>
            </w: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cash, cash equivalents and restricted</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w w:val="98"/>
              </w:rPr>
              <w:t>(132,440)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98"/>
              </w:rPr>
              <w:t>(136,065)</w:t>
            </w:r>
          </w:p>
        </w:tc>
        <w:tc>
          <w:tcPr>
            <w:tcW w:w="1180" w:type="dxa"/>
            <w:vAlign w:val="bottom"/>
            <w:gridSpan w:val="3"/>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58,396</w:t>
            </w:r>
          </w:p>
        </w:tc>
        <w:tc>
          <w:tcPr>
            <w:tcW w:w="128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(143,587)</w:t>
            </w:r>
          </w:p>
        </w:tc>
        <w:tc>
          <w:tcPr>
            <w:tcW w:w="9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243,556</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(1,970)</w:t>
            </w:r>
          </w:p>
        </w:tc>
        <w:tc>
          <w:tcPr>
            <w:tcW w:w="1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5,930</w:t>
            </w:r>
          </w:p>
        </w:tc>
        <w:tc>
          <w:tcPr>
            <w:tcW w:w="12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1,638</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(4,273)</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330,908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266,582</w:t>
            </w:r>
          </w:p>
        </w:tc>
        <w:tc>
          <w:tcPr>
            <w:tcW w:w="11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266,582</w:t>
            </w:r>
          </w:p>
        </w:tc>
        <w:tc>
          <w:tcPr>
            <w:tcW w:w="12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408,531</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169,248</w:t>
            </w:r>
          </w:p>
        </w:tc>
      </w:tr>
      <w:tr>
        <w:trPr>
          <w:trHeight w:val="20"/>
        </w:trPr>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199,025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128,547</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330,908</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$ 266,582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$ 408,531</w:t>
            </w:r>
          </w:p>
        </w:tc>
      </w:tr>
      <w:tr>
        <w:trPr>
          <w:trHeight w:val="20"/>
        </w:trPr>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w:t>
      </w:r>
    </w:p>
    <w:p>
      <w:pPr>
        <w:spacing w:after="0" w:line="126" w:lineRule="exact"/>
        <w:rPr>
          <w:sz w:val="20"/>
          <w:szCs w:val="20"/>
          <w:color w:val="auto"/>
        </w:rPr>
      </w:pPr>
    </w:p>
    <w:p>
      <w:pPr>
        <w:ind w:left="120" w:right="300" w:firstLine="551"/>
        <w:spacing w:after="0" w:line="237" w:lineRule="auto"/>
        <w:rPr>
          <w:sz w:val="20"/>
          <w:szCs w:val="20"/>
          <w:color w:val="auto"/>
        </w:rPr>
      </w:pPr>
      <w:r>
        <w:rPr>
          <w:rFonts w:ascii="Arial" w:cs="Arial" w:eastAsia="Arial" w:hAnsi="Arial"/>
          <w:sz w:val="18"/>
          <w:szCs w:val="18"/>
          <w:color w:val="auto"/>
        </w:rPr>
        <w:t>Cash and restricted cash were $199.0 million as of March 31, 2021, a decrease of $131.9 million from $ 330.9 million as of December 31, 2020. The Company reported net income of $22.5 million for the three months ended March 31, 2021, which included $14.8 million of non-cash charges, largely comprised of the equity-based compensation, depreciation and amortization and non-cash lease expense. These positive operating results were offset by working capital needs largely due to increased accounts receivable balances and the payment of the annual bonus compensation which occurs in the first quarter of each year, resulting in a net outflow to cash of $121.2 million. Investing activities resulted in a net outflow of $ 1.4 million and financing activities resulted in a net outflow of $9.8 million primarily related to distributions to limited partners of PWP OpCo.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2020</w:t>
      </w:r>
    </w:p>
    <w:p>
      <w:pPr>
        <w:spacing w:after="0" w:line="126"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7"/>
          <w:szCs w:val="17"/>
          <w:color w:val="auto"/>
        </w:rPr>
        <w:t>Cash and restricted cash were $128.5 million as of March 31, 2020, a decrease of $138.1 million from $266.6 million as of December 31, 2019. Operating activities resulted in a net outflow of $137.6 million attributable to changes in working capital and net loss incurred during the three months ended March 31, 2020, both partially offset by non-cash operating charges. Investing activities resulted in a net outflow of $1.1 million primarily attributable to purchases of fixed assets. Financing activities resulted in a net inflow of $2.6 million primarily related to draw downs and principal payments on the Revolving Credit Facility and distributions to limited partners of PWP OpCo.</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Cash and restricted cash were $ 330.9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126" w:lineRule="exact"/>
        <w:rPr>
          <w:sz w:val="20"/>
          <w:szCs w:val="20"/>
          <w:color w:val="auto"/>
        </w:rPr>
      </w:pPr>
    </w:p>
    <w:p>
      <w:pPr>
        <w:ind w:left="120" w:right="180" w:firstLine="551"/>
        <w:spacing w:after="0" w:line="234" w:lineRule="auto"/>
        <w:rPr>
          <w:sz w:val="20"/>
          <w:szCs w:val="20"/>
          <w:color w:val="auto"/>
        </w:rPr>
      </w:pPr>
      <w:r>
        <w:rPr>
          <w:rFonts w:ascii="Arial" w:cs="Arial" w:eastAsia="Arial" w:hAnsi="Arial"/>
          <w:sz w:val="18"/>
          <w:szCs w:val="18"/>
          <w:color w:val="auto"/>
        </w:rPr>
        <w:t>Cash and restricted cash were $266.6 million as of December 31, 2019, a decrease of $141.9 million from $ 408.5 million as of December 31, 2018. The Company reported a net loss of $164.0 million for the year, which included $229.1 million of non-cash charges, largely composed of the equity-based compensation. This was offset by a decrease in accrued compensation and benefits of</w:t>
      </w:r>
    </w:p>
    <w:p>
      <w:pPr>
        <w:spacing w:after="0" w:line="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26"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Cash and restricted cash were $408.5 million as of December 31, 2018, an increase of $239.3 million from $169.2 million as of December 31, 2017. While the Company reported a net loss of $125.8 million for the year, this net loss included $219.0 million of non-cash charges, largely composed of the equity-based compensation as well as an increase in accrued compensation and benefits of $175.4 million resulting from higher bonuses compared to the prior year. These operating results were partially offset by other working capital needs resulting in a net inflow to cash of $270.9 million. Investing activities resulted in a net outflow of $2.8 million primarily attributable to purchases of fixed assets. Financing activities resulted in a net outflow of $24.5 million as a result of the net change in limited partners’ capital.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Commitments and Contingencies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rPr>
              <w:t>Payment Due by Period</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More</w:t>
            </w:r>
          </w:p>
        </w:tc>
        <w:tc>
          <w:tcPr>
            <w:tcW w:w="60" w:type="dxa"/>
            <w:vAlign w:val="bottom"/>
          </w:tcPr>
          <w:p>
            <w:pPr>
              <w:spacing w:after="0"/>
              <w:rPr>
                <w:sz w:val="12"/>
                <w:szCs w:val="12"/>
                <w:color w:val="auto"/>
              </w:rPr>
            </w:pPr>
          </w:p>
        </w:tc>
      </w:tr>
      <w:tr>
        <w:trPr>
          <w:trHeight w:val="162"/>
        </w:trPr>
        <w:tc>
          <w:tcPr>
            <w:tcW w:w="6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1–3</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3–5</w:t>
            </w:r>
          </w:p>
        </w:tc>
        <w:tc>
          <w:tcPr>
            <w:tcW w:w="1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than</w:t>
            </w:r>
          </w:p>
        </w:tc>
      </w:tr>
      <w:tr>
        <w:trPr>
          <w:trHeight w:val="175"/>
        </w:trPr>
        <w:tc>
          <w:tcPr>
            <w:tcW w:w="6340" w:type="dxa"/>
            <w:vAlign w:val="bottom"/>
          </w:tcPr>
          <w:p>
            <w:pPr>
              <w:spacing w:after="0"/>
              <w:rPr>
                <w:sz w:val="15"/>
                <w:szCs w:val="15"/>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Years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5 Years</w:t>
            </w:r>
          </w:p>
        </w:tc>
      </w:tr>
      <w:tr>
        <w:trPr>
          <w:trHeight w:val="155"/>
        </w:trPr>
        <w:tc>
          <w:tcPr>
            <w:tcW w:w="63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Notes, due 2026, including interest(1)</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$191,125</w:t>
            </w:r>
          </w:p>
        </w:tc>
        <w:tc>
          <w:tcPr>
            <w:tcW w:w="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$ 10,500</w:t>
            </w:r>
          </w:p>
        </w:tc>
        <w:tc>
          <w:tcPr>
            <w:tcW w:w="12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$ 78,550</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$70,150</w:t>
            </w:r>
          </w:p>
        </w:tc>
        <w:tc>
          <w:tcPr>
            <w:tcW w:w="8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$31,925</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rPr>
              <w:t>Revolving Credit Facility, due 2025, including</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40" w:type="dxa"/>
            <w:vAlign w:val="bottom"/>
          </w:tcPr>
          <w:p>
            <w:pPr>
              <w:ind w:left="180"/>
              <w:spacing w:after="0" w:line="203" w:lineRule="exact"/>
              <w:rPr>
                <w:sz w:val="20"/>
                <w:szCs w:val="20"/>
                <w:color w:val="auto"/>
              </w:rPr>
            </w:pPr>
            <w:r>
              <w:rPr>
                <w:rFonts w:ascii="Arial" w:cs="Arial" w:eastAsia="Arial" w:hAnsi="Arial"/>
                <w:sz w:val="18"/>
                <w:szCs w:val="18"/>
                <w:color w:val="auto"/>
              </w:rPr>
              <w:t>interest(2)</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28,771</w:t>
            </w:r>
          </w:p>
        </w:tc>
        <w:tc>
          <w:tcPr>
            <w:tcW w:w="96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857</w:t>
            </w:r>
          </w:p>
        </w:tc>
        <w:tc>
          <w:tcPr>
            <w:tcW w:w="128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27,914</w:t>
            </w:r>
          </w:p>
        </w:tc>
        <w:tc>
          <w:tcPr>
            <w:tcW w:w="8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obligations(3)</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63,210</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20,032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28,790</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8,422</w:t>
            </w:r>
          </w:p>
        </w:tc>
        <w:tc>
          <w:tcPr>
            <w:tcW w:w="8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5,966</w:t>
            </w:r>
          </w:p>
        </w:tc>
      </w:tr>
      <w:tr>
        <w:trPr>
          <w:trHeight w:val="20"/>
        </w:trPr>
        <w:tc>
          <w:tcPr>
            <w:tcW w:w="6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340" w:type="dxa"/>
            <w:vAlign w:val="bottom"/>
          </w:tcPr>
          <w:p>
            <w:pPr>
              <w:ind w:left="360"/>
              <w:spacing w:after="0"/>
              <w:rPr>
                <w:sz w:val="20"/>
                <w:szCs w:val="20"/>
                <w:color w:val="auto"/>
              </w:rPr>
            </w:pPr>
            <w:r>
              <w:rPr>
                <w:rFonts w:ascii="Arial" w:cs="Arial" w:eastAsia="Arial" w:hAnsi="Arial"/>
                <w:sz w:val="18"/>
                <w:szCs w:val="18"/>
                <w:color w:val="auto"/>
              </w:rPr>
              <w:t>Total-cash charges</w:t>
            </w: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283,106</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31,389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135,254</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78,572</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37,891</w:t>
            </w:r>
          </w:p>
        </w:tc>
      </w:tr>
      <w:tr>
        <w:trPr>
          <w:trHeight w:val="20"/>
        </w:trPr>
        <w:tc>
          <w:tcPr>
            <w:tcW w:w="6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7" w:lineRule="exact"/>
        <w:rPr>
          <w:sz w:val="20"/>
          <w:szCs w:val="20"/>
          <w:color w:val="auto"/>
        </w:rPr>
      </w:pPr>
    </w:p>
    <w:p>
      <w:pPr>
        <w:ind w:left="660" w:hanging="54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December 31, 2020, PWP OpCo had $150.0 million aggregate principal amount of the Convertible Notes outstanding. See</w:t>
      </w:r>
    </w:p>
    <w:p>
      <w:pPr>
        <w:ind w:left="660" w:right="80"/>
        <w:spacing w:after="0" w:line="23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for further information. The payments above include interest payments at the cash coupon rate of 7.0%.</w:t>
      </w:r>
    </w:p>
    <w:p>
      <w:pPr>
        <w:spacing w:after="0" w:line="1" w:lineRule="exact"/>
        <w:rPr>
          <w:rFonts w:ascii="Arial" w:cs="Arial" w:eastAsia="Arial" w:hAnsi="Arial"/>
          <w:sz w:val="18"/>
          <w:szCs w:val="18"/>
          <w:color w:val="auto"/>
        </w:rPr>
      </w:pPr>
    </w:p>
    <w:p>
      <w:pPr>
        <w:ind w:left="660" w:right="20" w:hanging="544"/>
        <w:spacing w:after="0" w:line="23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December 31, 2020, PWP OpCo had $27.7 million of the outstanding under the Revolving Credit Facility. See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 for further information. As the Revolving Credit Facility bore interest at a variable rate prior to the Closing,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above include interest assuming the rate in place as of December 31, 2020 which was 2.65%. The payments above also include the 0.50% per annum commitment fee of the Revolving Credit Facility in effect prior to the Closing based upon the available line of credit as of December 31, 2020.</w:t>
      </w:r>
    </w:p>
    <w:p>
      <w:pPr>
        <w:spacing w:after="0" w:line="3" w:lineRule="exact"/>
        <w:rPr>
          <w:rFonts w:ascii="Arial" w:cs="Arial" w:eastAsia="Arial" w:hAnsi="Arial"/>
          <w:sz w:val="18"/>
          <w:szCs w:val="18"/>
          <w:color w:val="auto"/>
        </w:rPr>
      </w:pPr>
    </w:p>
    <w:p>
      <w:pPr>
        <w:ind w:left="660" w:hanging="54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Operating leases are related to rental payments under various non-cancelable lease agreements for office space and equipment.</w:t>
      </w:r>
    </w:p>
    <w:p>
      <w:pPr>
        <w:spacing w:after="0" w:line="21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the Note “</w:t>
      </w:r>
      <w:r>
        <w:rPr>
          <w:rFonts w:ascii="Arial" w:cs="Arial" w:eastAsia="Arial" w:hAnsi="Arial"/>
          <w:sz w:val="18"/>
          <w:szCs w:val="18"/>
          <w:i w:val="1"/>
          <w:iCs w:val="1"/>
          <w:color w:val="auto"/>
        </w:rPr>
        <w:t>Compensation and Benefits</w:t>
      </w:r>
      <w:r>
        <w:rPr>
          <w:rFonts w:ascii="Arial" w:cs="Arial" w:eastAsia="Arial" w:hAnsi="Arial"/>
          <w:sz w:val="18"/>
          <w:szCs w:val="18"/>
          <w:color w:val="auto"/>
        </w:rPr>
        <w:t>” of our historical consolidated financial statements included elsewhere in this prospectus for further information.</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PWP OpCo has also unconditionally guaranteed, through a wholly owned subsidiary, certain Limited Partners’ loans with First Republic Bank (the “</w:t>
      </w:r>
      <w:r>
        <w:rPr>
          <w:rFonts w:ascii="Arial" w:cs="Arial" w:eastAsia="Arial" w:hAnsi="Arial"/>
          <w:sz w:val="18"/>
          <w:szCs w:val="18"/>
          <w:u w:val="single" w:color="auto"/>
          <w:color w:val="auto"/>
        </w:rPr>
        <w:t>Program Lender</w:t>
      </w:r>
      <w:r>
        <w:rPr>
          <w:rFonts w:ascii="Arial" w:cs="Arial" w:eastAsia="Arial" w:hAnsi="Arial"/>
          <w:sz w:val="18"/>
          <w:szCs w:val="18"/>
          <w:color w:val="auto"/>
        </w:rPr>
        <w:t>”), whereby PWP OpCo will pay the Program Lender upon the occurrence of a default event. Refer to “</w:t>
      </w:r>
      <w:r>
        <w:rPr>
          <w:rFonts w:ascii="Arial" w:cs="Arial" w:eastAsia="Arial" w:hAnsi="Arial"/>
          <w:sz w:val="18"/>
          <w:szCs w:val="18"/>
          <w:i w:val="1"/>
          <w:iCs w:val="1"/>
          <w:color w:val="auto"/>
        </w:rPr>
        <w:t>Certain Relationships and Related Persons Transactions—PWP’s Related Party Transactions—Transactions with our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and 5% Holders</w:t>
      </w:r>
      <w:r>
        <w:rPr>
          <w:rFonts w:ascii="Arial" w:cs="Arial" w:eastAsia="Arial" w:hAnsi="Arial"/>
          <w:sz w:val="18"/>
          <w:szCs w:val="18"/>
          <w:color w:val="auto"/>
        </w:rPr>
        <w:t>” below and the Note “Commitments and Contingencies” of our historical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elsewhere in this prospectus for further information.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historical consolidated financial statements except for those described under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above.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Risk and Credit Risk</w:t>
      </w:r>
    </w:p>
    <w:p>
      <w:pPr>
        <w:spacing w:after="0" w:line="234"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foreign currency exchange rate risk and commodity price risk) or significant credit risk.</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customer’s ability to pay such amounts owed to the Company. We maintain an allowance for credit losses that, in our opinion, provides for an adequate reserve to cover current expected credit losses. See “</w:t>
      </w:r>
      <w:r>
        <w:rPr>
          <w:rFonts w:ascii="Arial" w:cs="Arial" w:eastAsia="Arial" w:hAnsi="Arial"/>
          <w:sz w:val="18"/>
          <w:szCs w:val="18"/>
          <w:i w:val="1"/>
          <w:iCs w:val="1"/>
          <w:color w:val="auto"/>
        </w:rPr>
        <w:t>—Critical Accounting Policies—Accounts Receivable</w:t>
      </w:r>
      <w:r>
        <w:rPr>
          <w:rFonts w:ascii="Arial" w:cs="Arial" w:eastAsia="Arial" w:hAnsi="Arial"/>
          <w:sz w:val="18"/>
          <w:szCs w:val="18"/>
          <w:color w:val="auto"/>
        </w:rPr>
        <w:t>” and “</w:t>
      </w:r>
      <w:r>
        <w:rPr>
          <w:rFonts w:ascii="Arial" w:cs="Arial" w:eastAsia="Arial" w:hAnsi="Arial"/>
          <w:sz w:val="18"/>
          <w:szCs w:val="18"/>
          <w:i w:val="1"/>
          <w:iCs w:val="1"/>
          <w:color w:val="auto"/>
        </w:rPr>
        <w:t>—Critical Accounting Policies—Allowance</w:t>
      </w:r>
      <w:r>
        <w:rPr>
          <w:rFonts w:ascii="Arial" w:cs="Arial" w:eastAsia="Arial" w:hAnsi="Arial"/>
          <w:sz w:val="18"/>
          <w:szCs w:val="18"/>
          <w:color w:val="auto"/>
        </w:rPr>
        <w:t xml:space="preserve"> </w:t>
      </w:r>
      <w:r>
        <w:rPr>
          <w:rFonts w:ascii="Arial" w:cs="Arial" w:eastAsia="Arial" w:hAnsi="Arial"/>
          <w:sz w:val="18"/>
          <w:szCs w:val="18"/>
          <w:i w:val="1"/>
          <w:iCs w:val="1"/>
          <w:color w:val="auto"/>
        </w:rPr>
        <w:t>for Credit Losses</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three months ended March 31, 2021 and 2020, the net impact of non-functional currency-related transaction gains and losses recorded in other income (expense) on our historical consolidated statements of operations and comprehensive income (loss) was a $2.0 million loss and a $1.8 million gain, respectively. For the years ended December 31, 2020, 2019, and 2018, the net impact of non-functional currency-related transaction gains and losses recorded in other income (expense) on our consolidated statements of operations and comprehensive loss was a $0.2 million loss, $ 0.9 million loss, and $1.3 million loss, respectively. In addition, the reported amounts in our historical consolidated financial statements may be affected by movements in the rate of exchange between the pound sterling, Euro and Canadian dollar, and our reporting currency, the U.S. dollar, resulting in translation gains and losses. For the years ended December 31, 2020, 2019, and 2018, the net impact of the fluctuation of foreign currencies recorded in foreign currency translation gain (loss) within our consolidated statements of operations and comprehensive loss was a $3.5 million gain, $0.8 million gain, and $1.6 million loss, respectively. We have not entered into any transactions to hedge our exposure to these foreign currency fluctuations using derivative instruments or other methods, but may do so if we deem appropriate in the future.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and December 31, 2020, 2019, and 2018, respectively, we held balances of $19.8 million, $71.6 million,</w:t>
      </w:r>
    </w:p>
    <w:p>
      <w:pPr>
        <w:ind w:left="120"/>
        <w:spacing w:after="0"/>
        <w:rPr>
          <w:sz w:val="20"/>
          <w:szCs w:val="20"/>
          <w:color w:val="auto"/>
        </w:rPr>
      </w:pPr>
      <w:r>
        <w:rPr>
          <w:rFonts w:ascii="Arial" w:cs="Arial" w:eastAsia="Arial" w:hAnsi="Arial"/>
          <w:sz w:val="18"/>
          <w:szCs w:val="18"/>
          <w:color w:val="auto"/>
        </w:rPr>
        <w:t>$30.6 million, and $81.0 million of non-U.S. dollar denominated currencies, composed of pound sterling, the Euro and Canadian dollars.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w:t>
      </w:r>
    </w:p>
    <w:p>
      <w:pPr>
        <w:spacing w:after="0" w:line="234"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U.S.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26"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income (loss).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Company recognizes revenue when or as its performance obligations are fulfilled. The majority of the Company’s advisory revenue are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Because fees received for research services, and any associated trading services, are typically at the complete discretion of the customer and are based on the value the customer perceives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0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income (loss). Such amounts are adjusted to reflect actual expenses in the period in which the Company receives the final settlement, typically within 90 days following the closing of the transaction.</w:t>
      </w:r>
    </w:p>
    <w:p>
      <w:pPr>
        <w:spacing w:after="0" w:line="2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2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the collectability of customer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customer and the current economic conditions that may affect a customer’s ability to pay such amounts owed to the Company and as a result may recognize a specific credit loss reserve. Accounts receivable also includes accrued revenue which represents amounts due from customers and recognized as revenue in accordance with the Company’s revenue recognition polices, but unbilled as of the date of the consolidated financial statements.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00" w:firstLine="551"/>
        <w:spacing w:after="0" w:line="250"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w:t>
      </w:r>
      <w:r>
        <w:rPr>
          <w:rFonts w:ascii="Arial" w:cs="Arial" w:eastAsia="Arial" w:hAnsi="Arial"/>
          <w:sz w:val="18"/>
          <w:szCs w:val="18"/>
          <w:u w:val="single" w:color="auto"/>
          <w:color w:val="auto"/>
        </w:rPr>
        <w:t>CECL</w:t>
      </w:r>
      <w:r>
        <w:rPr>
          <w:rFonts w:ascii="Arial" w:cs="Arial" w:eastAsia="Arial" w:hAnsi="Arial"/>
          <w:sz w:val="18"/>
          <w:szCs w:val="18"/>
          <w:color w:val="auto"/>
        </w:rPr>
        <w:t>”) model which requires an estimate of future credit losses.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6" w:lineRule="exact"/>
        <w:rPr>
          <w:sz w:val="20"/>
          <w:szCs w:val="20"/>
          <w:color w:val="auto"/>
        </w:rPr>
      </w:pPr>
    </w:p>
    <w:p>
      <w:pPr>
        <w:ind w:left="120" w:right="400" w:firstLine="551"/>
        <w:spacing w:after="0"/>
        <w:rPr>
          <w:sz w:val="20"/>
          <w:szCs w:val="20"/>
          <w:color w:val="auto"/>
        </w:rPr>
      </w:pPr>
      <w:r>
        <w:rPr>
          <w:rFonts w:ascii="Arial" w:cs="Arial" w:eastAsia="Arial" w:hAnsi="Arial"/>
          <w:sz w:val="18"/>
          <w:szCs w:val="18"/>
          <w:color w:val="auto"/>
        </w:rPr>
        <w:t>The Company historically accounts for equity-based compensation awards granted by Professional Partners by expensing the estimated grant date fair value of the award on a straight-line basis over the requisite service period. The Company accounts for forfeitures on share-based compensation arrangements as they occur.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treated as a Partnership for U.S. federal and state income tax purposes, with certain exceptions.</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purposes of the Company’s consolidated financial statements for periods prior to the PWP Separation, the provision for income taxes has been calculated as if the Company completed its tax returns on a stand-alone basis separate from the asset management business (the “</w:t>
      </w:r>
      <w:r>
        <w:rPr>
          <w:rFonts w:ascii="Arial" w:cs="Arial" w:eastAsia="Arial" w:hAnsi="Arial"/>
          <w:sz w:val="18"/>
          <w:szCs w:val="18"/>
          <w:u w:val="single" w:color="auto"/>
          <w:color w:val="auto"/>
        </w:rPr>
        <w:t>Separate Return Basis</w:t>
      </w:r>
      <w:r>
        <w:rPr>
          <w:rFonts w:ascii="Arial" w:cs="Arial" w:eastAsia="Arial" w:hAnsi="Arial"/>
          <w:sz w:val="18"/>
          <w:szCs w:val="18"/>
          <w:color w:val="auto"/>
        </w:rPr>
        <w:t>”). The Separate Return Basis applies the accounting guidance for income taxes to the consolidated financial statements as if the Company were a separate taxpayer and a stand-alone company from the asset management business for the periods presented.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 utilizes the asset and liability method of accounting for income taxes in accordance with ASC 740, </w:t>
      </w:r>
      <w:r>
        <w:rPr>
          <w:rFonts w:ascii="Arial" w:cs="Arial" w:eastAsia="Arial" w:hAnsi="Arial"/>
          <w:sz w:val="18"/>
          <w:szCs w:val="18"/>
          <w:i w:val="1"/>
          <w:iCs w:val="1"/>
          <w:color w:val="auto"/>
        </w:rPr>
        <w:t>Income Taxes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 740</w:t>
      </w:r>
      <w:r>
        <w:rPr>
          <w:rFonts w:ascii="Arial" w:cs="Arial" w:eastAsia="Arial" w:hAnsi="Arial"/>
          <w:sz w:val="18"/>
          <w:szCs w:val="18"/>
          <w:color w:val="auto"/>
        </w:rPr>
        <w:t>”), whereby deferred income taxes resulting from temporary differences between the carrying amounts and tax bases of assets</w:t>
      </w:r>
    </w:p>
    <w:p>
      <w:pPr>
        <w:ind w:left="120"/>
        <w:spacing w:after="0" w:line="234" w:lineRule="auto"/>
        <w:rPr>
          <w:sz w:val="20"/>
          <w:szCs w:val="20"/>
          <w:color w:val="auto"/>
        </w:rPr>
      </w:pPr>
      <w:r>
        <w:rPr>
          <w:rFonts w:ascii="Arial" w:cs="Arial" w:eastAsia="Arial" w:hAnsi="Arial"/>
          <w:sz w:val="18"/>
          <w:szCs w:val="18"/>
          <w:color w:val="auto"/>
        </w:rPr>
        <w:t>and liabilities are recorded, and the deferred income taxes are measured using the enacted tax rates and laws expected to be in effect</w:t>
      </w:r>
    </w:p>
    <w:p>
      <w:pPr>
        <w:ind w:left="120"/>
        <w:spacing w:after="0" w:line="235" w:lineRule="auto"/>
        <w:rPr>
          <w:sz w:val="20"/>
          <w:szCs w:val="20"/>
          <w:color w:val="auto"/>
        </w:rPr>
      </w:pPr>
      <w:r>
        <w:rPr>
          <w:rFonts w:ascii="Arial" w:cs="Arial" w:eastAsia="Arial" w:hAnsi="Arial"/>
          <w:sz w:val="18"/>
          <w:szCs w:val="18"/>
          <w:color w:val="auto"/>
        </w:rPr>
        <w:t>when the underlying assets or liabilities are recovered or settled. The realization of deferred income tax assets depends upon the</w:t>
      </w:r>
    </w:p>
    <w:p>
      <w:pPr>
        <w:ind w:left="120"/>
        <w:spacing w:after="0" w:line="235" w:lineRule="auto"/>
        <w:rPr>
          <w:sz w:val="20"/>
          <w:szCs w:val="20"/>
          <w:color w:val="auto"/>
        </w:rPr>
      </w:pPr>
      <w:r>
        <w:rPr>
          <w:rFonts w:ascii="Arial" w:cs="Arial" w:eastAsia="Arial" w:hAnsi="Arial"/>
          <w:sz w:val="18"/>
          <w:szCs w:val="18"/>
          <w:color w:val="auto"/>
        </w:rPr>
        <w:t>existence of sufficient taxable income within the carryback or carryforward periods under the enacted tax law in the applicable tax</w:t>
      </w:r>
    </w:p>
    <w:p>
      <w:pPr>
        <w:ind w:left="120"/>
        <w:spacing w:after="0" w:line="235" w:lineRule="auto"/>
        <w:rPr>
          <w:sz w:val="20"/>
          <w:szCs w:val="20"/>
          <w:color w:val="auto"/>
        </w:rPr>
      </w:pPr>
      <w:r>
        <w:rPr>
          <w:rFonts w:ascii="Arial" w:cs="Arial" w:eastAsia="Arial" w:hAnsi="Arial"/>
          <w:sz w:val="18"/>
          <w:szCs w:val="18"/>
          <w:color w:val="auto"/>
        </w:rPr>
        <w:t>jurisdiction. A valuation allowance is established when management determines, based on available information, that it is more likely than</w:t>
      </w:r>
    </w:p>
    <w:p>
      <w:pPr>
        <w:ind w:left="120"/>
        <w:spacing w:after="0" w:line="235" w:lineRule="auto"/>
        <w:rPr>
          <w:sz w:val="20"/>
          <w:szCs w:val="20"/>
          <w:color w:val="auto"/>
        </w:rPr>
      </w:pPr>
      <w:r>
        <w:rPr>
          <w:rFonts w:ascii="Arial" w:cs="Arial" w:eastAsia="Arial" w:hAnsi="Arial"/>
          <w:sz w:val="18"/>
          <w:szCs w:val="18"/>
          <w:color w:val="auto"/>
        </w:rPr>
        <w:t>not that deferred income tax assets will not be realized. Significant judgment is required in determining whether a valuation allowance</w:t>
      </w:r>
    </w:p>
    <w:p>
      <w:pPr>
        <w:ind w:left="120"/>
        <w:spacing w:after="0" w:line="234" w:lineRule="auto"/>
        <w:rPr>
          <w:sz w:val="20"/>
          <w:szCs w:val="20"/>
          <w:color w:val="auto"/>
        </w:rPr>
      </w:pPr>
      <w:r>
        <w:rPr>
          <w:rFonts w:ascii="Arial" w:cs="Arial" w:eastAsia="Arial" w:hAnsi="Arial"/>
          <w:sz w:val="18"/>
          <w:szCs w:val="18"/>
          <w:color w:val="auto"/>
        </w:rPr>
        <w:t>should be established, as well as the amount of such allowance. Valuation allowances are established to reduce deferred tax benefits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probable amount expected to be realized in a future period.</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jc w:val="both"/>
        <w:ind w:left="120" w:right="160" w:firstLine="551"/>
        <w:spacing w:after="0" w:line="274" w:lineRule="auto"/>
        <w:rPr>
          <w:sz w:val="20"/>
          <w:szCs w:val="20"/>
          <w:color w:val="auto"/>
        </w:rPr>
      </w:pPr>
      <w:r>
        <w:rPr>
          <w:rFonts w:ascii="Arial" w:cs="Arial" w:eastAsia="Arial" w:hAnsi="Arial"/>
          <w:sz w:val="17"/>
          <w:szCs w:val="17"/>
          <w:color w:val="auto"/>
        </w:rPr>
        <w:t>For a discussion of our recently issued accounting developments and their impact or potential impact on our financial statements, see Note 2—Summary of Significant Accounting Policies of our consolidated financial statements included elsewhere in this prospectus.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This section describes the executive compensation of PWP’s directors and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 None of FTIV’s directors or executive officers received any cash compensation for services rendered to FTIV.</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PWP’s NEOs for the fiscal year ended December 31, 2020 are:</w:t>
      </w:r>
    </w:p>
    <w:p>
      <w:pPr>
        <w:spacing w:after="0" w:line="117" w:lineRule="exact"/>
        <w:rPr>
          <w:sz w:val="20"/>
          <w:szCs w:val="20"/>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 for 2020</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total compensation paid to or earned by each of PWP’s NEOs in the applicable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4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Awards</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jc w:val="right"/>
              <w:ind w:right="116"/>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5"/>
                <w:szCs w:val="15"/>
                <w:color w:val="auto"/>
              </w:rPr>
            </w:pP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5"/>
                <w:szCs w:val="15"/>
                <w:color w:val="auto"/>
              </w:rPr>
            </w:pP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26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Peter A. Weinberg,</w:t>
            </w:r>
          </w:p>
        </w:tc>
        <w:tc>
          <w:tcPr>
            <w:tcW w:w="2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w w:val="94"/>
              </w:rPr>
              <w:t>2020</w:t>
            </w:r>
          </w:p>
        </w:tc>
        <w:tc>
          <w:tcPr>
            <w:tcW w:w="2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500,000</w:t>
            </w:r>
          </w:p>
        </w:tc>
        <w:tc>
          <w:tcPr>
            <w:tcW w:w="2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4,500,000</w:t>
            </w:r>
          </w:p>
        </w:tc>
        <w:tc>
          <w:tcPr>
            <w:tcW w:w="2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8"/>
              </w:rPr>
              <w:t>513,728</w:t>
            </w:r>
          </w:p>
        </w:tc>
        <w:tc>
          <w:tcPr>
            <w:tcW w:w="2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8,550</w:t>
            </w:r>
          </w:p>
        </w:tc>
        <w:tc>
          <w:tcPr>
            <w:tcW w:w="2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5,522,278</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4,500,000</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945,758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5,954,158</w:t>
            </w:r>
          </w:p>
        </w:tc>
        <w:tc>
          <w:tcPr>
            <w:tcW w:w="0" w:type="dxa"/>
            <w:vAlign w:val="bottom"/>
          </w:tcPr>
          <w:p>
            <w:pPr>
              <w:spacing w:after="0"/>
              <w:rPr>
                <w:sz w:val="1"/>
                <w:szCs w:val="1"/>
                <w:color w:val="auto"/>
              </w:rPr>
            </w:pP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Dietrich Becker,</w:t>
            </w:r>
          </w:p>
        </w:tc>
        <w:tc>
          <w:tcPr>
            <w:tcW w:w="96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2020</w:t>
            </w:r>
          </w:p>
        </w:tc>
        <w:tc>
          <w:tcPr>
            <w:tcW w:w="10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493,696</w:t>
            </w:r>
          </w:p>
        </w:tc>
        <w:tc>
          <w:tcPr>
            <w:tcW w:w="11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5,506,304</w:t>
            </w:r>
          </w:p>
        </w:tc>
        <w:tc>
          <w:tcPr>
            <w:tcW w:w="10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256,864</w:t>
            </w:r>
          </w:p>
        </w:tc>
        <w:tc>
          <w:tcPr>
            <w:tcW w:w="13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15,400</w:t>
            </w:r>
          </w:p>
        </w:tc>
        <w:tc>
          <w:tcPr>
            <w:tcW w:w="10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6,272,264</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3" w:lineRule="exact"/>
              <w:rPr>
                <w:sz w:val="20"/>
                <w:szCs w:val="20"/>
                <w:color w:val="auto"/>
              </w:rPr>
            </w:pPr>
            <w:r>
              <w:rPr>
                <w:rFonts w:ascii="Arial" w:cs="Arial" w:eastAsia="Arial" w:hAnsi="Arial"/>
                <w:sz w:val="18"/>
                <w:szCs w:val="18"/>
                <w:color w:val="auto"/>
              </w:rPr>
              <w:t>Co-President(5)</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Andrew Bednar,</w:t>
            </w:r>
          </w:p>
        </w:tc>
        <w:tc>
          <w:tcPr>
            <w:tcW w:w="960" w:type="dxa"/>
            <w:vAlign w:val="bottom"/>
            <w:gridSpan w:val="3"/>
            <w:shd w:val="clear" w:color="auto" w:fill="CCEEFF"/>
          </w:tcPr>
          <w:p>
            <w:pPr>
              <w:ind w:left="300"/>
              <w:spacing w:after="0" w:line="183" w:lineRule="exact"/>
              <w:rPr>
                <w:sz w:val="20"/>
                <w:szCs w:val="20"/>
                <w:color w:val="auto"/>
              </w:rPr>
            </w:pPr>
            <w:r>
              <w:rPr>
                <w:rFonts w:ascii="Arial" w:cs="Arial" w:eastAsia="Arial" w:hAnsi="Arial"/>
                <w:sz w:val="18"/>
                <w:szCs w:val="18"/>
                <w:color w:val="auto"/>
              </w:rPr>
              <w:t>2020</w:t>
            </w:r>
          </w:p>
        </w:tc>
        <w:tc>
          <w:tcPr>
            <w:tcW w:w="104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8"/>
                <w:szCs w:val="18"/>
                <w:color w:val="auto"/>
              </w:rPr>
              <w:t>500,000</w:t>
            </w:r>
          </w:p>
        </w:tc>
        <w:tc>
          <w:tcPr>
            <w:tcW w:w="11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7,500,000</w:t>
            </w:r>
          </w:p>
        </w:tc>
        <w:tc>
          <w:tcPr>
            <w:tcW w:w="104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8"/>
                <w:szCs w:val="18"/>
                <w:color w:val="auto"/>
              </w:rPr>
              <w:t>349,335</w:t>
            </w:r>
          </w:p>
        </w:tc>
        <w:tc>
          <w:tcPr>
            <w:tcW w:w="136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8,550</w:t>
            </w:r>
          </w:p>
        </w:tc>
        <w:tc>
          <w:tcPr>
            <w:tcW w:w="104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8"/>
                <w:szCs w:val="18"/>
                <w:color w:val="auto"/>
              </w:rPr>
              <w:t>8,357,885</w:t>
            </w:r>
          </w:p>
        </w:tc>
        <w:tc>
          <w:tcPr>
            <w:tcW w:w="0" w:type="dxa"/>
            <w:vAlign w:val="bottom"/>
          </w:tcPr>
          <w:p>
            <w:pPr>
              <w:spacing w:after="0"/>
              <w:rPr>
                <w:sz w:val="1"/>
                <w:szCs w:val="1"/>
                <w:color w:val="auto"/>
              </w:rPr>
            </w:pPr>
          </w:p>
        </w:tc>
      </w:tr>
      <w:tr>
        <w:trPr>
          <w:trHeight w:val="221"/>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Co-President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hanging="54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shown in this column reflect the annual base salary earned by each of PWP’s NEOs during the applicable calendar year.</w:t>
      </w:r>
    </w:p>
    <w:p>
      <w:pPr>
        <w:ind w:left="660" w:right="40" w:hanging="544"/>
        <w:spacing w:after="0" w:line="23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shown in this column represent the sum of (i) the annual cash incentive bonuses paid to each of PWP’s NEOs in respect of performance during the applicable calendar year (for each of Messrs. Weinberg, Becker and Bednar, $3,500,000, $4,506,304 and $6,100,000, respectively) and (ii) the additional transaction-related cash bonuses paid to each of PWP’s NEOs in 2020 in connection with the Business Combination (for each of Messrs. Weinberg, Becker and Bednar, $1,000,000, $1,000,000 and $1,400,000, respectively). These annual cash incentive and additional transaction-related bonuses are described in greater detail in the section entitled “</w:t>
      </w:r>
      <w:r>
        <w:rPr>
          <w:rFonts w:ascii="Arial" w:cs="Arial" w:eastAsia="Arial" w:hAnsi="Arial"/>
          <w:sz w:val="18"/>
          <w:szCs w:val="18"/>
          <w:i w:val="1"/>
          <w:iCs w:val="1"/>
          <w:color w:val="auto"/>
        </w:rPr>
        <w:t>—2020 Executive Compensation Elements—Annual Cash Incentive Bonuses</w:t>
      </w:r>
      <w:r>
        <w:rPr>
          <w:rFonts w:ascii="Arial" w:cs="Arial" w:eastAsia="Arial" w:hAnsi="Arial"/>
          <w:sz w:val="18"/>
          <w:szCs w:val="18"/>
          <w:color w:val="auto"/>
        </w:rPr>
        <w:t>” below.</w:t>
      </w:r>
    </w:p>
    <w:p>
      <w:pPr>
        <w:spacing w:after="0" w:line="4" w:lineRule="exact"/>
        <w:rPr>
          <w:rFonts w:ascii="Arial" w:cs="Arial" w:eastAsia="Arial" w:hAnsi="Arial"/>
          <w:sz w:val="18"/>
          <w:szCs w:val="18"/>
          <w:color w:val="auto"/>
        </w:rPr>
      </w:pPr>
    </w:p>
    <w:p>
      <w:pPr>
        <w:ind w:left="660" w:right="40" w:hanging="544"/>
        <w:spacing w:after="0" w:line="23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shown in this column represent the grant date fair value, calculated in accordance with FASB ASC Topic 718, of the incentive equity awards granted to PWP’s NEOs during the applicable calendar year. For a summary of the assumptions used in the valuation of these incentive equity awards, please see the Note “</w:t>
      </w:r>
      <w:r>
        <w:rPr>
          <w:rFonts w:ascii="Arial" w:cs="Arial" w:eastAsia="Arial" w:hAnsi="Arial"/>
          <w:sz w:val="18"/>
          <w:szCs w:val="18"/>
          <w:i w:val="1"/>
          <w:iCs w:val="1"/>
          <w:color w:val="auto"/>
        </w:rPr>
        <w:t>Compensation and Benefits</w:t>
      </w:r>
      <w:r>
        <w:rPr>
          <w:rFonts w:ascii="Arial" w:cs="Arial" w:eastAsia="Arial" w:hAnsi="Arial"/>
          <w:sz w:val="18"/>
          <w:szCs w:val="18"/>
          <w:color w:val="auto"/>
        </w:rPr>
        <w:t>” to PWP’s audited consolidated financial statements included in this prospectus. These incentive equity awards are described in greater detail in the section entitled “</w:t>
      </w:r>
      <w:r>
        <w:rPr>
          <w:rFonts w:ascii="Arial" w:cs="Arial" w:eastAsia="Arial" w:hAnsi="Arial"/>
          <w:sz w:val="18"/>
          <w:szCs w:val="18"/>
          <w:i w:val="1"/>
          <w:iCs w:val="1"/>
          <w:color w:val="auto"/>
        </w:rPr>
        <w:t>—2020 Executive Compensation Elements—Incentive Equity Awards</w:t>
      </w:r>
      <w:r>
        <w:rPr>
          <w:rFonts w:ascii="Arial" w:cs="Arial" w:eastAsia="Arial" w:hAnsi="Arial"/>
          <w:sz w:val="18"/>
          <w:szCs w:val="18"/>
          <w:color w:val="auto"/>
        </w:rPr>
        <w:t>” below.</w:t>
      </w:r>
    </w:p>
    <w:p>
      <w:pPr>
        <w:spacing w:after="0" w:line="3" w:lineRule="exact"/>
        <w:rPr>
          <w:rFonts w:ascii="Arial" w:cs="Arial" w:eastAsia="Arial" w:hAnsi="Arial"/>
          <w:sz w:val="18"/>
          <w:szCs w:val="18"/>
          <w:color w:val="auto"/>
        </w:rPr>
      </w:pPr>
    </w:p>
    <w:p>
      <w:pPr>
        <w:ind w:left="660" w:right="120" w:hanging="544"/>
        <w:spacing w:after="0" w:line="23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w:t>
      </w:r>
      <w:r>
        <w:rPr>
          <w:rFonts w:ascii="Arial" w:cs="Arial" w:eastAsia="Arial" w:hAnsi="Arial"/>
          <w:sz w:val="18"/>
          <w:szCs w:val="18"/>
          <w:i w:val="1"/>
          <w:iCs w:val="1"/>
          <w:color w:val="auto"/>
        </w:rPr>
        <w:t>—2020 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Elements—Retirement Arrangements</w:t>
      </w:r>
      <w:r>
        <w:rPr>
          <w:rFonts w:ascii="Arial" w:cs="Arial" w:eastAsia="Arial" w:hAnsi="Arial"/>
          <w:sz w:val="18"/>
          <w:szCs w:val="18"/>
          <w:color w:val="auto"/>
        </w:rPr>
        <w:t>” below.</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00" w:hanging="544"/>
        <w:spacing w:after="0" w:line="246"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shown in this table for Mr. Becker, other than in the “Stock Awards” column, have been converted from pounds sterling to U.S. dollars using the full year average exchange rate of approximately $1.28 for 2020.</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2020 Executive Compensation Elements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PWP’s NEOs was provided with the following material elements of compensation in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jc w:val="both"/>
        <w:ind w:left="120" w:right="320" w:firstLine="551"/>
        <w:spacing w:after="0"/>
        <w:rPr>
          <w:sz w:val="20"/>
          <w:szCs w:val="20"/>
          <w:color w:val="auto"/>
        </w:rPr>
      </w:pPr>
      <w:r>
        <w:rPr>
          <w:rFonts w:ascii="Arial" w:cs="Arial" w:eastAsia="Arial" w:hAnsi="Arial"/>
          <w:sz w:val="18"/>
          <w:szCs w:val="18"/>
          <w:color w:val="auto"/>
        </w:rPr>
        <w:t>PWP provides an annual base salary of $500,000 to each of PWP’s NEOs. Consistent with the practice in PWP’s industry, base salaries for PWP’s NEOs generally comprise a small portion of their total annual compensation. PWP did not increase the annual base salaries of PWP’s NEOs in connection with the Business Combination.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Incentive Bonuses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Annual cash incentive bonuses are the key component of PWP’s short-term executive compensation strategy. PWP did not set specific performance targets upon which annual cash bonuses would become payable for 2020. Instead, the annual cash bonuses paid to PWP’s NEOs in respect of 2020 were discretionary in amount and were based on a performance evaluation conducted by PWP’s Chief Executive Officer in consultation with other executive officers, which involved an analysis of both overall Company performance and the performance of the individual NEO and their contributions to PWP. PWP believes that this evaluation process allowed PWP to link pay with performance in the closest way possible and provided PWP with the flexibility necessary to take all relevant factors into account in determining the amount of the annual cash bonuses. PWP feels that this provided PWP with a better incentive compensation structure than a formulaic bonus structure based solely on the achievement of specific pre-established performance targets, which may not capture all appropriate factors that materially impacted PWP’s performance. PWP did not provide guaranteed cash bonuses to any of PWP’s NEOs in respect of 2020.</w:t>
      </w:r>
    </w:p>
    <w:p>
      <w:pPr>
        <w:spacing w:after="0" w:line="20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In addition to the annual cash incentive bonuses to be paid in respect of 2020 performance, PWP provided transaction-related bonuses in 2020 to certain partners (including PWP’s NEOs), employees and other service providers of PWP in connection with the Business Combination. These bonuses were intended to recognize and incentivize the efforts expended by these individuals in connection with the Business Combination, including implementing the reorganization of Professional Partners (described in greater detail in the section entitled </w:t>
      </w:r>
      <w:r>
        <w:rPr>
          <w:rFonts w:ascii="Arial" w:cs="Arial" w:eastAsia="Arial" w:hAnsi="Arial"/>
          <w:sz w:val="18"/>
          <w:szCs w:val="18"/>
          <w:i w:val="1"/>
          <w:iCs w:val="1"/>
          <w:color w:val="auto"/>
        </w:rPr>
        <w:t>“—Other Executive Compensation Elements—Reorganization of Professional Partners</w:t>
      </w:r>
      <w:r>
        <w:rPr>
          <w:rFonts w:ascii="Arial" w:cs="Arial" w:eastAsia="Arial" w:hAnsi="Arial"/>
          <w:sz w:val="18"/>
          <w:szCs w:val="18"/>
          <w:color w:val="auto"/>
        </w:rPr>
        <w:t>” below) and negotiating the Business Combination and related agreements.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Equity Awards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Through Professional Partners, PWP provided long-term executive compensation in the form of incentive equity awards relating to partnership interests in Professional Partners, which had no economic impact on PWP or PWP OpCo. These incentive equity awards indirectly correlated to interests in PWP OpCo and, with respect to the awards granted in 2020, generally entitled the recipient to receive a share of certain increases in the value of PWP above a specified threshold, certain distributions and certain undistributed taxable income of Professional Partners generated during the year of grant. If such increases in value of PWP were achieved for the year of grant, the grantee’s share of such value would generally vest ratably in annual installments over a four-year service period,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subject to continued employment on each vesting date. The grantee’s share of any undistributed taxable income of Professional Partners generated during such year would become fully vested at the end of the year of grant. During 2020, Professional Partners granted incentive equity awards to each of PWP’s NEOs, with a vesting schedule as described above. The termination and sale-related provisions applicable to the incentive equity awards and certain obligations following a termination of employment are described in greater detail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For the treatment of these outstanding incentive equal awards in connection with the Business Combination and related internal reorganization steps that were consummated concurrently with the closing of the Business Combination, see the section entitled “—</w:t>
      </w:r>
      <w:r>
        <w:rPr>
          <w:rFonts w:ascii="Arial" w:cs="Arial" w:eastAsia="Arial" w:hAnsi="Arial"/>
          <w:sz w:val="18"/>
          <w:szCs w:val="18"/>
          <w:i w:val="1"/>
          <w:iCs w:val="1"/>
          <w:color w:val="auto"/>
        </w:rPr>
        <w:t>Other Executive Compensation Elements—Reorganization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Professional Partners</w:t>
      </w:r>
      <w:r>
        <w:rPr>
          <w:rFonts w:ascii="Arial" w:cs="Arial" w:eastAsia="Arial" w:hAnsi="Arial"/>
          <w:sz w:val="18"/>
          <w:szCs w:val="18"/>
          <w:color w:val="auto"/>
        </w:rPr>
        <w:t>” below.</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26"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Executive Compensation Elements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26"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We expect to enter into employment agreements with each of Messrs. Weinberg, Becker and Bednar, pursuant to which they will each continue to serve as our executive officers in their current positions following the closing of the Business Combination. The employment agreements will be approved by our compensation committee.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employment agreements are expected to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are also expected to provide that each NEO will be eligible to receive, subject to the consideration, review and approval of our compensation committee, one-time grants of equity awards pursuant to the Incentive Plan as soon as practicable following the Closing in the form of management awards, as described “—</w:t>
      </w:r>
      <w:r>
        <w:rPr>
          <w:rFonts w:ascii="Arial" w:cs="Arial" w:eastAsia="Arial" w:hAnsi="Arial"/>
          <w:sz w:val="18"/>
          <w:szCs w:val="18"/>
          <w:i w:val="1"/>
          <w:iCs w:val="1"/>
          <w:color w:val="auto"/>
        </w:rPr>
        <w:t>Other Executive Compensation Elements—Management Awards</w:t>
      </w:r>
      <w:r>
        <w:rPr>
          <w:rFonts w:ascii="Arial" w:cs="Arial" w:eastAsia="Arial" w:hAnsi="Arial"/>
          <w:sz w:val="18"/>
          <w:szCs w:val="18"/>
          <w:color w:val="auto"/>
        </w:rPr>
        <w:t>” below. We anticipate that either party will be permitted to terminate the employment agreement at any time by providing 90 days’ advance written notice, provided that a NEO’s employment may be terminated immediately in the event of a termination for cause.</w:t>
      </w:r>
    </w:p>
    <w:p>
      <w:pPr>
        <w:spacing w:after="0" w:line="208"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Each employment agreement is expected to incorporate by reference the restrictive covenants applicable to the NEO, including the restrictive covenants set forth in the amended and restated limited partnership agreement of Professional Partners, as described in “— </w:t>
      </w:r>
      <w:r>
        <w:rPr>
          <w:rFonts w:ascii="Arial" w:cs="Arial" w:eastAsia="Arial" w:hAnsi="Arial"/>
          <w:sz w:val="18"/>
          <w:szCs w:val="18"/>
          <w:i w:val="1"/>
          <w:iCs w:val="1"/>
          <w:color w:val="auto"/>
        </w:rPr>
        <w:t>Other Executive Compensation Elements—Reorganization of Professional Partners</w:t>
      </w:r>
      <w:r>
        <w:rPr>
          <w:rFonts w:ascii="Arial" w:cs="Arial" w:eastAsia="Arial" w:hAnsi="Arial"/>
          <w:sz w:val="18"/>
          <w:szCs w:val="18"/>
          <w:color w:val="auto"/>
        </w:rPr>
        <w:t>” below.</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26"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In connection with the Closing, a transaction pool of RSUs will be created under the Incentive Plan and allocated to Working Partners, non-partner employees and certain other eligible recipients. The Transaction Pool will be comprised of 10.2 million shares of our Class A common stock, equal to approximately 10% of the sum of the total number of outstanding shares of our Class A common stock (including, for this purpose only, these 10.2 million shares) and the total number of outstanding PWP OpCo units as of the Closing. Up to 6.6 million shares may be granted subject solely to a time-based vesting schedule to eligible recipients who are either non-partner employees, independent contractors or consultants of us or Working Partners with commitments from us to receive awards pursuant to their new-hire partner offer letters and at least 3.6 million shares are expected to be granted subject to a time-based and performance-based vesting schedule, except as otherwise necessary for purposes of satisfying applicable foreign laws or qualifying for favorable tax treatment under applicable foreign laws (which exception is expected to apply to 0.4 million shares, for a total of 7.0 million shares that may be granted subject solely to a time-based vesting schedule and 3.2 million shares that are expected to be granted subject to a time-based and performance-based vesting schedule). No awards may be granted pursuant to the Transaction Pool after the first anniversary of the Closing. Subject to the consideration, review and approval of our compensation committee, we expect to make one-time grants of RSUs out of the Transaction Pool Share Reserve equal to the entire amount of the Transaction Pool as soon as practicable following the Closing.</w:t>
      </w:r>
    </w:p>
    <w:p>
      <w:pPr>
        <w:spacing w:after="0" w:line="21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performance-based RSUs granted pursuant to the Transaction Pool are expected to vest based on the achievement of two vesting conditions: a time-based vesting condition that is satisfied in five equal installments on the 36, 42, 48, 54 and 60 month anniversaries of the grant date, and a performance-based vesting condition that is satisfied in four equal installments upon the achievement of closing stock price hurdles for 20 out of any 30 consecutive trading days equal to $12, $13.50, $15 and $17, in each case prior to the sixth anniversary of the grant date. Upon a termination due to death or disability, all unvested performance-based RSUs will immediately vest with respect to the time-based vesting conditions and will remain outstanding subject to the achievement of the performance-based vesting conditions prior to the sixth anniversary of the grant date, and will vest immediately if such performance-based vesting conditions have already been satisfied. Upon a termination without cause or resignation for good reason, a pro-rata portion of each unvested tranche will immediately vest with respect to the time-based vesting conditions, subject to a 50% floor, and will remain outstanding subject to the achievement of the performance-based vesting condition prior to the 6th anniversary of the grant date, and will vest immediately if such performance-based vesting conditions have already been satisfied. Upon a termination without cause or resignation for good reason within 24 months following a change in control, all unvested performance-based RSUs will immediately vest with respect to both the time-based and performance-based vesting conditions.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Except as described below, the time-based RSUs granted pursuant to the Transaction Pool generally are expected vest in three equal installments on the 12, 24 and 36 month anniversaries of the grant date. For the two Working Partners based in Canada, two time-based RSU awards will be granted pursuant to the Transaction Pool, one of which will cliff-vest on the 36 month anniversary of the grant date, and one of which will cliff-vest on the 60 month anniversary of the grant date. Upon a termination due to death or disability, all unvested time-based RSUs will immediately vest. Upon a termination without cause or resignation for good reason, a pro -rata portion of each unvested tranche will immediately vest, subject to a 50% floor. Upon a qualifying retirement, which may occur upon resignation after having reached age 56 with at least five years of service (provided that total age plus years of service must equal at least 65 years of age), the time-based RSUs will remain outstanding and eligible to be delivered on the normal vesting date(s), subject to continued compliance with any applicable restrictive covenants. Upon a termination without cause or resignation for good reason within 24 months following a change in control, all unvested time-based RSUs will immediately vest.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61" w:lineRule="auto"/>
        <w:rPr>
          <w:sz w:val="20"/>
          <w:szCs w:val="20"/>
          <w:color w:val="auto"/>
        </w:rPr>
      </w:pPr>
      <w:r>
        <w:rPr>
          <w:rFonts w:ascii="Arial" w:cs="Arial" w:eastAsia="Arial" w:hAnsi="Arial"/>
          <w:sz w:val="17"/>
          <w:szCs w:val="17"/>
          <w:color w:val="auto"/>
        </w:rPr>
        <w:t>Each award agreement is expected to incorporate by reference the restrictive covenants applicable to the eligible recipient, including, with respect to Working Partners, the restrictive covenants set forth in the amended and restated limited partnership agreement of Professional Partners, as described in “—</w:t>
      </w:r>
      <w:r>
        <w:rPr>
          <w:rFonts w:ascii="Arial" w:cs="Arial" w:eastAsia="Arial" w:hAnsi="Arial"/>
          <w:sz w:val="17"/>
          <w:szCs w:val="17"/>
          <w:i w:val="1"/>
          <w:iCs w:val="1"/>
          <w:color w:val="auto"/>
        </w:rPr>
        <w:t>Other Executive Compensation Elements—Reorganization of Professional Partners</w:t>
      </w:r>
      <w:r>
        <w:rPr>
          <w:rFonts w:ascii="Arial" w:cs="Arial" w:eastAsia="Arial" w:hAnsi="Arial"/>
          <w:sz w:val="17"/>
          <w:szCs w:val="17"/>
          <w:color w:val="auto"/>
        </w:rPr>
        <w:t>” below.</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PWP’s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RSU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207"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Beginning in February 2021, the individuals who currently serve as the four “independent directors” of the Company and as the members of its compensation committee (Jane C. Sherburne, Daniel G. Cohen, Jorma Ollila and Ivan G. Seidenberg), hired Exequity LLP, an independent third-party compensation consultant (“</w:t>
      </w:r>
      <w:r>
        <w:rPr>
          <w:rFonts w:ascii="Arial" w:cs="Arial" w:eastAsia="Arial" w:hAnsi="Arial"/>
          <w:sz w:val="18"/>
          <w:szCs w:val="18"/>
          <w:u w:val="single" w:color="auto"/>
          <w:color w:val="auto"/>
        </w:rPr>
        <w:t>Exequity</w:t>
      </w:r>
      <w:r>
        <w:rPr>
          <w:rFonts w:ascii="Arial" w:cs="Arial" w:eastAsia="Arial" w:hAnsi="Arial"/>
          <w:sz w:val="18"/>
          <w:szCs w:val="18"/>
          <w:color w:val="auto"/>
        </w:rPr>
        <w:t>”), and engaged in more than two months of work and held multiple working group and committee meetings to develop the expected terms of the Management Awards described in greater detail below. With assistance from Exequity, including alternatives prepared by Exequity based on market practice and peer group company analyses,</w:t>
      </w:r>
    </w:p>
    <w:p>
      <w:pPr>
        <w:spacing w:after="0" w:line="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Ms. Sherburne and the other members of the compensation committee engaged in extensive discussions covering the various considerations involved in granting the Management Awards, including: demonstrating a commitment to pay for performance through the use of at-risk performance-based incentives; the most effective way to structure an award that would align the interests of PWP’s NEO’s with other shareholders; and peer group company incentive structures, including peer group company examples of price-vesting stock awards.</w:t>
      </w:r>
    </w:p>
    <w:p>
      <w:pPr>
        <w:spacing w:after="0" w:line="202"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PWP’s continued growth. The compensation committee incorporated this recommendation into the expected terms of the Management Awards described in greater detail below. In addition, in light of the Management Awards being contemplated by the compensation committee, each of Messrs. Weinberg, Becker and Bednar expect to reallocate the transaction pool awards they would have otherwise been granted pursuant to the Transaction Pool, as described in greater detail below.</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are expected to be granted in connection with the Closing is to incentivize PWP’s NEOs and a small number of other partners recommended by Mr. Weinberg and determined in consultation with the compensation committee to continue the development of the Company and provide strong incentives to grow shareholder value. Specifically, the Management Awards are intended to:</w:t>
      </w:r>
    </w:p>
    <w:p>
      <w:pPr>
        <w:spacing w:after="0" w:line="110" w:lineRule="exact"/>
        <w:rPr>
          <w:sz w:val="20"/>
          <w:szCs w:val="20"/>
          <w:color w:val="auto"/>
        </w:rPr>
      </w:pPr>
    </w:p>
    <w:p>
      <w:pPr>
        <w:ind w:left="880" w:right="600" w:hanging="224"/>
        <w:spacing w:after="0" w:line="24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80" w:hanging="224"/>
        <w:spacing w:after="0" w:line="246"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display the Company’s commitment to performance through a long-term incentive program that is entirely at-risk if aggressive performance objectives are not met;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21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As a result of the foregoing considerations, in connection with the Closing and in respect of their ongoing participation in the leadership and management of the Company following the Closing, Messrs. Weinberg, Becker and Bednar, as well as a small number of other partners as recommended by Mr. Weinberg and determined in consultation with the compensation committee, are expected to receive one-time grants of Management Awards that are subject to the achievement of two vesting conditions, both of which must be satisfied for the awards to vest: a time-based vesting condition that is satisfied in installments subject to continued employment on each vesting date (currently expected to be the third and fifth anniversaries of the grant date) and a performance-based vesting condition that is satisfied upon the achievement of closing stock prices ranging between $15 and $30 within a specified period following the grant date (currently expected to be five years). Customary protections upon termination of employment are expected to apply.</w:t>
      </w:r>
    </w:p>
    <w:p>
      <w:pPr>
        <w:spacing w:after="0" w:line="208"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The number of Management Awards that are expected to be granted in connection with the Closing are as follows: up to 9,500,000 RSUs in the aggregate for Messrs. Weinberg, Becker and Bednar and a small number of other partners, as recommended by</w:t>
      </w:r>
    </w:p>
    <w:p>
      <w:pPr>
        <w:spacing w:after="0" w:line="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Mr. Weinberg and determined in consultation with the compensation committee. The final amount, terms and conditions of the Management Awards will be subject to the consideration, review and approval of the compensation committee and will be made out of the General Share Reserve as soon as practicable following the Closing.</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w:t>
      </w:r>
      <w:r>
        <w:rPr>
          <w:rFonts w:ascii="Arial" w:cs="Arial" w:eastAsia="Arial" w:hAnsi="Arial"/>
          <w:sz w:val="18"/>
          <w:szCs w:val="18"/>
          <w:i w:val="1"/>
          <w:iCs w:val="1"/>
          <w:color w:val="auto"/>
        </w:rPr>
        <w:t>Other Executive Compensation Elements—Transaction Pool Awards</w:t>
      </w:r>
      <w:r>
        <w:rPr>
          <w:rFonts w:ascii="Arial" w:cs="Arial" w:eastAsia="Arial" w:hAnsi="Arial"/>
          <w:sz w:val="18"/>
          <w:szCs w:val="18"/>
          <w:color w:val="auto"/>
        </w:rPr>
        <w:t>” above. In connection with the finalization and implementation of the Management Awards, and as recommended by Mr. Weinberg, these transaction pool awards that would otherwise have been granted to Messrs. Weinberg, Becker and Bednar were returned to the Transaction Pool Share Reserve and are expected to be reallocated to other partners and employees in connection with, and as soon as practicable following, the Closing, as recommended by Mr. Weinberg and determined in consultation with the compensation committee.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26" w:lineRule="exact"/>
        <w:rPr>
          <w:sz w:val="20"/>
          <w:szCs w:val="20"/>
          <w:color w:val="auto"/>
        </w:rPr>
      </w:pPr>
    </w:p>
    <w:p>
      <w:pPr>
        <w:jc w:val="both"/>
        <w:ind w:left="120" w:right="60" w:firstLine="551"/>
        <w:spacing w:after="0" w:line="257" w:lineRule="auto"/>
        <w:rPr>
          <w:sz w:val="20"/>
          <w:szCs w:val="20"/>
          <w:color w:val="auto"/>
        </w:rPr>
      </w:pPr>
      <w:r>
        <w:rPr>
          <w:rFonts w:ascii="Arial" w:cs="Arial" w:eastAsia="Arial" w:hAnsi="Arial"/>
          <w:sz w:val="17"/>
          <w:szCs w:val="17"/>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8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holding capital as of December 31, 2019, pro rata in accordance with their capital interests as of December 31, 2019, as adjusted for accretion and/or dilution through the Closing, and/or (b) VCUs, which are owned by Working Partners (subject to an approximately three to five-year vesting period) to the extent of capital interests accrued through the Closing that exceed the value of the OCUs, but subject to a cap intended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give effect to each Working Partner’s intended ending target ownership ratio. In addition, Professional Partners issued ACUs to Working Partners, including certain of PWP’s executive officers,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207"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the Company for such shares in such offering), with the form of consideration determined by the Company.</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The lock-up generally restricts the sale, pledge, grant of any option, short sale or other disposition of any partnership units with respect to our advisory business, and the entrance into any hedging, swap or other agreement or transaction related to such partnership units. PWP LLC and the Company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205"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Certain unvested equity interests of Professional Partners held by Limited Partners vested on the transaction date. In order to provide liquidity to such Limited Partners to fund the related tax liability, PWP LLC and the Company may waive the lock-up period for a portion of partnership interests held by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such Limited Partners, or PWP OpCo may make loans to such Limited Partners, in either case in an aggregate value expected to be approximately $3 million. None of such Limited Partners are expected to be an executive officer or director of the Company.</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 End for 2020</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outstanding incentive equity awards held by each of PWP’s NEOs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3"/>
          </w:tcPr>
          <w:p>
            <w:pPr>
              <w:jc w:val="right"/>
              <w:ind w:right="225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94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Number of Shares or Units</w:t>
            </w:r>
          </w:p>
        </w:tc>
        <w:tc>
          <w:tcPr>
            <w:tcW w:w="13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Market Value of Shares or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280" w:type="dxa"/>
            <w:vAlign w:val="bottom"/>
            <w:vMerge w:val="restart"/>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Stock That Have Not</w:t>
            </w:r>
          </w:p>
        </w:tc>
        <w:tc>
          <w:tcPr>
            <w:tcW w:w="1360" w:type="dxa"/>
            <w:vAlign w:val="bottom"/>
          </w:tcPr>
          <w:p>
            <w:pPr>
              <w:spacing w:after="0"/>
              <w:rPr>
                <w:sz w:val="14"/>
                <w:szCs w:val="14"/>
                <w:color w:val="auto"/>
              </w:rPr>
            </w:pPr>
          </w:p>
        </w:tc>
        <w:tc>
          <w:tcPr>
            <w:tcW w:w="20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Units of Stock That Have</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Vested (#)(1)</w:t>
            </w:r>
          </w:p>
        </w:tc>
        <w:tc>
          <w:tcPr>
            <w:tcW w:w="1360" w:type="dxa"/>
            <w:vAlign w:val="bottom"/>
          </w:tcPr>
          <w:p>
            <w:pPr>
              <w:spacing w:after="0"/>
              <w:rPr>
                <w:sz w:val="15"/>
                <w:szCs w:val="15"/>
                <w:color w:val="auto"/>
              </w:rPr>
            </w:pPr>
          </w:p>
        </w:tc>
        <w:tc>
          <w:tcPr>
            <w:tcW w:w="20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Not Vested ($)(2)</w:t>
            </w:r>
          </w:p>
        </w:tc>
        <w:tc>
          <w:tcPr>
            <w:tcW w:w="0" w:type="dxa"/>
            <w:vAlign w:val="bottom"/>
          </w:tcPr>
          <w:p>
            <w:pPr>
              <w:spacing w:after="0"/>
              <w:rPr>
                <w:sz w:val="1"/>
                <w:szCs w:val="1"/>
                <w:color w:val="auto"/>
              </w:rPr>
            </w:pPr>
          </w:p>
        </w:tc>
      </w:tr>
      <w:tr>
        <w:trPr>
          <w:trHeight w:val="189"/>
        </w:trPr>
        <w:tc>
          <w:tcPr>
            <w:tcW w:w="5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A. Weinberg</w:t>
            </w:r>
          </w:p>
        </w:tc>
        <w:tc>
          <w:tcPr>
            <w:tcW w:w="1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Dietrich Becker</w:t>
            </w:r>
          </w:p>
        </w:tc>
        <w:tc>
          <w:tcPr>
            <w:tcW w:w="1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Bednar</w:t>
            </w:r>
          </w:p>
        </w:tc>
        <w:tc>
          <w:tcPr>
            <w:tcW w:w="1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4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660" w:hanging="544"/>
        <w:spacing w:after="0" w:line="23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unvested incentive equity awards relating to partnership interests in Professional Partners that were outstanding as of December 31, 2020. As of December 31, 2020, Professional Partners was not unitized and the incentive equity awards did not represent a specific number of partnership units with respect to Professional Partners. The incentive equity awards granted to each of PWP’s NEOs in 2019 and 2020 were fully vested on December 31, 2020. The incentive equity awards granted to PWP’s NEOs in 2018 generally vested ratably in annual installments over a four-year service period, subject to continued employment on each vesting date. However, each of PWP’s NEOs are currently retirement eligible, such that upon a qualifying retirement, any unvested incentive equity awards would have immediately vested.</w:t>
      </w:r>
    </w:p>
    <w:p>
      <w:pPr>
        <w:spacing w:after="0" w:line="4" w:lineRule="exact"/>
        <w:rPr>
          <w:rFonts w:ascii="Arial" w:cs="Arial" w:eastAsia="Arial" w:hAnsi="Arial"/>
          <w:sz w:val="18"/>
          <w:szCs w:val="18"/>
          <w:color w:val="auto"/>
        </w:rPr>
      </w:pPr>
    </w:p>
    <w:p>
      <w:pPr>
        <w:ind w:left="660" w:right="740" w:hanging="544"/>
        <w:spacing w:after="0" w:line="23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the fair market value of the unvested incentive equity awards as of December 31, 2020. The fair market value on December 31, 2020, of the incentive equity awards granted to PWP’s NEOs in 2018 was $0.00.</w:t>
      </w:r>
    </w:p>
    <w:p>
      <w:pPr>
        <w:spacing w:after="0" w:line="1" w:lineRule="exact"/>
        <w:rPr>
          <w:rFonts w:ascii="Arial" w:cs="Arial" w:eastAsia="Arial" w:hAnsi="Arial"/>
          <w:sz w:val="18"/>
          <w:szCs w:val="18"/>
          <w:color w:val="auto"/>
        </w:rPr>
      </w:pPr>
    </w:p>
    <w:p>
      <w:pPr>
        <w:ind w:left="660" w:right="220" w:hanging="544"/>
        <w:spacing w:after="0" w:line="23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incentive equity awards granted in 2018 that were unvested as of December 31, 2020 and that would have vested on December 31, 2021. For the treatment of outstanding incentive equal awards in connection with the Business Combination and related internal reorganization steps that were consummated concurrently with the closing of the Business Combination, see the section entitled “—</w:t>
      </w:r>
      <w:r>
        <w:rPr>
          <w:rFonts w:ascii="Arial" w:cs="Arial" w:eastAsia="Arial" w:hAnsi="Arial"/>
          <w:sz w:val="18"/>
          <w:szCs w:val="18"/>
          <w:i w:val="1"/>
          <w:iCs w:val="1"/>
          <w:color w:val="auto"/>
        </w:rPr>
        <w:t>Other Executive Compensation Elements—Reorganization of Professional Partners</w:t>
      </w:r>
      <w:r>
        <w:rPr>
          <w:rFonts w:ascii="Arial" w:cs="Arial" w:eastAsia="Arial" w:hAnsi="Arial"/>
          <w:sz w:val="18"/>
          <w:szCs w:val="18"/>
          <w:color w:val="auto"/>
        </w:rPr>
        <w:t>” above.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the terms of the amended and restated limited partnership agreement of Professional Partners, as in effect on December 31, 2020, PWP’s NEOs held unvested incentive equity awards that generally vested ratably in annual installments over a four-year service period, subject to continued employment on each vesting date. However, such incentive equity awards would have vested on an accelerated basis as follows:</w:t>
      </w:r>
    </w:p>
    <w:p>
      <w:pPr>
        <w:spacing w:after="0" w:line="110"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a sale of PWP or an initial public offering, 100% of all unvested incentive equity awards;</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a termination other than for cause, and a sale of PWP or an initial public offering within the six months thereafter, 100% of all unvested incentive equity awards;</w:t>
      </w:r>
    </w:p>
    <w:p>
      <w:pPr>
        <w:spacing w:after="0" w:line="102"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a termination other than for cause, 100% of any incentive equity awards that would have vested at the end of the year of termination, and 50% of any incentive equity awards that would have vested at the end of the following year;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death, disability or a qualifying retirement, 100% of any unvested incentive equity awards.</w:t>
      </w:r>
    </w:p>
    <w:p>
      <w:pPr>
        <w:spacing w:after="0" w:line="212"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Each of PWP’s NEOs are currently retirement eligible, such that upon a qualifying retirement, any unvested incentive equity awards would have immediately vested.</w:t>
      </w:r>
    </w:p>
    <w:p>
      <w:pPr>
        <w:spacing w:after="0" w:line="19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Under the terms of such limited partnership agreement, a terminated NEO would have been entitled to receive interim distributions from Professional Partners equal to (i) the aggregate value attributable to his incentive equity awards as of the date of termination, multiplied by (ii) a rate equal to the one year LIBOR plus 150 basis points, subject to reduction by 25% if termination was due to death, disability or a qualifying retirement. Professional Partners may limit these interim distributions to terminated partners (including PWP’s NEOs) to 40% of the amount of total distributions available to be made to all partners (excluding tax distributions). The agreement also provided that if an NEO experienced a termination of employment due to death, disability or a qualifying retirement, the NEO would be entitled to future profits interests in Professional Partners following such termination in an amount initially equal to 25% of the average of his percentage interest in Professional Partners as of the beginning of each of the two years immediately prior to termination. This profits interest would be maintained for five years subsequent to termination and then declined ratably over the next five years to zero at the end of ten years.</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the terms of such limited partnership agreement, Professional Partners could, at any time, repurchase all or any portion of a terminated NEO’s pre -termination interest, at a price equal to the value as of termination. In addition, Professional Partners was obligated to repurchase all of a terminated NEO’s interest in Professional Partners (including interests with respect to the period before and after termination) on the tenth anniversary of his termination; provided, that if Professional Partners failed to effect such purchase, the rate used to calculate interim distributions to such NEO would increase to a rate equal to one year LIBOR plus 350 basis points.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Perella Weinberg Partners did not have any directors during 2020. As such, no information relating to Perella Weinberg Partners’ 2020 director compensation has been included in this prospectus.</w:t>
      </w:r>
    </w:p>
    <w:p>
      <w:pPr>
        <w:spacing w:after="0" w:line="197" w:lineRule="exact"/>
        <w:rPr>
          <w:sz w:val="20"/>
          <w:szCs w:val="20"/>
          <w:color w:val="auto"/>
        </w:rPr>
      </w:pPr>
    </w:p>
    <w:p>
      <w:pPr>
        <w:ind w:left="120" w:right="400" w:firstLine="551"/>
        <w:spacing w:after="0"/>
        <w:rPr>
          <w:sz w:val="20"/>
          <w:szCs w:val="20"/>
          <w:color w:val="auto"/>
        </w:rPr>
      </w:pPr>
      <w:r>
        <w:rPr>
          <w:rFonts w:ascii="Arial" w:cs="Arial" w:eastAsia="Arial" w:hAnsi="Arial"/>
          <w:sz w:val="18"/>
          <w:szCs w:val="18"/>
          <w:color w:val="auto"/>
        </w:rPr>
        <w:t>Each of Ivan G. Seidenberg, Jorma Ollila and Jane C. Sherburne, three of the individuals who are our independent directors following completion of the Business Combination, received a $150,000 annual payment in connection with their consultant service in 2020.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Following the closing of the Business Combination, our non-employee directors are entitled to the following compensation for their service on our board of directors: (i) an annual base retainer in the amount of $180,000, 50% of which will be paid in the form of restricted stock units and 50% of which will be paid in cash; (ii) a one-time grant of restricted stock units with a value of $50,000 upon initial appointment to the Board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will be pro-rated for the period between the closing of the Business Combination and the date of our first general annual stockholder meeting and will vest on the date of our first general annual stockholder meeting.</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and Board of Directors</w:t>
      </w:r>
    </w:p>
    <w:p>
      <w:pPr>
        <w:spacing w:after="0" w:line="234"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Below is a list of our executive officers and directors and their respective ages and a brief account of the business experience of each of them.</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3960" w:type="dxa"/>
            <w:vAlign w:val="bottom"/>
          </w:tcPr>
          <w:p>
            <w:pPr>
              <w:spacing w:after="0"/>
              <w:rPr>
                <w:sz w:val="21"/>
                <w:szCs w:val="21"/>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Age</w:t>
            </w:r>
          </w:p>
        </w:tc>
        <w:tc>
          <w:tcPr>
            <w:tcW w:w="56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89"/>
        </w:trPr>
        <w:tc>
          <w:tcPr>
            <w:tcW w:w="4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A. Weinberg</w:t>
            </w:r>
          </w:p>
        </w:tc>
        <w:tc>
          <w:tcPr>
            <w:tcW w:w="3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w:t>
            </w:r>
          </w:p>
        </w:tc>
        <w:tc>
          <w:tcPr>
            <w:tcW w:w="540" w:type="dxa"/>
            <w:vAlign w:val="bottom"/>
            <w:tcBorders>
              <w:top w:val="single" w:sz="8" w:color="CCEEFF"/>
            </w:tcBorders>
            <w:shd w:val="clear" w:color="auto" w:fill="CCEEFF"/>
          </w:tcPr>
          <w:p>
            <w:pPr>
              <w:spacing w:after="0"/>
              <w:rPr>
                <w:sz w:val="16"/>
                <w:szCs w:val="16"/>
                <w:color w:val="auto"/>
              </w:rPr>
            </w:pPr>
          </w:p>
        </w:tc>
        <w:tc>
          <w:tcPr>
            <w:tcW w:w="5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and Chief Executive Officer</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Joseph R. Perella</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79</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Chairman Emeritus</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K. Steel</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69</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Chairman</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Gary S. Barancik</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56</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Dietrich Becker</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Co-President and Director</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Andrew Bednar</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53</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Co-President and Director</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Vladimir Shendelman</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46</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Counsel</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Jorma Ollila</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70</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Ivan G. Seidenberg</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74</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Jane C. Sherburne</w:t>
            </w:r>
          </w:p>
        </w:tc>
        <w:tc>
          <w:tcPr>
            <w:tcW w:w="8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70</w:t>
            </w: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Daniel G. Cohen</w:t>
            </w: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51</w:t>
            </w: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w:t>
      </w:r>
    </w:p>
    <w:p>
      <w:pPr>
        <w:spacing w:after="0" w:line="18"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Mr. Weinberg is a Founding 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 in Business Administration from Harvard Business School.</w:t>
      </w:r>
    </w:p>
    <w:p>
      <w:pPr>
        <w:spacing w:after="0" w:line="1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i w:val="1"/>
          <w:iCs w:val="1"/>
          <w:color w:val="auto"/>
        </w:rPr>
        <w:t xml:space="preserve">Joseph R. Perella </w:t>
      </w:r>
      <w:r>
        <w:rPr>
          <w:rFonts w:ascii="Arial" w:cs="Arial" w:eastAsia="Arial" w:hAnsi="Arial"/>
          <w:sz w:val="18"/>
          <w:szCs w:val="18"/>
          <w:color w:val="auto"/>
        </w:rPr>
        <w:t>has served as our Chairman Emeritus since the closing of the Business Combination. Mr. Perella is a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PWP and 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 in Business Administration from Harvard Business School.</w:t>
      </w:r>
    </w:p>
    <w:p>
      <w:pPr>
        <w:spacing w:after="0" w:line="180"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b w:val="1"/>
          <w:bCs w:val="1"/>
          <w:i w:val="1"/>
          <w:iCs w:val="1"/>
          <w:color w:val="auto"/>
        </w:rPr>
        <w:t xml:space="preserve">Robert K. Steel </w:t>
      </w:r>
      <w:r>
        <w:rPr>
          <w:rFonts w:ascii="Arial" w:cs="Arial" w:eastAsia="Arial" w:hAnsi="Arial"/>
          <w:sz w:val="18"/>
          <w:szCs w:val="18"/>
          <w:color w:val="auto"/>
        </w:rPr>
        <w:t>has served as our Vice Chairman since the closing of the Business Combination. Mr. Steel is a Partner of PWP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served as PWP’s Chief 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From 1976 to 2004, he worked at Goldman Sachs, rising to Head of the Global Equities Division, Vice Chairman of the firm and a member of its Management Committee. Mr. Steel serves on the board of Cadence Bank. He earned a Bachelor of Arts from Duke University and a Master in Business Administration from the University of Chicago’s Booth School of Business.</w:t>
      </w:r>
    </w:p>
    <w:p>
      <w:pPr>
        <w:spacing w:after="0" w:line="18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Mr. Becker is a Founding Partner of PWP and has served as PWP’s Co-President since March 2020. Mr. Becker has over 29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 in Business Administration from New York University Stern Graduate School of Business.</w:t>
      </w:r>
    </w:p>
    <w:p>
      <w:pPr>
        <w:spacing w:after="0" w:line="185"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7"/>
          <w:szCs w:val="17"/>
          <w:b w:val="1"/>
          <w:bCs w:val="1"/>
          <w:i w:val="1"/>
          <w:iCs w:val="1"/>
          <w:color w:val="auto"/>
        </w:rPr>
        <w:t xml:space="preserve">Andrew Bednar </w:t>
      </w:r>
      <w:r>
        <w:rPr>
          <w:rFonts w:ascii="Arial" w:cs="Arial" w:eastAsia="Arial" w:hAnsi="Arial"/>
          <w:sz w:val="17"/>
          <w:szCs w:val="17"/>
          <w:color w:val="auto"/>
        </w:rPr>
        <w:t>has served as our Co-President and a member of our board of directors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Mr. Bednar is a Founding Partner of PWP and has served as PWP’s Co-President since March 2020. Mr. Bednar has over 20 years of investment banking experience. In addition to his current role, Mr. Bednar is a partner in PWP’s Advisory business where he served as Co-Head of PWP’s Advisory business in the U.S. until 2013. Prior to joining PWP in 2006, Mr. Bednar was Head of U.S.</w:t>
      </w:r>
    </w:p>
    <w:p>
      <w:pPr>
        <w:spacing w:after="0" w:line="1"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Mergers &amp; Acquisition at Bank of America and a member of the Investment Banking Executive Committee. Prior to that, he was a Managing Director at Goldman, Sachs &amp; Co. He began his career at Cravath, Swaine &amp; Moore LLP in 1994. Mr. Bednar earned a Bachelor of Science and a Master in Business Administration from Cornell University, and also received a Juris Doctor from Columbia University.</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i w:val="1"/>
          <w:iCs w:val="1"/>
          <w:color w:val="auto"/>
        </w:rPr>
        <w:t xml:space="preserve">Jorma Ollila </w:t>
      </w:r>
      <w:r>
        <w:rPr>
          <w:rFonts w:ascii="Arial" w:cs="Arial" w:eastAsia="Arial" w:hAnsi="Arial"/>
          <w:sz w:val="18"/>
          <w:szCs w:val="18"/>
          <w:color w:val="auto"/>
        </w:rPr>
        <w:t>has served as a member of our board of directors since the closing of the Business Combination. Mr. Ollila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Former 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Ivan G. Seidenberg </w:t>
      </w:r>
      <w:r>
        <w:rPr>
          <w:rFonts w:ascii="Arial" w:cs="Arial" w:eastAsia="Arial" w:hAnsi="Arial"/>
          <w:sz w:val="18"/>
          <w:szCs w:val="18"/>
          <w:color w:val="auto"/>
        </w:rPr>
        <w:t>has served as a member of our board of directors since the closing of the Business Combination.</w:t>
      </w:r>
    </w:p>
    <w:p>
      <w:pPr>
        <w:spacing w:after="0" w:line="1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Mr. Seidenberg serves on the board of directors of MSGS,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81" w:lineRule="exact"/>
        <w:rPr>
          <w:sz w:val="20"/>
          <w:szCs w:val="20"/>
          <w:color w:val="auto"/>
        </w:rPr>
      </w:pPr>
    </w:p>
    <w:p>
      <w:pPr>
        <w:ind w:left="120" w:right="1100" w:firstLine="551"/>
        <w:spacing w:after="0" w:line="271" w:lineRule="auto"/>
        <w:rPr>
          <w:sz w:val="20"/>
          <w:szCs w:val="20"/>
          <w:color w:val="auto"/>
        </w:rPr>
      </w:pPr>
      <w:r>
        <w:rPr>
          <w:rFonts w:ascii="Arial" w:cs="Arial" w:eastAsia="Arial" w:hAnsi="Arial"/>
          <w:sz w:val="18"/>
          <w:szCs w:val="18"/>
          <w:b w:val="1"/>
          <w:bCs w:val="1"/>
          <w:i w:val="1"/>
          <w:iCs w:val="1"/>
          <w:color w:val="auto"/>
        </w:rPr>
        <w:t xml:space="preserve">Jane C. Sherburne </w:t>
      </w:r>
      <w:r>
        <w:rPr>
          <w:rFonts w:ascii="Arial" w:cs="Arial" w:eastAsia="Arial" w:hAnsi="Arial"/>
          <w:sz w:val="18"/>
          <w:szCs w:val="18"/>
          <w:color w:val="auto"/>
        </w:rPr>
        <w:t>has served as a member of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Sherburne is Principal of Sherburne PLLC. Ms. Sherburne has over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Trustee of the New York City Bar Fund, a member of the Committee for Economic Development, and a member of the American Law Institute. Ms. Sherburne also serves on the Council of the Administrative Conference of the United States, to which she was appointed by President Obama in July 2010. Ms. Sherburne earned a Bachelor of Arts and Master of Social Work from the University of Minnesota and a Juris Doctor from Georgetown University Law Center.</w:t>
      </w:r>
    </w:p>
    <w:p>
      <w:pPr>
        <w:spacing w:after="0" w:line="181" w:lineRule="exact"/>
        <w:rPr>
          <w:sz w:val="20"/>
          <w:szCs w:val="20"/>
          <w:color w:val="auto"/>
        </w:rPr>
      </w:pPr>
    </w:p>
    <w:p>
      <w:pPr>
        <w:ind w:left="120" w:right="100" w:firstLine="551"/>
        <w:spacing w:after="0" w:line="262" w:lineRule="auto"/>
        <w:rPr>
          <w:sz w:val="20"/>
          <w:szCs w:val="20"/>
          <w:color w:val="auto"/>
        </w:rPr>
      </w:pPr>
      <w:r>
        <w:rPr>
          <w:rFonts w:ascii="Arial" w:cs="Arial" w:eastAsia="Arial" w:hAnsi="Arial"/>
          <w:sz w:val="17"/>
          <w:szCs w:val="17"/>
          <w:b w:val="1"/>
          <w:bCs w:val="1"/>
          <w:i w:val="1"/>
          <w:iCs w:val="1"/>
          <w:color w:val="auto"/>
        </w:rPr>
        <w:t xml:space="preserve">Daniel G. Cohen </w:t>
      </w:r>
      <w:r>
        <w:rPr>
          <w:rFonts w:ascii="Arial" w:cs="Arial" w:eastAsia="Arial" w:hAnsi="Arial"/>
          <w:sz w:val="17"/>
          <w:szCs w:val="17"/>
          <w:color w:val="auto"/>
        </w:rPr>
        <w:t>has served as a member of our board of directors since the closing of the Business Combination. Mr. Cohen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FTIV’s Chief Executive Officer from May 2019 until the closing of the Business Combination, Chief Executive Officer of FinTech</w:t>
      </w:r>
    </w:p>
    <w:p>
      <w:pPr>
        <w:ind w:left="120" w:hanging="4"/>
        <w:spacing w:after="0" w:line="235" w:lineRule="auto"/>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w:t>
      </w:r>
      <w:r>
        <w:rPr>
          <w:rFonts w:ascii="Arial" w:cs="Arial" w:eastAsia="Arial" w:hAnsi="Arial"/>
          <w:sz w:val="18"/>
          <w:szCs w:val="18"/>
          <w:u w:val="single" w:color="auto"/>
          <w:color w:val="auto"/>
        </w:rPr>
        <w:t>JVB</w:t>
      </w:r>
      <w:r>
        <w:rPr>
          <w:rFonts w:ascii="Arial" w:cs="Arial" w:eastAsia="Arial" w:hAnsi="Arial"/>
          <w:sz w:val="18"/>
          <w:szCs w:val="18"/>
          <w:color w:val="auto"/>
        </w:rPr>
        <w:t>”), from July 19, 2012 to September 16, 2013. Mr. Cohen previously served as Chief Executive Officer of RAIT from December 2006, when it merged with Taberna Realty Finance Trust, to February 2009, and served as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4" w:lineRule="exact"/>
        <w:rPr>
          <w:sz w:val="20"/>
          <w:szCs w:val="20"/>
          <w:color w:val="auto"/>
        </w:rPr>
      </w:pPr>
    </w:p>
    <w:p>
      <w:pPr>
        <w:ind w:left="120" w:right="7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Chief Executive Officer since the closing of the Business Combination. Biographical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for Mr. Weinberg is set forth above under “</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5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i w:val="1"/>
          <w:iCs w:val="1"/>
          <w:color w:val="auto"/>
        </w:rPr>
        <w:t xml:space="preserve">Gary S. Barancik </w:t>
      </w:r>
      <w:r>
        <w:rPr>
          <w:rFonts w:ascii="Arial" w:cs="Arial" w:eastAsia="Arial" w:hAnsi="Arial"/>
          <w:sz w:val="18"/>
          <w:szCs w:val="18"/>
          <w:color w:val="auto"/>
        </w:rPr>
        <w:t>has served as our Chief Financial Officer since the closing of the Business Combination. Mr. Barancik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Chief Financial Officer since 2018. Mr. Barancik has approximately 30 years of investment banking experience. Prior to his current role, Mr. Barancik was a partner in PWP’s Advisory business where he was Co-Chair of the Firm’s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 in Business Administration from the Wharton School at the University of Pennsylvania.</w:t>
      </w:r>
    </w:p>
    <w:p>
      <w:pPr>
        <w:spacing w:after="0" w:line="185"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since the closing of the Business Combination. Biographical information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Becker is set forth under “</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54"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since the closing of the Business Combination. Biographical information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Bednar is set forth under “</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5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Vladimir Shendelman </w:t>
      </w:r>
      <w:r>
        <w:rPr>
          <w:rFonts w:ascii="Arial" w:cs="Arial" w:eastAsia="Arial" w:hAnsi="Arial"/>
          <w:sz w:val="18"/>
          <w:szCs w:val="18"/>
          <w:color w:val="auto"/>
        </w:rPr>
        <w:t>has served as our General Counsel since the closing of the Business Combination. Mr. Shendelman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and has served as 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 Shendelman worked as an associate at Davis Polk &amp; Wardwell LLP in their Mergers &amp; Acquisitions, Capital Markets and Investment Management groups. Mr. Shendelman earned a Bachelor of Arts in Economics from Brandeis University and a Juris Doctor from the University of Virginia School of Law.</w:t>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Composition</w:t>
      </w:r>
    </w:p>
    <w:p>
      <w:pPr>
        <w:spacing w:after="0" w:line="23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Second Amended and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203"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Our board of directors is divided into three classes of nearly equal size. The initial terms of the Class I, Class II and Class III directors will expire at our 2022, 2023 and 2024 annual meetings of our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205"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Combination—Related Agreements—Stockholders Agreement</w:t>
      </w:r>
      <w:r>
        <w:rPr>
          <w:rFonts w:ascii="Arial" w:cs="Arial" w:eastAsia="Arial" w:hAnsi="Arial"/>
          <w:sz w:val="18"/>
          <w:szCs w:val="18"/>
          <w:color w:val="auto"/>
        </w:rPr>
        <w:t>.”</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Second Amended and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that (i) a majority of our board of directors consist of independent directors and (ii) that our board of directors have compensation and nominating and corporate governance committees composed entirely of independent directors, as independence is defined in Rule 10A-3 of the Exchange Act and under the listing standards.</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Board Committees</w:t>
      </w:r>
    </w:p>
    <w:p>
      <w:pPr>
        <w:spacing w:after="0" w:line="234"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08" w:lineRule="exact"/>
        <w:rPr>
          <w:sz w:val="20"/>
          <w:szCs w:val="20"/>
          <w:color w:val="auto"/>
        </w:rPr>
      </w:pPr>
    </w:p>
    <w:p>
      <w:pPr>
        <w:ind w:left="880" w:right="360" w:hanging="224"/>
        <w:spacing w:after="0" w:line="24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00" w:hanging="224"/>
        <w:spacing w:after="0" w:line="24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17"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We believe that the functioning of our audit committee will comply with the applicable requirements of Nasdaq and SEC rules and regulations.</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board of directors has considered the independence and other characteristics of each member of the audit committee. Audit committee members must satisfy Nasdaq independence requirements and additional independence criteria set forth under Rule 10A-3 of the Exchange Act. In addition, Nasdaq requires that, subject to specified exceptions, including certain phase-in rules, each member of a listed company’s audit committee be independent and that audit committee members also satisfy independence criteria set forth in Rule 10A-3. In order to be considered independent for purposes of Rule 10A-3, an audit committee member may not, other than in his or her capacity as a member of the board, accept consulting, advisory or other fees from us or be an affiliated person of our board of directors. We have determined that Ivan G. Seidenberg, Jorma Ollila and Jane C. Sherburne qualify as independent directors pursuant to Nasdaq rules and Rule 10A-3.</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02" w:lineRule="exact"/>
        <w:rPr>
          <w:sz w:val="20"/>
          <w:szCs w:val="20"/>
          <w:color w:val="auto"/>
        </w:rPr>
      </w:pPr>
    </w:p>
    <w:p>
      <w:pPr>
        <w:ind w:left="880" w:right="120" w:hanging="224"/>
        <w:spacing w:after="0" w:line="24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recommending policies, plans and programs relating to compensation and benefits of our directors, officers and employees;</w:t>
      </w:r>
    </w:p>
    <w:p>
      <w:pPr>
        <w:spacing w:after="0" w:line="102"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recommending compensation and the corporate goals and objectives relevant to compensation of our Chief Executive Officer;</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02" w:lineRule="exact"/>
        <w:rPr>
          <w:rFonts w:ascii="Arial" w:cs="Arial" w:eastAsia="Arial" w:hAnsi="Arial"/>
          <w:sz w:val="18"/>
          <w:szCs w:val="18"/>
          <w:color w:val="auto"/>
        </w:rPr>
      </w:pPr>
    </w:p>
    <w:p>
      <w:pPr>
        <w:ind w:left="880" w:right="760" w:hanging="224"/>
        <w:spacing w:after="0" w:line="24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executive officers in light of established goals and objectives;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320" w:top="459" w:right="5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205" w:lineRule="exact"/>
        <w:rPr>
          <w:sz w:val="20"/>
          <w:szCs w:val="20"/>
          <w:color w:val="auto"/>
        </w:rPr>
      </w:pPr>
    </w:p>
    <w:p>
      <w:pPr>
        <w:jc w:val="both"/>
        <w:ind w:left="120" w:right="240" w:firstLine="551"/>
        <w:spacing w:after="0"/>
        <w:rPr>
          <w:sz w:val="20"/>
          <w:szCs w:val="20"/>
          <w:color w:val="auto"/>
        </w:rPr>
      </w:pPr>
      <w:r>
        <w:rPr>
          <w:rFonts w:ascii="Arial" w:cs="Arial" w:eastAsia="Arial" w:hAnsi="Arial"/>
          <w:sz w:val="18"/>
          <w:szCs w:val="18"/>
          <w:color w:val="auto"/>
        </w:rPr>
        <w:t>We have four “independent directors” as defined in Nasdaq rules and applicable SEC rules. We have determined that Mr. Ollila, Mr. Seidenberg, Ms. Sherburne and Mr. Cohen are “independent” as that term is defined under Nasdaq rules for purposes of serving on our board of directors.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The inclusion of our website in this prospectus does not include or incorporate by reference the information on, or that can be accessed through, our website into this prospectus.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34" w:lineRule="exact"/>
        <w:rPr>
          <w:sz w:val="20"/>
          <w:szCs w:val="20"/>
          <w:color w:val="auto"/>
        </w:rPr>
      </w:pPr>
    </w:p>
    <w:p>
      <w:pPr>
        <w:ind w:left="120" w:right="380" w:firstLine="551"/>
        <w:spacing w:after="0" w:line="238" w:lineRule="auto"/>
        <w:rPr>
          <w:sz w:val="20"/>
          <w:szCs w:val="20"/>
          <w:color w:val="auto"/>
        </w:rPr>
      </w:pPr>
      <w:r>
        <w:rPr>
          <w:rFonts w:ascii="Arial" w:cs="Arial" w:eastAsia="Arial" w:hAnsi="Arial"/>
          <w:sz w:val="18"/>
          <w:szCs w:val="18"/>
          <w:color w:val="auto"/>
        </w:rPr>
        <w:t>The following summary of certain material terms of our securities is not intended to be a complete summary of the rights and preferences of such securities. You should refer to our Second Amended and Restated Certificate of Incorporation, Amended and Restated Bylaws and the warrant agreement, which are included as exhibits to the registration statement of which this prospectus is a part. The summary below is also qualified by reference to the provisions of the DGCL, as applicable.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and Outstanding Stock</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authorized capital stock consists of 2,200,000,000 shares, consisting of (a) 2,100,000,000 shares of common stock including (i) 1,500,000,000 shares of Class A common stock, par value $0.0001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(ii) 300,000,000 shares of Class B-1 common stock, par value $0.0001 per share (the “</w:t>
      </w:r>
      <w:r>
        <w:rPr>
          <w:rFonts w:ascii="Arial" w:cs="Arial" w:eastAsia="Arial" w:hAnsi="Arial"/>
          <w:sz w:val="18"/>
          <w:szCs w:val="18"/>
          <w:u w:val="single" w:color="auto"/>
          <w:color w:val="auto"/>
        </w:rPr>
        <w:t>Class B-1 common stock</w:t>
      </w:r>
      <w:r>
        <w:rPr>
          <w:rFonts w:ascii="Arial" w:cs="Arial" w:eastAsia="Arial" w:hAnsi="Arial"/>
          <w:sz w:val="18"/>
          <w:szCs w:val="18"/>
          <w:color w:val="auto"/>
        </w:rPr>
        <w:t>”), and (iii) 300,000,000 shares of Class B-2 common stock, par value $0.0001 per share (the “</w:t>
      </w:r>
      <w:r>
        <w:rPr>
          <w:rFonts w:ascii="Arial" w:cs="Arial" w:eastAsia="Arial" w:hAnsi="Arial"/>
          <w:sz w:val="18"/>
          <w:szCs w:val="18"/>
          <w:u w:val="single" w:color="auto"/>
          <w:color w:val="auto"/>
        </w:rPr>
        <w:t>Class B-2 common stock</w:t>
      </w:r>
      <w:r>
        <w:rPr>
          <w:rFonts w:ascii="Arial" w:cs="Arial" w:eastAsia="Arial" w:hAnsi="Arial"/>
          <w:sz w:val="18"/>
          <w:szCs w:val="18"/>
          <w:color w:val="auto"/>
        </w:rPr>
        <w:t>” and together with the Class B-1 Common stock, the “</w:t>
      </w:r>
      <w:r>
        <w:rPr>
          <w:rFonts w:ascii="Arial" w:cs="Arial" w:eastAsia="Arial" w:hAnsi="Arial"/>
          <w:sz w:val="18"/>
          <w:szCs w:val="18"/>
          <w:u w:val="single" w:color="auto"/>
          <w:color w:val="auto"/>
        </w:rPr>
        <w:t>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and (b) 100,000,000 shares of preferred stock, par value $0.0001 per share. Unless our board of directors determines otherwise, we will issue all shares of our capital stock in uncertificated form.</w:t>
      </w:r>
    </w:p>
    <w:p>
      <w:pPr>
        <w:spacing w:after="0" w:line="205"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7"/>
          <w:szCs w:val="17"/>
          <w:color w:val="auto"/>
        </w:rPr>
        <w:t>As of June 30, 2021, our issued and outstanding share capital consisted of: (i) 42,956,667 shares of Class A common stock, (ii) 45,608,840 shares of Class B-1 Common Stock, (iii) 4,545,359 shares of Class B-2 Common Stock, (iv) no shares of preferred stock and</w:t>
      </w:r>
    </w:p>
    <w:p>
      <w:pPr>
        <w:spacing w:after="0" w:line="1" w:lineRule="exact"/>
        <w:rPr>
          <w:sz w:val="20"/>
          <w:szCs w:val="20"/>
          <w:color w:val="auto"/>
        </w:rPr>
      </w:pPr>
    </w:p>
    <w:p>
      <w:pPr>
        <w:ind w:left="120" w:right="260" w:hanging="4"/>
        <w:spacing w:after="0" w:line="246"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7,870,000 warrants, consisting of 7,666,666.67 public warrants and 203,333.33 private warrants. Such numbers do not include DTC participants or beneficial owners holding shares through nominee names.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Holders of our Class A common stock are entitled to one vote for each share held of record on all matters submitted to a vote of stockholders. Our Class A stockholders do not have cumulative voting rights. Except as otherwise required in our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Second Amended and Restated Certificate of Incorporation or by applicable law, the holders of Class A common stock and Class B common stock will each be entitled to vote separately as a class only with respect to amendments to our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6"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our Class A common stock do not have preemptive or subscription rights.</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Upon the terms and subject to the conditions of the agreement of limited partnership of PWP OpCo,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Pursuant to the Sponsor Share Surrender and Share Restriction Agreement, the Placement Shares and founder shares held by the Sponsor and offered pursuant to this prospectus are subject to certain restrictions on transfer. See “</w:t>
      </w:r>
      <w:r>
        <w:rPr>
          <w:rFonts w:ascii="Arial" w:cs="Arial" w:eastAsia="Arial" w:hAnsi="Arial"/>
          <w:sz w:val="18"/>
          <w:szCs w:val="18"/>
          <w:i w:val="1"/>
          <w:iCs w:val="1"/>
          <w:color w:val="auto"/>
        </w:rPr>
        <w:t>Business Combination—Related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Agreements—Sponsor Share Surrender and Share Restriction Agreement</w:t>
      </w:r>
      <w:r>
        <w:rPr>
          <w:rFonts w:ascii="Arial" w:cs="Arial" w:eastAsia="Arial" w:hAnsi="Arial"/>
          <w:sz w:val="18"/>
          <w:szCs w:val="18"/>
          <w:color w:val="auto"/>
        </w:rPr>
        <w:t>” for additional information.</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Class B Common Stock</w:t>
      </w:r>
    </w:p>
    <w:p>
      <w:pPr>
        <w:spacing w:after="0" w:line="234"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Following the filing of our Second Amended and Restated Certificate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18"/>
          <w:szCs w:val="18"/>
          <w:u w:val="single" w:color="auto"/>
          <w:color w:val="auto"/>
        </w:rPr>
        <w:t>Pre-Business Combination 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into one share of Class A Common Stock and the number of authorized shares of Pre-Business Combination Class B Common Stock was reduced to zero.</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Second Amended and Restated Certificate of Incorporation or by applicable law, the holders of Class A common stock and Class B common stock will each be entitled to vote separately as a class only with respect to amendments to our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basis with the holders of our Class A common stock, such dividend or other distribution on the Class A common stock when, as and</w:t>
      </w:r>
      <w:r>
        <w:rPr>
          <w:rFonts w:ascii="Arial" w:cs="Arial" w:eastAsia="Arial" w:hAnsi="Arial"/>
          <w:sz w:val="18"/>
          <w:szCs w:val="18"/>
          <w:i w:val="1"/>
          <w:iCs w:val="1"/>
          <w:color w:val="auto"/>
        </w:rPr>
        <w:t xml:space="preserve"> </w:t>
      </w:r>
      <w:r>
        <w:rPr>
          <w:rFonts w:ascii="Arial" w:cs="Arial" w:eastAsia="Arial" w:hAnsi="Arial"/>
          <w:sz w:val="18"/>
          <w:szCs w:val="18"/>
          <w:color w:val="auto"/>
        </w:rPr>
        <w:t>if declared by our board of directors out of our assets or funds legally available therefor.</w:t>
      </w:r>
    </w:p>
    <w:p>
      <w:pPr>
        <w:spacing w:after="0" w:line="205"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our Class B common stock do not have preemptive or subscription rights.</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Our Second Amended and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10"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voting powers, full or limited, or no voting powers of such class or series;</w:t>
      </w:r>
    </w:p>
    <w:p>
      <w:pPr>
        <w:spacing w:after="0" w:line="117"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designations, preferences and relative, participating, optional or other special rights and such qualifications, limitations or restrictions thereof, of such class or series;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such class or series;</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related dividend rates, conditions and times for payment and preferences of such class or series;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rights of such class or series upon our dissolution or upon any distribution of our assets;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20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Each whole warrant entitles the registered holder to purchase one whole share of our Class A common stock at a price of $11.50 per share, subject to adjustment as discussed below, at any time commencing 30 days after the closing of the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of the Business Combination,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Cash</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17" w:lineRule="exact"/>
        <w:rPr>
          <w:sz w:val="20"/>
          <w:szCs w:val="20"/>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22"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w:t>
      </w:r>
    </w:p>
    <w:p>
      <w:pPr>
        <w:spacing w:after="0" w:line="218" w:lineRule="exact"/>
        <w:rPr>
          <w:sz w:val="20"/>
          <w:szCs w:val="20"/>
          <w:color w:val="auto"/>
        </w:rPr>
      </w:pPr>
    </w:p>
    <w:p>
      <w:pPr>
        <w:ind w:left="120" w:right="160" w:hanging="4"/>
        <w:spacing w:after="0" w:line="237" w:lineRule="auto"/>
        <w:tabs>
          <w:tab w:leader="none" w:pos="4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entered into with Continental Stock Transfer &amp; Trust Company and assumed by American Stock Transfer &amp; Trust Company,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closing of the Business Combination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has agreed not to transfer, assign or sell any of the private placement warrants (including the Class A common stock issuable upon exercise of any of these warrants) until the date that is 30 days after the closing of the Business Combination, except that, among other limited exceptions, made to our officers and directors and other persons or entities affiliated with or related to our sponsor, each of which will be subject to the same transfer restrictions.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the</w:t>
      </w:r>
    </w:p>
    <w:p>
      <w:pPr>
        <w:ind w:left="120"/>
        <w:spacing w:after="0" w:line="234" w:lineRule="auto"/>
        <w:rPr>
          <w:sz w:val="20"/>
          <w:szCs w:val="20"/>
          <w:color w:val="auto"/>
        </w:rPr>
      </w:pPr>
      <w:r>
        <w:rPr>
          <w:rFonts w:ascii="Arial" w:cs="Arial" w:eastAsia="Arial" w:hAnsi="Arial"/>
          <w:sz w:val="18"/>
          <w:szCs w:val="18"/>
          <w:color w:val="auto"/>
        </w:rPr>
        <w:t>Nasdaq, which will apply so long as the Class A common stock remains listed on the Nasdaq, require stockholder approval of certain</w:t>
      </w:r>
    </w:p>
    <w:p>
      <w:pPr>
        <w:ind w:left="120"/>
        <w:spacing w:after="0" w:line="235" w:lineRule="auto"/>
        <w:rPr>
          <w:sz w:val="20"/>
          <w:szCs w:val="20"/>
          <w:color w:val="auto"/>
        </w:rPr>
      </w:pPr>
      <w:r>
        <w:rPr>
          <w:rFonts w:ascii="Arial" w:cs="Arial" w:eastAsia="Arial" w:hAnsi="Arial"/>
          <w:sz w:val="18"/>
          <w:szCs w:val="18"/>
          <w:color w:val="auto"/>
        </w:rPr>
        <w:t>issuances of capital stock equal to or exceeding 20% of the then outstanding voting power or then outstanding number of shares of</w:t>
      </w:r>
    </w:p>
    <w:p>
      <w:pPr>
        <w:ind w:left="120"/>
        <w:spacing w:after="0" w:line="235" w:lineRule="auto"/>
        <w:rPr>
          <w:sz w:val="20"/>
          <w:szCs w:val="20"/>
          <w:color w:val="auto"/>
        </w:rPr>
      </w:pPr>
      <w:r>
        <w:rPr>
          <w:rFonts w:ascii="Arial" w:cs="Arial" w:eastAsia="Arial" w:hAnsi="Arial"/>
          <w:sz w:val="18"/>
          <w:szCs w:val="18"/>
          <w:color w:val="auto"/>
        </w:rPr>
        <w:t>Class A common stock. These additional shares may be used for a variety of corporate purposes, including future public offerings, to raise</w:t>
      </w:r>
    </w:p>
    <w:p>
      <w:pPr>
        <w:ind w:left="120"/>
        <w:spacing w:after="0"/>
        <w:rPr>
          <w:sz w:val="20"/>
          <w:szCs w:val="20"/>
          <w:color w:val="auto"/>
        </w:rPr>
      </w:pPr>
      <w:r>
        <w:rPr>
          <w:rFonts w:ascii="Arial" w:cs="Arial" w:eastAsia="Arial" w:hAnsi="Arial"/>
          <w:sz w:val="18"/>
          <w:szCs w:val="18"/>
          <w:color w:val="auto"/>
        </w:rPr>
        <w:t>additional capital or to facilitate acquisitions.</w:t>
      </w:r>
    </w:p>
    <w:p>
      <w:pPr>
        <w:spacing w:after="0" w:line="21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Opportunities</w:t>
      </w:r>
    </w:p>
    <w:p>
      <w:pPr>
        <w:spacing w:after="0" w:line="234"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Our Second Amended and Restated Certificate of Incorporation contains provisions which provide that in the event that a director or officer of the Company, PWP OpCo or any of their respective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subsidiaries who is also a partner, principal, director, officer, member, manager, employee, consultant, independent contractor and/or other service provider of any of the Ownership Group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Forum Selection Clause</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289" w:lineRule="exact"/>
        <w:rPr>
          <w:sz w:val="20"/>
          <w:szCs w:val="20"/>
          <w:color w:val="auto"/>
        </w:rPr>
      </w:pPr>
    </w:p>
    <w:p>
      <w:pPr>
        <w:jc w:val="center"/>
        <w:ind w:left="460" w:right="140"/>
        <w:spacing w:after="0" w:line="271" w:lineRule="auto"/>
        <w:rPr>
          <w:sz w:val="20"/>
          <w:szCs w:val="20"/>
          <w:color w:val="auto"/>
        </w:rPr>
      </w:pPr>
      <w:r>
        <w:rPr>
          <w:rFonts w:ascii="Arial" w:cs="Arial" w:eastAsia="Arial" w:hAnsi="Arial"/>
          <w:sz w:val="18"/>
          <w:szCs w:val="18"/>
          <w:b w:val="1"/>
          <w:bCs w:val="1"/>
          <w:color w:val="auto"/>
        </w:rPr>
        <w:t>Anti-Takeover Effects of Provisions of Delaware Law, Our Second Amended and Restated Certificate of Incorporation and the Stockholders Agreement</w:t>
      </w:r>
    </w:p>
    <w:p>
      <w:pPr>
        <w:spacing w:after="0" w:line="17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Our Second Amended and Restated Certificate of Incorporation and bylaws contain provisions that are intended to enhance the likelihood of continuity and stability in the composition of the board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8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Second Amended and Restated Certificate of Incorporation provides that our board of directors will be divided into three classes that will be, as nearly as may be possible, of equal size. The initial terms of the Class I, Class II and Class III 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The Class I directors include Mr. Perella, Mr. Seidenberg and Mr. Cohen, the Class II directors include Mr. Ollila, Mr. Steel and Mr. Bednar, and the Class III directors include Mr. Weinberg, Ms. Sherburne and Mr. Becker.</w:t>
      </w:r>
    </w:p>
    <w:p>
      <w:pPr>
        <w:spacing w:after="0" w:line="205"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Second Amended and Restated Certificate of Incorporation provides that as long as the Class B Condition is satisfied, each holder of Class B-1 common stock shall be entitled to ten votes per share.</w:t>
      </w:r>
    </w:p>
    <w:p>
      <w:pPr>
        <w:spacing w:after="0" w:line="20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Our Second Amended and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in connection with the closing of the Business Combination,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20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addition, there is no cumulative voting in the election of directors and our Second Amended and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 xml:space="preserve">voting power of the shares entitled to vote in connection with the election of our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foregoing provisions of our Second Amended and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which are in addition to our indemnification obligations under our Second Amended and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Transfer Agent and Warrant Agent</w:t>
      </w:r>
    </w:p>
    <w:p>
      <w:pPr>
        <w:spacing w:after="0" w:line="234"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The transfer agent for our Class A Common Stock and warrant agent for the Public Warrants and Private Placement Warrants is American Stock Transfer &amp; Trust Company, LLC.</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Our Class A common stock and warrants are traded on the Nasdaq Capital Market under the symbols “PWP” and “PWPPW,” respectively.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ACT RESTRICTIONS ON RESALE OF SECURITIES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7"/>
          <w:szCs w:val="17"/>
          <w:color w:val="auto"/>
        </w:rPr>
        <w:t>Pursuant to Rule 144 under the Securities Act (“</w:t>
      </w:r>
      <w:r>
        <w:rPr>
          <w:rFonts w:ascii="Arial" w:cs="Arial" w:eastAsia="Arial" w:hAnsi="Arial"/>
          <w:sz w:val="17"/>
          <w:szCs w:val="17"/>
          <w:u w:val="single" w:color="auto"/>
          <w:color w:val="auto"/>
        </w:rPr>
        <w:t>Rule 144</w:t>
      </w:r>
      <w:r>
        <w:rPr>
          <w:rFonts w:ascii="Arial" w:cs="Arial" w:eastAsia="Arial" w:hAnsi="Arial"/>
          <w:sz w:val="17"/>
          <w:szCs w:val="17"/>
          <w:color w:val="auto"/>
        </w:rPr>
        <w:t>”), a person who has beneficially owned restricted shares of our common stock or our warrants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90" w:lineRule="exact"/>
        <w:rPr>
          <w:sz w:val="20"/>
          <w:szCs w:val="20"/>
          <w:color w:val="auto"/>
        </w:rPr>
      </w:pPr>
    </w:p>
    <w:p>
      <w:pPr>
        <w:ind w:left="120" w:right="60" w:firstLine="551"/>
        <w:spacing w:after="0" w:line="261" w:lineRule="auto"/>
        <w:rPr>
          <w:sz w:val="20"/>
          <w:szCs w:val="20"/>
          <w:color w:val="auto"/>
        </w:rPr>
      </w:pPr>
      <w:r>
        <w:rPr>
          <w:rFonts w:ascii="Arial" w:cs="Arial" w:eastAsia="Arial" w:hAnsi="Arial"/>
          <w:sz w:val="17"/>
          <w:szCs w:val="17"/>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1"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 of the total number of shares of our common stock then outstanding; or</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w:t>
      </w:r>
    </w:p>
    <w:p>
      <w:pPr>
        <w:spacing w:after="0" w:line="197"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3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08" w:lineRule="exact"/>
        <w:rPr>
          <w:sz w:val="20"/>
          <w:szCs w:val="20"/>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8" w:lineRule="exact"/>
        <w:rPr>
          <w:rFonts w:ascii="Arial" w:cs="Arial" w:eastAsia="Arial" w:hAnsi="Arial"/>
          <w:sz w:val="18"/>
          <w:szCs w:val="18"/>
          <w:color w:val="auto"/>
        </w:rPr>
      </w:pPr>
    </w:p>
    <w:p>
      <w:pPr>
        <w:ind w:left="880" w:right="460" w:hanging="224"/>
        <w:spacing w:after="0" w:line="246"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As of June 30, 2021, we had 42,956,667 shares of Class A common stock outstanding. Of these shares, 23,610,000 shares sold in our IPO are freely tradable without restriction or further registration under the Securities Act, except for any shares purchased by one of our affiliates within the meaning of Rule 144. All of the 6,846,667 founder shares owned by the Sponsor are restricted securities under Rule 144, in that they were issued in private transactions not involving a public offering. All of the 12,500,000 PIPE Shares we issued to the PIPE Investors pursuant to the Subscription Agreements are also restricted securities for purposes of Rule 144. The registration statement of which this prospectus is a part registers for resale all of the founder shares, Placement Shares and PIPE Shares, and we are obligated to maintain the effectiveness of such registration statement in accordance with the terms and conditions of the Amended and Restated Registration Rights Agreement or applicable Subscription Agreements.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of the date of this prospectus, there are 7,870,000 warrants outstanding, consisting of 7,666,666.67 public warrants originally sold as part of the units issued in FTIV’s IPO and 203,333.33 private placement warrants that were sold by FTIV to the Sponsor in a private placement prior to the IPO. Each warrant is exercisable for one share of our Class A common stock, in accordance with the terms of the warrant agreement governing the warrants. The public warrants are freely tradable. In addition, we have filed the registration statement of which this prospectus is a part under the Securities Act covering the 7,870,000 shares of our Class A common stock that may be issued upon exercise of the warrants and resales by the Selling Holders of the 203,333.33 private placement warrants, and we are obligated to maintain the effectiveness of such registration statement until the expiration or redemption of the warrants.</w:t>
      </w:r>
    </w:p>
    <w:p>
      <w:pPr>
        <w:spacing w:after="0" w:line="203"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 Agreements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 and Placement Shares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Upon completion of the Business Combination, our founder shares automatically converted from Class B common stock into shares of Class A common stock. As of the date of this prospectus, the Sponsor owns 6,846,667 founder shares. The Sponsor also owns 610,000 Placement Shares. Pursuant to the Sponsor Share Surrender and Share Restriction Agreement, as amended, the 6,846,667 founder shares and 610,000 Placement Shares held by the Sponsor are subject to transfer restrictions for six months following the closing of the Business Combination and 80% of the founder shares held by the Sponsor will also be subject to vesting conditions based on certain closing share price thresholds of the Company’s Class A common stock for 20 out of any 30 consecutive trading days.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Combination—Related Agreements—Sponsor Share Surrender and Share Restriction Agreement</w:t>
      </w:r>
      <w:r>
        <w:rPr>
          <w:rFonts w:ascii="Arial" w:cs="Arial" w:eastAsia="Arial" w:hAnsi="Arial"/>
          <w:sz w:val="18"/>
          <w:szCs w:val="18"/>
          <w:color w:val="auto"/>
        </w:rPr>
        <w:t>” for additional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OpCo Class A Partnership Units</w:t>
      </w:r>
    </w:p>
    <w:p>
      <w:pPr>
        <w:spacing w:after="0" w:line="126"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7"/>
          <w:szCs w:val="17"/>
          <w:color w:val="auto"/>
        </w:rPr>
        <w:t>Subject to the exchange procedures and restrictions set forth in the PWP OpCo LPA and described below, and any other procedures or restrictions imposed by us, holders of PWP OpCo Class A partnership units (other than us) may exchange these units for</w:t>
      </w:r>
    </w:p>
    <w:p>
      <w:pPr>
        <w:spacing w:after="0" w:line="1" w:lineRule="exact"/>
        <w:rPr>
          <w:sz w:val="20"/>
          <w:szCs w:val="20"/>
          <w:color w:val="auto"/>
        </w:rPr>
      </w:pPr>
    </w:p>
    <w:p>
      <w:pPr>
        <w:ind w:left="120" w:hanging="4"/>
        <w:spacing w:after="0" w:line="248" w:lineRule="auto"/>
        <w:tabs>
          <w:tab w:leader="none" w:pos="33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Legacy Partners, are 180 days after Closing; and</w:t>
      </w:r>
    </w:p>
    <w:p>
      <w:pPr>
        <w:spacing w:after="0" w:line="3" w:lineRule="exact"/>
        <w:rPr>
          <w:rFonts w:ascii="Arial" w:cs="Arial" w:eastAsia="Arial" w:hAnsi="Arial"/>
          <w:sz w:val="17"/>
          <w:szCs w:val="17"/>
          <w:color w:val="auto"/>
        </w:rPr>
      </w:pPr>
    </w:p>
    <w:p>
      <w:pPr>
        <w:ind w:left="120" w:right="160" w:hanging="4"/>
        <w:spacing w:after="0" w:line="255" w:lineRule="auto"/>
        <w:tabs>
          <w:tab w:leader="none" w:pos="39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for Working Partners, are between three to five years after the Closing), (ii) PWP OpCo Class A partnership units held by ILPs that existed at the time of the Business Combination are subject to such restriction for 180 days after the Closing, and (iii) any other outstanding PWP OpCo Class A partnership units not previously covered by clauses (i) and (ii) above are subject to such restriction for a period of twelve months following the date on which such PWP OpCo Class A partnership units were acquired. PWP GP may waive the foregoing restrictions for any holder with respect to all or a portion of such holder’s units, with no obligation to do so for any other holder.</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S-8 Registration Statement</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shares of Class A common stock issued or issuable under our Incentive Plan. Any such Form S-8 registration statement will become effective automatically upon filing. We expect that the initial registration statement on Form S-8 will cover approximately 24,180,000 shares of Class A common stock. Once these shares are registered, they can be sold in the public market upon issuance, subject to Rule 144 limitations applicable to affiliates and vesting restrictions.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BENEFICIAL OWNERSHIP OF SECURITIES</w:t>
      </w:r>
    </w:p>
    <w:p>
      <w:pPr>
        <w:spacing w:after="0" w:line="234"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 Company’s common stock as of the date of the Closing by:</w:t>
      </w:r>
    </w:p>
    <w:p>
      <w:pPr>
        <w:spacing w:after="0" w:line="102"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the Company’s outstanding Class A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202"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The beneficial ownership of the Company common stock is based on 42,956,667 shares of Class A common stock, 45,608,840 shares of Class B-1 common stock and 4,545,359 shares of Class B-2 common stock issued and outstanding as of the date of the Closing.</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Class A Common</w:t>
            </w: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Class B Common</w:t>
            </w:r>
          </w:p>
        </w:tc>
        <w:tc>
          <w:tcPr>
            <w:tcW w:w="1040" w:type="dxa"/>
            <w:vAlign w:val="bottom"/>
            <w:gridSpan w:val="3"/>
          </w:tcPr>
          <w:p>
            <w:pPr>
              <w:ind w:left="380"/>
              <w:spacing w:after="0"/>
              <w:rPr>
                <w:sz w:val="20"/>
                <w:szCs w:val="20"/>
                <w:color w:val="auto"/>
              </w:rPr>
            </w:pPr>
            <w:r>
              <w:rPr>
                <w:rFonts w:ascii="Arial" w:cs="Arial" w:eastAsia="Arial" w:hAnsi="Arial"/>
                <w:sz w:val="14"/>
                <w:szCs w:val="14"/>
                <w:b w:val="1"/>
                <w:bCs w:val="1"/>
                <w:color w:val="auto"/>
              </w:rPr>
              <w:t>Class B-2</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Borders>
              <w:top w:val="single" w:sz="8" w:color="auto"/>
            </w:tcBorders>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Borders>
              <w:top w:val="single" w:sz="8" w:color="auto"/>
            </w:tcBorders>
            <w:gridSpan w:val="3"/>
          </w:tcPr>
          <w:p>
            <w:pPr>
              <w:jc w:val="center"/>
              <w:ind w:right="500"/>
              <w:spacing w:after="0" w:line="143"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1760" w:type="dxa"/>
            <w:vAlign w:val="bottom"/>
            <w:vMerge w:val="restart"/>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82"/>
        </w:trPr>
        <w:tc>
          <w:tcPr>
            <w:tcW w:w="286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136"/>
        </w:trPr>
        <w:tc>
          <w:tcPr>
            <w:tcW w:w="462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Greater than 5% Beneficial Owners</w:t>
            </w:r>
          </w:p>
        </w:tc>
        <w:tc>
          <w:tcPr>
            <w:tcW w:w="6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Cohen Sponsor Interests IV, LLC(2)</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7,810,000(3)</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18.10%</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FinTech Masala Advisors IV, LLC(2)</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4,506,446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10.49%</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FinTech Investor Holdings IV, LLC(2)</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3,153,554(4)</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7.31%</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Wellington Management Group LLP(5)</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5,055,144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Samlyn Capital, LLC(6)</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3,416,514</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7.95%</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Integrated Core Strategies (US) LLC(7)</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2,484,046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Adage Capital Partners GP, L.L.C.(8)</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3,086,306</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7.18%</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Fidelity Management &amp; Research Company, LLC(9)</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2,500,000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line="162" w:lineRule="exact"/>
              <w:rPr>
                <w:sz w:val="20"/>
                <w:szCs w:val="20"/>
                <w:color w:val="auto"/>
              </w:rPr>
            </w:pPr>
            <w:r>
              <w:rPr>
                <w:rFonts w:ascii="Arial" w:cs="Arial" w:eastAsia="Arial" w:hAnsi="Arial"/>
                <w:sz w:val="11"/>
                <w:szCs w:val="11"/>
                <w:color w:val="auto"/>
              </w:rPr>
              <w:t>P. Schoenfeld Asset Management LP</w:t>
            </w:r>
            <w:r>
              <w:rPr>
                <w:rFonts w:ascii="Arial" w:cs="Arial" w:eastAsia="Arial" w:hAnsi="Arial"/>
                <w:sz w:val="18"/>
                <w:szCs w:val="18"/>
                <w:color w:val="auto"/>
                <w:vertAlign w:val="superscript"/>
              </w:rPr>
              <w:t>(10)</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2,491,111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5.75%</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PWP Professional Partners LP</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45,608,840(11)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90.57%</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Peter A. Weinberg</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45,608,840(11)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841,780(12)</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90.73%</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Joseph R. Perella</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—(13)</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Robert K. Steel</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Gary S. Barancik</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—(15)</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Dietrich Becker</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Andrew Bednar</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—(17)</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Vladimir Shendelman</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Jorma Ollila</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Ivan G. Seidenberg</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Jane C. Sherburne</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Daniel G. Cohen</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1,993,121(19)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4.64%</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4"/>
                <w:szCs w:val="14"/>
                <w:color w:val="auto"/>
              </w:rPr>
              <w:t>All company’s directors and executive officers as a group (11</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persons)</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1,993,121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4.64%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45,608,840(11)</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841,780</w:t>
            </w:r>
          </w:p>
        </w:tc>
        <w:tc>
          <w:tcPr>
            <w:tcW w:w="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18.52%</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60" w:hanging="424"/>
        <w:spacing w:after="0" w:line="247"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Cohen Sponsor Interests IV, LLC is the manager of each Sponsor. FinTech Masala, LLC is the sole member of Cohen Sponsor Interests IV. FinTech Masala Holdings, LLC is the sole member of FinTech Masala LLC. As a result of the foregoing, each of Cohen Sponsor Interests IV, LLC, FinTech Masala, LLC and FinTech Masala Holdings, LLC shares voting and investment power over the shares of common stock held directly by the Sponsor. The business address of each of the following entities or individuals is 2929 Arch Street, Suite 1703, Philadelphia, PA 19104-2870.</w:t>
      </w:r>
    </w:p>
    <w:p>
      <w:pPr>
        <w:spacing w:after="0" w:line="106" w:lineRule="exact"/>
        <w:rPr>
          <w:rFonts w:ascii="Arial" w:cs="Arial" w:eastAsia="Arial" w:hAnsi="Arial"/>
          <w:sz w:val="14"/>
          <w:szCs w:val="14"/>
          <w:color w:val="auto"/>
        </w:rPr>
      </w:pPr>
    </w:p>
    <w:p>
      <w:pPr>
        <w:ind w:left="540" w:hanging="424"/>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Interests include (a) 203,333 shares of Class A common stock underlying the private placement warrants, which will become exercisable 30 days after the Closing and</w:t>
      </w:r>
    </w:p>
    <w:p>
      <w:pPr>
        <w:spacing w:after="0" w:line="1" w:lineRule="exact"/>
        <w:rPr>
          <w:rFonts w:ascii="Arial" w:cs="Arial" w:eastAsia="Arial" w:hAnsi="Arial"/>
          <w:sz w:val="14"/>
          <w:szCs w:val="14"/>
          <w:color w:val="auto"/>
        </w:rPr>
      </w:pPr>
    </w:p>
    <w:p>
      <w:pPr>
        <w:ind w:left="540" w:right="320"/>
        <w:spacing w:after="0" w:line="258" w:lineRule="auto"/>
        <w:rPr>
          <w:rFonts w:ascii="Arial" w:cs="Arial" w:eastAsia="Arial" w:hAnsi="Arial"/>
          <w:sz w:val="14"/>
          <w:szCs w:val="14"/>
          <w:color w:val="auto"/>
        </w:rPr>
      </w:pPr>
      <w:r>
        <w:rPr>
          <w:rFonts w:ascii="Arial" w:cs="Arial" w:eastAsia="Arial" w:hAnsi="Arial"/>
          <w:sz w:val="14"/>
          <w:szCs w:val="14"/>
          <w:color w:val="auto"/>
        </w:rPr>
        <w:t>(b) 150,000 shares of Class A common stock subscribed for in the PIPE Investment by FM PWP Pipe Sponsor, LLC, an entity that is managed by Cohen Sponsor Interests IV, LLC.</w:t>
      </w:r>
    </w:p>
    <w:p>
      <w:pPr>
        <w:spacing w:after="0" w:line="99" w:lineRule="exact"/>
        <w:rPr>
          <w:rFonts w:ascii="Arial" w:cs="Arial" w:eastAsia="Arial" w:hAnsi="Arial"/>
          <w:sz w:val="14"/>
          <w:szCs w:val="14"/>
          <w:color w:val="auto"/>
        </w:rPr>
      </w:pPr>
    </w:p>
    <w:p>
      <w:pPr>
        <w:ind w:left="540" w:hanging="424"/>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Interests include 203,333 shares of Class A common stock underlying the private placement warrants, which will become exercisable 30 days after the Closing.</w:t>
      </w:r>
    </w:p>
    <w:p>
      <w:pPr>
        <w:spacing w:after="0" w:line="122"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 Each of Wellington Management Group LLP, Wellington Group Holdings LLP and Wellington Investment Advisors Holdings LLP have shared voting power over 4,731,042 shares of Class A common stock, shared dispositive power over all 5,055,144 shares of Class A common stock, and sole voting and dispositive powers over none of the shares, and (ii) Wellington Management Company LLP has shared voting power over 4,709,309 shares of Class A common stock, shared dispositive power over 5,008,690 shares of Class A common stock, and sole voting and dispositive powers over none of the shares. The shares of Class A common stock beneficially owned by Wellington Management Group LLP, as parent holding company of certain holding companies and investment advisers (the “</w:t>
      </w:r>
      <w:r>
        <w:rPr>
          <w:rFonts w:ascii="Arial" w:cs="Arial" w:eastAsia="Arial" w:hAnsi="Arial"/>
          <w:sz w:val="14"/>
          <w:szCs w:val="14"/>
          <w:u w:val="single" w:color="auto"/>
          <w:color w:val="auto"/>
        </w:rPr>
        <w:t>Wellington</w:t>
      </w:r>
      <w:r>
        <w:rPr>
          <w:rFonts w:ascii="Arial" w:cs="Arial" w:eastAsia="Arial" w:hAnsi="Arial"/>
          <w:sz w:val="14"/>
          <w:szCs w:val="14"/>
          <w:color w:val="auto"/>
        </w:rPr>
        <w:t xml:space="preserve"> </w:t>
      </w:r>
      <w:r>
        <w:rPr>
          <w:rFonts w:ascii="Arial" w:cs="Arial" w:eastAsia="Arial" w:hAnsi="Arial"/>
          <w:sz w:val="14"/>
          <w:szCs w:val="14"/>
          <w:u w:val="single" w:color="auto"/>
          <w:color w:val="auto"/>
        </w:rPr>
        <w:t>Investment Advisers</w:t>
      </w:r>
      <w:r>
        <w:rPr>
          <w:rFonts w:ascii="Arial" w:cs="Arial" w:eastAsia="Arial" w:hAnsi="Arial"/>
          <w:sz w:val="14"/>
          <w:szCs w:val="14"/>
          <w:color w:val="auto"/>
        </w:rPr>
        <w:t>”),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Of the Class A common stock beneficially owned, 675,500, 203,500 and 121,000 shares of Class A common stock were subscribed for in the PIPE Investment by Bay Pond Partners, L.P., Ithan Creek Master Investors (Cayman) L.P. and Bay Pond Investors (Bermuda) L.P., respectively, which are managed by a Wellington Investment Advisor that is a subsidiary of Wellington Management Group LLP. The principal business office of Wellington Management Group LLP and each of the affiliated funds listed above is c/o Wellington Management Company LLP 280 Congress Street Boston, MA 02210.</w:t>
      </w:r>
    </w:p>
    <w:p>
      <w:pPr>
        <w:spacing w:after="0" w:line="109" w:lineRule="exact"/>
        <w:rPr>
          <w:rFonts w:ascii="Arial" w:cs="Arial" w:eastAsia="Arial" w:hAnsi="Arial"/>
          <w:sz w:val="14"/>
          <w:szCs w:val="14"/>
          <w:color w:val="auto"/>
        </w:rPr>
      </w:pPr>
    </w:p>
    <w:p>
      <w:pPr>
        <w:ind w:left="540" w:right="20" w:hanging="424"/>
        <w:spacing w:after="0" w:line="242"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1,541,045 shares of Class A common stock directly owned by Samlyn Offshore Master Fund, Ltd., 1,233,877 shares of Class A common stock directly owned by Samlyn Net Neutral Master Fund, Ltd., 37,367 shares of Class A common stock directly owned by Samlyn Long Alpha Master Fund, Ltd. and 604,225 shares of Class A common stock directly owned by Samlyn Onshore Fund, LP (collectively, the “</w:t>
      </w:r>
      <w:r>
        <w:rPr>
          <w:rFonts w:ascii="Arial" w:cs="Arial" w:eastAsia="Arial" w:hAnsi="Arial"/>
          <w:sz w:val="14"/>
          <w:szCs w:val="14"/>
          <w:u w:val="single" w:color="auto"/>
          <w:color w:val="auto"/>
        </w:rPr>
        <w:t>Samlyn Funds</w:t>
      </w:r>
      <w:r>
        <w:rPr>
          <w:rFonts w:ascii="Arial" w:cs="Arial" w:eastAsia="Arial" w:hAnsi="Arial"/>
          <w:sz w:val="14"/>
          <w:szCs w:val="14"/>
          <w:color w:val="auto"/>
        </w:rPr>
        <w:t>”). Of the shares of Class A common stock directly owned, 500,000 shares of Class A common stock were subscribed for in the PIPE Investment by the Samlyn Funds (230,250 shares, 182,450 shares, 5,550 shares and 81,750 shares were subscribed for by Samlyn Offshore Master Fund, Ltd., Samlyn Net Neutral Master Fund, Ltd., Samlyn Long Alpha Master Fund, Ltd. and Samlyn Onshore Fund, LP, respectively). All of the reported securities directly owned by the Samlyn Funds may be deemed to be indirectly beneficially owned by Samlyn Capital, LLC (“</w:t>
      </w:r>
      <w:r>
        <w:rPr>
          <w:rFonts w:ascii="Arial" w:cs="Arial" w:eastAsia="Arial" w:hAnsi="Arial"/>
          <w:sz w:val="14"/>
          <w:szCs w:val="14"/>
          <w:u w:val="single" w:color="auto"/>
          <w:color w:val="auto"/>
        </w:rPr>
        <w:t>Samlyn Capital</w:t>
      </w:r>
      <w:r>
        <w:rPr>
          <w:rFonts w:ascii="Arial" w:cs="Arial" w:eastAsia="Arial" w:hAnsi="Arial"/>
          <w:sz w:val="14"/>
          <w:szCs w:val="14"/>
          <w:color w:val="auto"/>
        </w:rPr>
        <w:t>”), as the investment manager of the Samlyn Funds, and the 604,225 shares of Class A common stock directly owned by Samlyn Onshore Fund, LP may also be deemed to be indirectly beneficially owned by Samlyn Partners, LLC (“</w:t>
      </w:r>
      <w:r>
        <w:rPr>
          <w:rFonts w:ascii="Arial" w:cs="Arial" w:eastAsia="Arial" w:hAnsi="Arial"/>
          <w:sz w:val="14"/>
          <w:szCs w:val="14"/>
          <w:u w:val="single" w:color="auto"/>
          <w:color w:val="auto"/>
        </w:rPr>
        <w:t>Samlyn Partners</w:t>
      </w:r>
      <w:r>
        <w:rPr>
          <w:rFonts w:ascii="Arial" w:cs="Arial" w:eastAsia="Arial" w:hAnsi="Arial"/>
          <w:sz w:val="14"/>
          <w:szCs w:val="14"/>
          <w:color w:val="auto"/>
        </w:rPr>
        <w:t>”), as the general partner of Samlyn Onshore Fund. The reported securities directly owned by the Samlyn Funds may also be deemed to be indirectly beneficially owned by Robert Pohly as the principal of Samlyn Capital, Director of the Samlyn Funds, and with respect to the shares owned by Samlyn Onshore Fund, as Managing Member of Samlyn Partners. Samlyn Capital, Samlyn Partners and Robert Pohly disclaim beneficial ownership of the reported securities except to the extent of their respective pecuniary interests therein, and this report shall not be deemed an admission that any of them are the beneficial owners of the securities for purposes of Section 16 of the Exchange Act, or for any other purpose. The address for each of Samlyn Capital, Samlyn Partners, the Samlyn Funds and Robert Pohly is c/o Samlyn Capital, LLC, 500 Park Avenue, New York, NY 10022.</w:t>
      </w:r>
    </w:p>
    <w:p>
      <w:pPr>
        <w:spacing w:after="0" w:line="279" w:lineRule="exact"/>
        <w:rPr>
          <w:rFonts w:ascii="Arial" w:cs="Arial" w:eastAsia="Arial" w:hAnsi="Arial"/>
          <w:sz w:val="14"/>
          <w:szCs w:val="14"/>
          <w:color w:val="auto"/>
        </w:rPr>
      </w:pPr>
    </w:p>
    <w:p>
      <w:pPr>
        <w:ind w:left="540" w:hanging="424"/>
        <w:spacing w:after="0" w:line="243"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Integrated Core Strategies (US) LLC, a Delaware limited liability company (“</w:t>
      </w:r>
      <w:r>
        <w:rPr>
          <w:rFonts w:ascii="Arial" w:cs="Arial" w:eastAsia="Arial" w:hAnsi="Arial"/>
          <w:sz w:val="14"/>
          <w:szCs w:val="14"/>
          <w:u w:val="single" w:color="auto"/>
          <w:color w:val="auto"/>
        </w:rPr>
        <w:t>Integrated Core Strategies</w:t>
      </w:r>
      <w:r>
        <w:rPr>
          <w:rFonts w:ascii="Arial" w:cs="Arial" w:eastAsia="Arial" w:hAnsi="Arial"/>
          <w:sz w:val="14"/>
          <w:szCs w:val="14"/>
          <w:color w:val="auto"/>
        </w:rPr>
        <w:t>”), beneficially owned 1,643,383 shares of the Company’s Class A common stock (consisting of: (i) 850,000 shares of the Company’s Class A common stock purchased in a private placement pursuant to a subscription agreement dated December 29, 2020 (the “</w:t>
      </w:r>
      <w:r>
        <w:rPr>
          <w:rFonts w:ascii="Arial" w:cs="Arial" w:eastAsia="Arial" w:hAnsi="Arial"/>
          <w:sz w:val="14"/>
          <w:szCs w:val="14"/>
          <w:u w:val="single" w:color="auto"/>
          <w:color w:val="auto"/>
        </w:rPr>
        <w:t>PIPE</w:t>
      </w:r>
      <w:r>
        <w:rPr>
          <w:rFonts w:ascii="Arial" w:cs="Arial" w:eastAsia="Arial" w:hAnsi="Arial"/>
          <w:sz w:val="14"/>
          <w:szCs w:val="14"/>
          <w:color w:val="auto"/>
        </w:rPr>
        <w:t>”), (ii) an additional 518,196 shares of the Company’s Class A common stock acquired separately from the PIPE and (iii) 275,187 shares of the Company’s Class A common stock issuable upon exercise of certain warrants); Riverview Group LLC, a Delaware limited liability company (“</w:t>
      </w:r>
      <w:r>
        <w:rPr>
          <w:rFonts w:ascii="Arial" w:cs="Arial" w:eastAsia="Arial" w:hAnsi="Arial"/>
          <w:sz w:val="14"/>
          <w:szCs w:val="14"/>
          <w:u w:val="single" w:color="auto"/>
          <w:color w:val="auto"/>
        </w:rPr>
        <w:t>Riverview</w:t>
      </w:r>
      <w:r>
        <w:rPr>
          <w:rFonts w:ascii="Arial" w:cs="Arial" w:eastAsia="Arial" w:hAnsi="Arial"/>
          <w:sz w:val="14"/>
          <w:szCs w:val="14"/>
          <w:color w:val="auto"/>
        </w:rPr>
        <w:t xml:space="preserve"> </w:t>
      </w:r>
      <w:r>
        <w:rPr>
          <w:rFonts w:ascii="Arial" w:cs="Arial" w:eastAsia="Arial" w:hAnsi="Arial"/>
          <w:sz w:val="14"/>
          <w:szCs w:val="14"/>
          <w:u w:val="single" w:color="auto"/>
          <w:color w:val="auto"/>
        </w:rPr>
        <w:t>Group</w:t>
      </w:r>
      <w:r>
        <w:rPr>
          <w:rFonts w:ascii="Arial" w:cs="Arial" w:eastAsia="Arial" w:hAnsi="Arial"/>
          <w:sz w:val="14"/>
          <w:szCs w:val="14"/>
          <w:color w:val="auto"/>
        </w:rPr>
        <w:t>”), beneficially owned 758,333 shares of the Company’s Class A common stock (consisting of: (i) 350,000 shares of the Company’s Class A common stock purchased in the PIPE, (ii) an additional 150,000 shares of the Company’s Class A common stock acquired separately from the PIPE and (iii) 258,333 shares of the Company’s Class A common stock issuable upon exercise of certain warrants); ICS Opportunities, Ltd., an exempted company organized under the laws of the Cayman Islands (“</w:t>
      </w:r>
      <w:r>
        <w:rPr>
          <w:rFonts w:ascii="Arial" w:cs="Arial" w:eastAsia="Arial" w:hAnsi="Arial"/>
          <w:sz w:val="14"/>
          <w:szCs w:val="14"/>
          <w:u w:val="single" w:color="auto"/>
          <w:color w:val="auto"/>
        </w:rPr>
        <w:t>ICS Opportunities</w:t>
      </w:r>
      <w:r>
        <w:rPr>
          <w:rFonts w:ascii="Arial" w:cs="Arial" w:eastAsia="Arial" w:hAnsi="Arial"/>
          <w:sz w:val="14"/>
          <w:szCs w:val="14"/>
          <w:color w:val="auto"/>
        </w:rPr>
        <w:t>”), beneficially owned 40,099 shares of the Company’s Class A common stock (consisting of (i) 3 shares of the Company’s Class A common stock and (ii) 40,096 shares of the Company’s Class A common stock issuable upon exercise of certain warrants); and ICS Opportunities II LLC, a Cayman Islands limited liability company (“</w:t>
      </w:r>
      <w:r>
        <w:rPr>
          <w:rFonts w:ascii="Arial" w:cs="Arial" w:eastAsia="Arial" w:hAnsi="Arial"/>
          <w:sz w:val="14"/>
          <w:szCs w:val="14"/>
          <w:u w:val="single" w:color="auto"/>
          <w:color w:val="auto"/>
        </w:rPr>
        <w:t>ICS Opportunities II</w:t>
      </w:r>
      <w:r>
        <w:rPr>
          <w:rFonts w:ascii="Arial" w:cs="Arial" w:eastAsia="Arial" w:hAnsi="Arial"/>
          <w:sz w:val="14"/>
          <w:szCs w:val="14"/>
          <w:color w:val="auto"/>
        </w:rPr>
        <w:t>”), beneficially owned 42,231 shares of the Company’s Class A common stock. ICS Opportunities and ICS Opportunities II are affiliates of Integrated Core</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60"/>
        <w:spacing w:after="0" w:line="241" w:lineRule="auto"/>
        <w:rPr>
          <w:sz w:val="20"/>
          <w:szCs w:val="20"/>
          <w:color w:val="auto"/>
        </w:rPr>
      </w:pPr>
      <w:r>
        <w:rPr>
          <w:rFonts w:ascii="Arial" w:cs="Arial" w:eastAsia="Arial" w:hAnsi="Arial"/>
          <w:sz w:val="14"/>
          <w:szCs w:val="14"/>
          <w:color w:val="auto"/>
        </w:rPr>
        <w:t>Strategies and Riverview Group. Millennium International Management LP, a Delaware limited partnership (“</w:t>
      </w:r>
      <w:r>
        <w:rPr>
          <w:rFonts w:ascii="Arial" w:cs="Arial" w:eastAsia="Arial" w:hAnsi="Arial"/>
          <w:sz w:val="14"/>
          <w:szCs w:val="14"/>
          <w:u w:val="single" w:color="auto"/>
          <w:color w:val="auto"/>
        </w:rPr>
        <w:t>Millennium International Management</w:t>
      </w:r>
      <w:r>
        <w:rPr>
          <w:rFonts w:ascii="Arial" w:cs="Arial" w:eastAsia="Arial" w:hAnsi="Arial"/>
          <w:sz w:val="14"/>
          <w:szCs w:val="14"/>
          <w:color w:val="auto"/>
        </w:rPr>
        <w:t>”), is the investment manager to ICS Opportunities and ICS Opportunities II and may be deemed to have shared voting control and investment discretion over securities owned by ICS Opportunities and ICS Opportunities II. Millennium Management LLC, a Delaware limited liability company (“</w:t>
      </w:r>
      <w:r>
        <w:rPr>
          <w:rFonts w:ascii="Arial" w:cs="Arial" w:eastAsia="Arial" w:hAnsi="Arial"/>
          <w:sz w:val="14"/>
          <w:szCs w:val="14"/>
          <w:u w:val="single" w:color="auto"/>
          <w:color w:val="auto"/>
        </w:rPr>
        <w:t>Millennium Management</w:t>
      </w:r>
      <w:r>
        <w:rPr>
          <w:rFonts w:ascii="Arial" w:cs="Arial" w:eastAsia="Arial" w:hAnsi="Arial"/>
          <w:sz w:val="14"/>
          <w:szCs w:val="14"/>
          <w:color w:val="auto"/>
        </w:rPr>
        <w: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ICS Opportunities II and may also be deemed to have shared voting control and investment discretion over securities owned by ICS Opportunities and ICS Opportunities</w:t>
      </w:r>
    </w:p>
    <w:p>
      <w:pPr>
        <w:spacing w:after="0" w:line="2" w:lineRule="exact"/>
        <w:rPr>
          <w:sz w:val="20"/>
          <w:szCs w:val="20"/>
          <w:color w:val="auto"/>
        </w:rPr>
      </w:pPr>
    </w:p>
    <w:p>
      <w:pPr>
        <w:ind w:left="540"/>
        <w:spacing w:after="0" w:line="244" w:lineRule="auto"/>
        <w:rPr>
          <w:sz w:val="20"/>
          <w:szCs w:val="20"/>
          <w:color w:val="auto"/>
        </w:rPr>
      </w:pPr>
      <w:r>
        <w:rPr>
          <w:rFonts w:ascii="Arial" w:cs="Arial" w:eastAsia="Arial" w:hAnsi="Arial"/>
          <w:sz w:val="14"/>
          <w:szCs w:val="14"/>
          <w:color w:val="auto"/>
        </w:rPr>
        <w:t>II. Millennium Group Management LLC, a Delaware limited liability company (“</w:t>
      </w:r>
      <w:r>
        <w:rPr>
          <w:rFonts w:ascii="Arial" w:cs="Arial" w:eastAsia="Arial" w:hAnsi="Arial"/>
          <w:sz w:val="14"/>
          <w:szCs w:val="14"/>
          <w:u w:val="single" w:color="auto"/>
          <w:color w:val="auto"/>
        </w:rPr>
        <w:t>Millennium Group Management</w:t>
      </w:r>
      <w:r>
        <w:rPr>
          <w:rFonts w:ascii="Arial" w:cs="Arial" w:eastAsia="Arial" w:hAnsi="Arial"/>
          <w:sz w:val="14"/>
          <w:szCs w:val="14"/>
          <w:color w:val="auto"/>
        </w:rPr>
        <w: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w:t>
      </w:r>
      <w:r>
        <w:rPr>
          <w:rFonts w:ascii="Arial" w:cs="Arial" w:eastAsia="Arial" w:hAnsi="Arial"/>
          <w:sz w:val="14"/>
          <w:szCs w:val="14"/>
          <w:u w:val="single" w:color="auto"/>
          <w:color w:val="auto"/>
        </w:rPr>
        <w:t>Mr. Englander</w:t>
      </w:r>
      <w:r>
        <w:rPr>
          <w:rFonts w:ascii="Arial" w:cs="Arial" w:eastAsia="Arial" w:hAnsi="Arial"/>
          <w:sz w:val="14"/>
          <w:szCs w:val="14"/>
          <w:color w:val="auto"/>
        </w:rPr>
        <w:t>”), currently serves as the sole voting trustee. Therefore, Mr. Englander may also be deemed to have shared voting control and investment discretion over securities owned by Integrated Core Strategies, Riverview Group, ICS Opportunities and ICS Opportunities II.</w:t>
      </w:r>
    </w:p>
    <w:p>
      <w:pPr>
        <w:spacing w:after="0" w:line="111" w:lineRule="exact"/>
        <w:rPr>
          <w:sz w:val="20"/>
          <w:szCs w:val="20"/>
          <w:color w:val="auto"/>
        </w:rPr>
      </w:pPr>
    </w:p>
    <w:p>
      <w:pPr>
        <w:ind w:left="540" w:right="100" w:hanging="424"/>
        <w:spacing w:after="0" w:line="243"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Interests include 1,500,000 shares of Class A common stock subscribed for in the PIPE Investment by Adage Capital Partners LP, a Delaware limited partnership (“</w:t>
      </w:r>
      <w:r>
        <w:rPr>
          <w:rFonts w:ascii="Arial" w:cs="Arial" w:eastAsia="Arial" w:hAnsi="Arial"/>
          <w:sz w:val="14"/>
          <w:szCs w:val="14"/>
          <w:u w:val="single" w:color="auto"/>
          <w:color w:val="auto"/>
        </w:rPr>
        <w:t>ACP</w:t>
      </w:r>
      <w:r>
        <w:rPr>
          <w:rFonts w:ascii="Arial" w:cs="Arial" w:eastAsia="Arial" w:hAnsi="Arial"/>
          <w:sz w:val="14"/>
          <w:szCs w:val="14"/>
          <w:color w:val="auto"/>
        </w:rPr>
        <w:t>”). ACP has the power to dispose of and the power to vote the shares of Class A common stock beneficially owned by it, which power may be exercised by its general partner, Adage Capital Partners GP, L.L.C., a Delaware limited liability company (“</w:t>
      </w:r>
      <w:r>
        <w:rPr>
          <w:rFonts w:ascii="Arial" w:cs="Arial" w:eastAsia="Arial" w:hAnsi="Arial"/>
          <w:sz w:val="14"/>
          <w:szCs w:val="14"/>
          <w:u w:val="single" w:color="auto"/>
          <w:color w:val="auto"/>
        </w:rPr>
        <w:t>ACP GP</w:t>
      </w:r>
      <w:r>
        <w:rPr>
          <w:rFonts w:ascii="Arial" w:cs="Arial" w:eastAsia="Arial" w:hAnsi="Arial"/>
          <w:sz w:val="14"/>
          <w:szCs w:val="14"/>
          <w:color w:val="auto"/>
        </w:rPr>
        <w:t>”). Adage Capital Advisors, L.L.C., a Delaware limited liability company (“</w:t>
      </w:r>
      <w:r>
        <w:rPr>
          <w:rFonts w:ascii="Arial" w:cs="Arial" w:eastAsia="Arial" w:hAnsi="Arial"/>
          <w:sz w:val="14"/>
          <w:szCs w:val="14"/>
          <w:u w:val="single" w:color="auto"/>
          <w:color w:val="auto"/>
        </w:rPr>
        <w:t>AC Advisors</w:t>
      </w:r>
      <w:r>
        <w:rPr>
          <w:rFonts w:ascii="Arial" w:cs="Arial" w:eastAsia="Arial" w:hAnsi="Arial"/>
          <w:sz w:val="14"/>
          <w:szCs w:val="14"/>
          <w:color w:val="auto"/>
        </w:rPr>
        <w:t>”),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275" w:lineRule="exact"/>
        <w:rPr>
          <w:rFonts w:ascii="Arial" w:cs="Arial" w:eastAsia="Arial" w:hAnsi="Arial"/>
          <w:sz w:val="14"/>
          <w:szCs w:val="14"/>
          <w:color w:val="auto"/>
        </w:rPr>
      </w:pPr>
    </w:p>
    <w:p>
      <w:pPr>
        <w:ind w:left="540" w:hanging="424"/>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Interests include 2,039,500, 457,262 and 3,238 shares of Class A common stock subscribed for in the PIPE Investment by Fidelity Securities Fund: Fidelity Small Cap</w:t>
      </w:r>
    </w:p>
    <w:p>
      <w:pPr>
        <w:spacing w:after="0" w:line="1" w:lineRule="exact"/>
        <w:rPr>
          <w:rFonts w:ascii="Arial" w:cs="Arial" w:eastAsia="Arial" w:hAnsi="Arial"/>
          <w:sz w:val="14"/>
          <w:szCs w:val="14"/>
          <w:color w:val="auto"/>
        </w:rPr>
      </w:pPr>
    </w:p>
    <w:p>
      <w:pPr>
        <w:ind w:left="540" w:right="80"/>
        <w:spacing w:after="0" w:line="243" w:lineRule="auto"/>
        <w:rPr>
          <w:rFonts w:ascii="Arial" w:cs="Arial" w:eastAsia="Arial" w:hAnsi="Arial"/>
          <w:sz w:val="14"/>
          <w:szCs w:val="14"/>
          <w:color w:val="auto"/>
        </w:rPr>
      </w:pPr>
      <w:r>
        <w:rPr>
          <w:rFonts w:ascii="Arial" w:cs="Arial" w:eastAsia="Arial" w:hAnsi="Arial"/>
          <w:sz w:val="14"/>
          <w:szCs w:val="14"/>
          <w:color w:val="auto"/>
        </w:rPr>
        <w:t>Gro-with Fund, Fidelity Securities Fund: Fidelity Small Cap Growth K6 Fund and Fidelity Capital Trust: Fidelity Flex Small Cap Fund Small Cap Growth Subportfolio, respectively. These accounts are managed by direct or indirect subsidiaries of FMR LLC. Abigail P. Johnson is a Director, the Chairman, the Chief Executive Officer and the President of FMR LLC. Members of the Johnson family, including Abigail P. Johnson, are the predominant m:vners,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owed directly by the various investment companies registered under the Investment Company Act (“</w:t>
      </w:r>
      <w:r>
        <w:rPr>
          <w:rFonts w:ascii="Arial" w:cs="Arial" w:eastAsia="Arial" w:hAnsi="Arial"/>
          <w:sz w:val="14"/>
          <w:szCs w:val="14"/>
          <w:u w:val="single" w:color="auto"/>
          <w:color w:val="auto"/>
        </w:rPr>
        <w:t>Fidelity Funds</w:t>
      </w:r>
      <w:r>
        <w:rPr>
          <w:rFonts w:ascii="Arial" w:cs="Arial" w:eastAsia="Arial" w:hAnsi="Arial"/>
          <w:sz w:val="14"/>
          <w:szCs w:val="14"/>
          <w:color w:val="auto"/>
        </w:rPr>
        <w:t>”) advised by Fidelity Management &amp; Research Company (“</w:t>
      </w:r>
      <w:r>
        <w:rPr>
          <w:rFonts w:ascii="Arial" w:cs="Arial" w:eastAsia="Arial" w:hAnsi="Arial"/>
          <w:sz w:val="14"/>
          <w:szCs w:val="14"/>
          <w:u w:val="single" w:color="auto"/>
          <w:color w:val="auto"/>
        </w:rPr>
        <w:t>FMR Co</w:t>
      </w:r>
      <w:r>
        <w:rPr>
          <w:rFonts w:ascii="Arial" w:cs="Arial" w:eastAsia="Arial" w:hAnsi="Arial"/>
          <w:sz w:val="14"/>
          <w:szCs w:val="14"/>
          <w:color w:val="auto"/>
        </w:rPr>
        <w:t>”), a wholly owned subsidiary of FMR LLC, which power resides with the Fidelity Funds’ Boards of Trustees. Fidelity Management &amp; Research Company carries out the voting of the shares under written guidelines established by the Fidelity Funds’ Boards of Trustees. The business address of this stockholder is 245 Summer Street, Boston, MA 02210.</w:t>
      </w:r>
    </w:p>
    <w:p>
      <w:pPr>
        <w:spacing w:after="0" w:line="110" w:lineRule="exact"/>
        <w:rPr>
          <w:rFonts w:ascii="Arial" w:cs="Arial" w:eastAsia="Arial" w:hAnsi="Arial"/>
          <w:sz w:val="14"/>
          <w:szCs w:val="14"/>
          <w:color w:val="auto"/>
        </w:rPr>
      </w:pPr>
    </w:p>
    <w:p>
      <w:pPr>
        <w:ind w:left="540" w:hanging="424"/>
        <w:spacing w:after="0" w:line="243"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1,991,111 of the shares of Class A Common Stock are directly held by certain funds and accounts (the “</w:t>
      </w:r>
      <w:r>
        <w:rPr>
          <w:rFonts w:ascii="Arial" w:cs="Arial" w:eastAsia="Arial" w:hAnsi="Arial"/>
          <w:sz w:val="14"/>
          <w:szCs w:val="14"/>
          <w:u w:val="single" w:color="auto"/>
          <w:color w:val="auto"/>
        </w:rPr>
        <w:t>PSAM Funds</w:t>
      </w:r>
      <w:r>
        <w:rPr>
          <w:rFonts w:ascii="Arial" w:cs="Arial" w:eastAsia="Arial" w:hAnsi="Arial"/>
          <w:sz w:val="14"/>
          <w:szCs w:val="14"/>
          <w:color w:val="auto"/>
        </w:rPr>
        <w:t>”) for which P. Shoenfeld Asset Management LP (“</w:t>
      </w:r>
      <w:r>
        <w:rPr>
          <w:rFonts w:ascii="Arial" w:cs="Arial" w:eastAsia="Arial" w:hAnsi="Arial"/>
          <w:sz w:val="14"/>
          <w:szCs w:val="14"/>
          <w:u w:val="single" w:color="auto"/>
          <w:color w:val="auto"/>
        </w:rPr>
        <w:t>PSAM</w:t>
      </w:r>
      <w:r>
        <w:rPr>
          <w:rFonts w:ascii="Arial" w:cs="Arial" w:eastAsia="Arial" w:hAnsi="Arial"/>
          <w:sz w:val="14"/>
          <w:szCs w:val="14"/>
          <w:color w:val="auto"/>
        </w:rPr>
        <w:t>”) is the investment adviser. PSAM and Mr. Peter M. Schoenfeld (“</w:t>
      </w:r>
      <w:r>
        <w:rPr>
          <w:rFonts w:ascii="Arial" w:cs="Arial" w:eastAsia="Arial" w:hAnsi="Arial"/>
          <w:sz w:val="14"/>
          <w:szCs w:val="14"/>
          <w:u w:val="single" w:color="auto"/>
          <w:color w:val="auto"/>
        </w:rPr>
        <w:t>Mr. Schoenfeld</w:t>
      </w:r>
      <w:r>
        <w:rPr>
          <w:rFonts w:ascii="Arial" w:cs="Arial" w:eastAsia="Arial" w:hAnsi="Arial"/>
          <w:sz w:val="14"/>
          <w:szCs w:val="14"/>
          <w:color w:val="auto"/>
        </w:rPr>
        <w:t>”), as the managing member of P. Schoenfeld Asset Management GP, LLC, a Delaware limited liability company that serves as the general partner of PSAM, each have the shared power to vote or to direct the vote and the shared power to dispose or direct the disposition of such shares of Class A Common Stock. Interests also include 500,000 shares of Class A common stock subscribed for in the PIPE Investment by PSAM World Arb Master Fund Ltd (“</w:t>
      </w:r>
      <w:r>
        <w:rPr>
          <w:rFonts w:ascii="Arial" w:cs="Arial" w:eastAsia="Arial" w:hAnsi="Arial"/>
          <w:sz w:val="14"/>
          <w:szCs w:val="14"/>
          <w:u w:val="single" w:color="auto"/>
          <w:color w:val="auto"/>
        </w:rPr>
        <w:t>WAM</w:t>
      </w:r>
      <w:r>
        <w:rPr>
          <w:rFonts w:ascii="Arial" w:cs="Arial" w:eastAsia="Arial" w:hAnsi="Arial"/>
          <w:sz w:val="14"/>
          <w:szCs w:val="14"/>
          <w:color w:val="auto"/>
        </w:rPr>
        <w:t>”). PSAM is the investment manager of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of the reporting person is 1350 Avenue of the Americas, 21st Floor, New York, NY 10019.</w:t>
      </w:r>
    </w:p>
    <w:p>
      <w:pPr>
        <w:spacing w:after="0" w:line="276" w:lineRule="exact"/>
        <w:rPr>
          <w:rFonts w:ascii="Arial" w:cs="Arial" w:eastAsia="Arial" w:hAnsi="Arial"/>
          <w:sz w:val="14"/>
          <w:szCs w:val="14"/>
          <w:color w:val="auto"/>
        </w:rPr>
      </w:pPr>
    </w:p>
    <w:p>
      <w:pPr>
        <w:ind w:left="540" w:right="20" w:hanging="424"/>
        <w:spacing w:after="0" w:line="245"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Shares of Class B-1 common stock are held by Professional Partners. This number correlates to 45.6 million Class A partnership units of PWP OpCo held by Professional Partners, which represents 45.6 million shares of Class A common stock that may be issuable upon the exchange of 45.6 million Class A partnership units of PWP OpCo. Professional Partners is controlled by Professionals GP. Each share of Class B-1 common stock has ten votes. Concurrently with an exchange of PWP OpCo Class A partnership units for shares of Class A common stock or cash by a PWP OpCo unitholder who also holds shares of Class B common stock, such PWP OpCo unitholder will be required to surrender to the Company</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40"/>
        <w:spacing w:after="0" w:line="244" w:lineRule="auto"/>
        <w:rPr>
          <w:sz w:val="20"/>
          <w:szCs w:val="20"/>
          <w:color w:val="auto"/>
        </w:rPr>
      </w:pPr>
      <w:r>
        <w:rPr>
          <w:rFonts w:ascii="Arial" w:cs="Arial" w:eastAsia="Arial" w:hAnsi="Arial"/>
          <w:sz w:val="14"/>
          <w:szCs w:val="14"/>
          <w:color w:val="auto"/>
        </w:rPr>
        <w:t>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111" w:lineRule="exact"/>
        <w:rPr>
          <w:sz w:val="20"/>
          <w:szCs w:val="20"/>
          <w:color w:val="auto"/>
        </w:rPr>
      </w:pPr>
    </w:p>
    <w:p>
      <w:pPr>
        <w:ind w:left="540" w:hanging="424"/>
        <w:spacing w:after="0" w:line="243"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841,780 shares of our Class A common stock that may be issuable upon redemption of the 841,780 Class A partnership units of PWP OpCo that are held directly by Red Hook Capital LLC (“</w:t>
      </w:r>
      <w:r>
        <w:rPr>
          <w:rFonts w:ascii="Arial" w:cs="Arial" w:eastAsia="Arial" w:hAnsi="Arial"/>
          <w:sz w:val="14"/>
          <w:szCs w:val="14"/>
          <w:u w:val="single" w:color="auto"/>
          <w:color w:val="auto"/>
        </w:rPr>
        <w:t>Red Hook</w:t>
      </w:r>
      <w:r>
        <w:rPr>
          <w:rFonts w:ascii="Arial" w:cs="Arial" w:eastAsia="Arial" w:hAnsi="Arial"/>
          <w:sz w:val="14"/>
          <w:szCs w:val="14"/>
          <w:color w:val="auto"/>
        </w:rPr>
        <w:t>”)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Class A partnership units of PWP OpCo that are held by Professional Partners on behalf of Peter A. Weinberg and exchanged for 1,412,623 shares of our Class A common stock. These shares of our Class A common stock represent approximately 2.0%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Weinberg would hold on a fully-vested basis, 3,392,947 partnership units of Professional Partners that may be redeemed for 3,392,947 Class A partnership units of PWP OpCo that are held by Professional Partners on behalf of Mr. Weinberg and exchanged for 3,392,947 shares of our Class A common stock. These shares of our Class A common stock represent approximately 3.6%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09" w:lineRule="exact"/>
        <w:rPr>
          <w:rFonts w:ascii="Arial" w:cs="Arial" w:eastAsia="Arial" w:hAnsi="Arial"/>
          <w:sz w:val="14"/>
          <w:szCs w:val="14"/>
          <w:color w:val="auto"/>
        </w:rPr>
      </w:pPr>
    </w:p>
    <w:p>
      <w:pPr>
        <w:ind w:left="540" w:right="80" w:hanging="424"/>
        <w:spacing w:after="0" w:line="241"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number excludes 4,053,968 shares of our Class A common stock that may be issuable upon the exchange of 4,053,968 Class A partnership units of PWP OpCo that are held by Professional Partners on behalf of Joseph R. Perella that Mr. Perella may receive upon redemption of 4,053,968 partnership units of Professional Partners that Mr. Perella holds or will hold upon on a fully-vested basis within sixty (60) days. These shares of our Class A common stock represent approximately</w:t>
      </w:r>
    </w:p>
    <w:p>
      <w:pPr>
        <w:spacing w:after="0" w:line="1" w:lineRule="exact"/>
        <w:rPr>
          <w:rFonts w:ascii="Arial" w:cs="Arial" w:eastAsia="Arial" w:hAnsi="Arial"/>
          <w:sz w:val="14"/>
          <w:szCs w:val="14"/>
          <w:color w:val="auto"/>
        </w:rPr>
      </w:pPr>
    </w:p>
    <w:p>
      <w:pPr>
        <w:ind w:left="540" w:right="40"/>
        <w:spacing w:after="0" w:line="243" w:lineRule="auto"/>
        <w:rPr>
          <w:rFonts w:ascii="Arial" w:cs="Arial" w:eastAsia="Arial" w:hAnsi="Arial"/>
          <w:sz w:val="14"/>
          <w:szCs w:val="14"/>
          <w:color w:val="auto"/>
        </w:rPr>
      </w:pPr>
      <w:r>
        <w:rPr>
          <w:rFonts w:ascii="Arial" w:cs="Arial" w:eastAsia="Arial" w:hAnsi="Arial"/>
          <w:sz w:val="14"/>
          <w:szCs w:val="14"/>
          <w:color w:val="auto"/>
        </w:rPr>
        <w:t>5.8%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Perella would hold on a fully-vested basis, 4,053,968 partnership units of Professional Partners that may be redeemed for 4,053,968 Class A partnership units of PWP OpCo that are held by Professional Partners on behalf of Mr. Perella and exchanged for 4,053,968 shares of our Class A common stock. These shares of our Class A common stock represent approximately 4.4%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13"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number excludes 708,270 shares of our Class A common stock that may be issuable upon the exchange of 708,270 Class A partnership units of PWP OpCo that are held by Professional Partners on behalf of Robert K. Steel that Mr. Steel may receive upon redemption of 708,270 partnership units of Professional Partners that Mr. Steel holds or will hold upon on a fully-vested basis within sixty (60) days. These shares of our Class A common stock represent approximately 1.0%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Steel would hold on a fully-vested basis, 969,413 partnership units of Professional Partners that may be redeemed for 969,413 Class A partnership units of PWP OpCo that are held by Professional Partners on behalf of Mr. Steel and exchanged for 969,413 shares of our Class A common stock. These shares of our Class A common stock represent approximately 1.0%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11" w:lineRule="exact"/>
        <w:rPr>
          <w:rFonts w:ascii="Arial" w:cs="Arial" w:eastAsia="Arial" w:hAnsi="Arial"/>
          <w:sz w:val="14"/>
          <w:szCs w:val="14"/>
          <w:color w:val="auto"/>
        </w:rPr>
      </w:pPr>
    </w:p>
    <w:p>
      <w:pPr>
        <w:ind w:left="540" w:right="40" w:hanging="424"/>
        <w:spacing w:after="0" w:line="245"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number excludes 206,065 shares of our Class A common stock that may be issuable upon the exchange of 206,065 Class A partnership units of PWP OpCo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40"/>
        <w:spacing w:after="0" w:line="245" w:lineRule="auto"/>
        <w:rPr>
          <w:sz w:val="20"/>
          <w:szCs w:val="20"/>
          <w:color w:val="auto"/>
        </w:rPr>
      </w:pPr>
      <w:r>
        <w:rPr>
          <w:rFonts w:ascii="Arial" w:cs="Arial" w:eastAsia="Arial" w:hAnsi="Arial"/>
          <w:sz w:val="14"/>
          <w:szCs w:val="14"/>
          <w:color w:val="auto"/>
        </w:rPr>
        <w:t>stock, for our Class A common stock. Mr. Barancik would hold on a fully-vested basis, 727,060 partnership units of Professional Partners that may be redeemed for 727,060 Class A partnership units of PWP OpCo that are held by Professional Partners on behalf of Mr. Barancik and exchanged for 727,060 shares of our Class A common stock. These shares of our Class A common stock represent approximately 0.8%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10" w:lineRule="exact"/>
        <w:rPr>
          <w:sz w:val="20"/>
          <w:szCs w:val="20"/>
          <w:color w:val="auto"/>
        </w:rPr>
      </w:pPr>
    </w:p>
    <w:p>
      <w:pPr>
        <w:ind w:left="540" w:right="20" w:hanging="424"/>
        <w:spacing w:after="0" w:line="243"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number excludes 766,442 shares of our Class A common stock that may be issuable upon the exchange of 766,442 Class A partnership units of PWP OpCo that are held by Professional Partners on behalf of Dietrich Becker that Mr. Becker may receive upon redemption of 766,442 partnership units of Professional Partners that Mr. Becker holds or will hold upon on a fully-vested basis within sixty (60) days. These shares of our Class A common stock represent approximately 1.1%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Becker would hold on a fully-vested basis, 2,302,357 partnership units of Professional Partners that may be redeemed for 2,302,357 Class A partnership units of PWP OpCo that are held by Professional Partners on behalf of Mr. Becker and exchanged for 2,302,357 shares of our Class A common stock. These shares of our Class A common stock represent approximately 2.5%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273"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number excludes 902,886 shares of our Class A common stock that may be issuable upon the exchange of 902,886 Class A partnership units of PWP OpCo that are held by Professional Partners on behalf of Andrew Bednar that Mr. Bednar may receive upon redemption of902,886 partnership units of Professional Partners that Mr. Bednar holds or will hold upon on a fully-vested basis within sixty (60) days. These shares of our Class A common stock represent approximately 1.3%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Bednar would hold on a fully-vested basis, 2,302,357 partnership units of Professional Partners that may be redeemed for 2,302,357 Class A partnership units of PWP OpCo that are held by Professional Partners on behalf of Mr. Bednar and exchanged for 2,302,357 shares of our Class A common stock. These shares of our Class A common stock represent approximately 2.5%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273" w:lineRule="exact"/>
        <w:rPr>
          <w:rFonts w:ascii="Arial" w:cs="Arial" w:eastAsia="Arial" w:hAnsi="Arial"/>
          <w:sz w:val="14"/>
          <w:szCs w:val="14"/>
          <w:color w:val="auto"/>
        </w:rPr>
      </w:pPr>
    </w:p>
    <w:p>
      <w:pPr>
        <w:ind w:left="540" w:right="40" w:hanging="424"/>
        <w:spacing w:after="0" w:line="243"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number excludes 46,371 shares of our Class A common stock that may be issuable upon the exchange of 46,371 Class A partnership units of PWP OpCo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our Class A common stock. Mr. Shendelman would hold on a fully-vested basis, 484,707 partnership units of Professional Partners that may be redeemed for 484,707 Class A partnership units of PWP OpCo that are held by Professional Partners on behalf of Mr. Shendelman and exchanged for 484,707 shares of our Class A common stock. These shares of our Class A common stock represent approximately 0.5% of the shares of our Class A common stock that would be outstanding as of the Closing if all outstanding such vested and unvested partnership units of Professional Partners were exchanged for Class A partnership units of PWP OpCo, and such Class A partnership units of PWP OpCo were then exchanged, together with an equal number of Class B-1 common stock, for our Class A common stock.</w:t>
      </w:r>
    </w:p>
    <w:p>
      <w:pPr>
        <w:spacing w:after="0" w:line="110" w:lineRule="exact"/>
        <w:rPr>
          <w:rFonts w:ascii="Arial" w:cs="Arial" w:eastAsia="Arial" w:hAnsi="Arial"/>
          <w:sz w:val="14"/>
          <w:szCs w:val="14"/>
          <w:color w:val="auto"/>
        </w:rPr>
      </w:pPr>
    </w:p>
    <w:p>
      <w:pPr>
        <w:jc w:val="both"/>
        <w:ind w:left="540" w:hanging="424"/>
        <w:spacing w:after="0" w:line="249"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w:t>
      </w:r>
      <w:r>
        <w:rPr>
          <w:rFonts w:ascii="Arial" w:cs="Arial" w:eastAsia="Arial" w:hAnsi="Arial"/>
          <w:sz w:val="14"/>
          <w:szCs w:val="14"/>
          <w:u w:val="single" w:color="auto"/>
          <w:color w:val="auto"/>
        </w:rPr>
        <w:t>Manager</w:t>
      </w:r>
      <w:r>
        <w:rPr>
          <w:rFonts w:ascii="Arial" w:cs="Arial" w:eastAsia="Arial" w:hAnsi="Arial"/>
          <w:sz w:val="14"/>
          <w:szCs w:val="14"/>
          <w:color w:val="auto"/>
        </w:rPr>
        <w:t>”). Daniel G. Cohen and DGC Family FinTech Trust (the “</w:t>
      </w:r>
      <w:r>
        <w:rPr>
          <w:rFonts w:ascii="Arial" w:cs="Arial" w:eastAsia="Arial" w:hAnsi="Arial"/>
          <w:sz w:val="14"/>
          <w:szCs w:val="14"/>
          <w:u w:val="single" w:color="auto"/>
          <w:color w:val="auto"/>
        </w:rPr>
        <w:t>Trust</w:t>
      </w:r>
      <w:r>
        <w:rPr>
          <w:rFonts w:ascii="Arial" w:cs="Arial" w:eastAsia="Arial" w:hAnsi="Arial"/>
          <w:sz w:val="14"/>
          <w:szCs w:val="14"/>
          <w:color w:val="auto"/>
        </w:rPr>
        <w:t>”) are members of FinTech Masala Advisors IV, LLC. Mr. Cohen and the Trust are indirect owners of Manager. Mr. Cohen disclaims beneficial ownership of these shares, except to the extent of his pecuniary interest therein.</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FTIV Related Party Transactions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w:t>
      </w:r>
      <w:r>
        <w:rPr>
          <w:rFonts w:ascii="Arial" w:cs="Arial" w:eastAsia="Arial" w:hAnsi="Arial"/>
          <w:sz w:val="18"/>
          <w:szCs w:val="18"/>
          <w:i w:val="1"/>
          <w:iCs w:val="1"/>
          <w:color w:val="auto"/>
        </w:rPr>
        <w:t>Business Combination—Related Agreements—Sponsor Share Surrender and Share Restriction Agreement</w:t>
      </w:r>
      <w:r>
        <w:rPr>
          <w:rFonts w:ascii="Arial" w:cs="Arial" w:eastAsia="Arial" w:hAnsi="Arial"/>
          <w:sz w:val="18"/>
          <w:szCs w:val="18"/>
          <w:color w:val="auto"/>
        </w:rPr>
        <w:t>” for a description of these transfer restrictions.</w:t>
      </w:r>
    </w:p>
    <w:p>
      <w:pPr>
        <w:spacing w:after="0" w:line="21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placement warrant to purchase one share of Class A common stock exercisable at $ 11.50. The proceeds from the placement units and the proceeds from the IPO (initially totaling $200,000,000) are held in the trust account. There will be no redemption rights or liquidating distributions from the trust account with respect to the placement shares or placement warrants.</w:t>
      </w:r>
    </w:p>
    <w:p>
      <w:pPr>
        <w:spacing w:after="0" w:line="2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placement warrants are identical to the warrants included in the units sold in the IPO, except that if held by the Sponsor or their permitted transferees, (i) they will not be redeemable by FTIV, (ii) they (including the Class A common stock issuable upon exercise of these warrants) may not, subject to certain limited exceptions, be transferred, assigned or sold until 30 days after the closing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the Business Combination, and (iii) they may be exercised by the holders on a cashless basis. There are no redemption rights or liquidating distributions with respect to the founder shares, placement shares or warrants.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26" w:lineRule="exact"/>
        <w:rPr>
          <w:sz w:val="20"/>
          <w:szCs w:val="20"/>
          <w:color w:val="auto"/>
        </w:rPr>
      </w:pPr>
    </w:p>
    <w:p>
      <w:pPr>
        <w:jc w:val="both"/>
        <w:ind w:left="120" w:right="320" w:firstLine="551"/>
        <w:spacing w:after="0"/>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Business Combination—Related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Agreements—Amended and Restated Registration Rights Agreement</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26"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In connection with the Business Combination, certain individuals entered into a stockholders agreement. See the section entitled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Concurrently with the execution of the Business Combination Agreement, FTIV entered into a Support Agreement with (i) the Sponsor, (ii) PWP OpCo, PWP GP, Professional Partners, Professionals GP (together, the “</w:t>
      </w:r>
      <w:r>
        <w:rPr>
          <w:rFonts w:ascii="Arial" w:cs="Arial" w:eastAsia="Arial" w:hAnsi="Arial"/>
          <w:sz w:val="18"/>
          <w:szCs w:val="18"/>
          <w:u w:val="single" w:color="auto"/>
          <w:color w:val="auto"/>
        </w:rPr>
        <w:t>PWP Entities</w:t>
      </w:r>
      <w:r>
        <w:rPr>
          <w:rFonts w:ascii="Arial" w:cs="Arial" w:eastAsia="Arial" w:hAnsi="Arial"/>
          <w:sz w:val="18"/>
          <w:szCs w:val="18"/>
          <w:color w:val="auto"/>
        </w:rPr>
        <w:t>”), and (iii) the equity holders of the PWP Entities (together with Sponsor and the PWP Entities, “</w:t>
      </w:r>
      <w:r>
        <w:rPr>
          <w:rFonts w:ascii="Arial" w:cs="Arial" w:eastAsia="Arial" w:hAnsi="Arial"/>
          <w:sz w:val="18"/>
          <w:szCs w:val="18"/>
          <w:u w:val="single" w:color="auto"/>
          <w:color w:val="auto"/>
        </w:rPr>
        <w:t>Voting Parties</w:t>
      </w:r>
      <w:r>
        <w:rPr>
          <w:rFonts w:ascii="Arial" w:cs="Arial" w:eastAsia="Arial" w:hAnsi="Arial"/>
          <w:sz w:val="18"/>
          <w:szCs w:val="18"/>
          <w:color w:val="auto"/>
        </w:rPr>
        <w:t>” and each a “</w:t>
      </w:r>
      <w:r>
        <w:rPr>
          <w:rFonts w:ascii="Arial" w:cs="Arial" w:eastAsia="Arial" w:hAnsi="Arial"/>
          <w:sz w:val="18"/>
          <w:szCs w:val="18"/>
          <w:u w:val="single" w:color="auto"/>
          <w:color w:val="auto"/>
        </w:rPr>
        <w:t>Voting Party</w:t>
      </w:r>
      <w:r>
        <w:rPr>
          <w:rFonts w:ascii="Arial" w:cs="Arial" w:eastAsia="Arial" w:hAnsi="Arial"/>
          <w:sz w:val="18"/>
          <w:szCs w:val="18"/>
          <w:color w:val="auto"/>
        </w:rPr>
        <w:t>”),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Professionals Reorganization,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Combination—Related Agreements—Subscription Agreements</w:t>
      </w:r>
      <w:r>
        <w:rPr>
          <w:rFonts w:ascii="Arial" w:cs="Arial" w:eastAsia="Arial" w:hAnsi="Arial"/>
          <w:sz w:val="18"/>
          <w:szCs w:val="18"/>
          <w:color w:val="auto"/>
        </w:rPr>
        <w:t>.”</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08" w:lineRule="exact"/>
        <w:rPr>
          <w:sz w:val="20"/>
          <w:szCs w:val="20"/>
          <w:color w:val="auto"/>
        </w:rPr>
      </w:pPr>
    </w:p>
    <w:p>
      <w:pPr>
        <w:ind w:left="120" w:right="760" w:firstLine="551"/>
        <w:spacing w:after="0" w:line="267"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Business Combination—Related Agreements—Sponsor Share Surrender and Share Restriction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for more information.</w:t>
      </w:r>
    </w:p>
    <w:p>
      <w:pPr>
        <w:spacing w:after="0" w:line="26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PWP Related Party Transactions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connection with the closing of the Business Combination, certain individuals entered into the Amended and Restated Registration Rights Agreement. For information, see “</w:t>
      </w:r>
      <w:r>
        <w:rPr>
          <w:rFonts w:ascii="Arial" w:cs="Arial" w:eastAsia="Arial" w:hAnsi="Arial"/>
          <w:sz w:val="18"/>
          <w:szCs w:val="18"/>
          <w:i w:val="1"/>
          <w:iCs w:val="1"/>
          <w:color w:val="auto"/>
        </w:rPr>
        <w:t>Business Combination—Related Agreements—Amended and Restated 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Rights Agreement</w:t>
      </w:r>
      <w:r>
        <w:rPr>
          <w:rFonts w:ascii="Arial" w:cs="Arial" w:eastAsia="Arial" w:hAnsi="Arial"/>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26"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For additional information, see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60"/>
          </w:cols>
          <w:pgMar w:left="320" w:top="459" w:right="5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Group LP provides an unconditional guaranty (the “</w:t>
      </w:r>
      <w:r>
        <w:rPr>
          <w:rFonts w:ascii="Arial" w:cs="Arial" w:eastAsia="Arial" w:hAnsi="Arial"/>
          <w:sz w:val="18"/>
          <w:szCs w:val="18"/>
          <w:u w:val="single" w:color="auto"/>
          <w:color w:val="auto"/>
        </w:rPr>
        <w:t>Guaranty</w:t>
      </w:r>
      <w:r>
        <w:rPr>
          <w:rFonts w:ascii="Arial" w:cs="Arial" w:eastAsia="Arial" w:hAnsi="Arial"/>
          <w:sz w:val="18"/>
          <w:szCs w:val="18"/>
          <w:color w:val="auto"/>
        </w:rPr>
        <w:t>”) under a loan program (the “</w:t>
      </w:r>
      <w:r>
        <w:rPr>
          <w:rFonts w:ascii="Arial" w:cs="Arial" w:eastAsia="Arial" w:hAnsi="Arial"/>
          <w:sz w:val="18"/>
          <w:szCs w:val="18"/>
          <w:u w:val="single" w:color="auto"/>
          <w:color w:val="auto"/>
        </w:rPr>
        <w:t>Loan Program</w:t>
      </w:r>
      <w:r>
        <w:rPr>
          <w:rFonts w:ascii="Arial" w:cs="Arial" w:eastAsia="Arial" w:hAnsi="Arial"/>
          <w:sz w:val="18"/>
          <w:szCs w:val="18"/>
          <w:color w:val="auto"/>
        </w:rPr>
        <w:t>”)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Annual</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Related party</w:t>
            </w:r>
          </w:p>
        </w:tc>
        <w:tc>
          <w:tcPr>
            <w:tcW w:w="50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interest</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9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 date</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Gary Barancik(1)</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February 26,</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2016</w:t>
            </w: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March 1,</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2023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40" w:type="dxa"/>
            <w:vAlign w:val="bottom"/>
            <w:gridSpan w:val="2"/>
          </w:tcPr>
          <w:p>
            <w:pPr>
              <w:spacing w:after="0"/>
              <w:rPr>
                <w:sz w:val="20"/>
                <w:szCs w:val="20"/>
                <w:color w:val="auto"/>
              </w:rPr>
            </w:pPr>
            <w:r>
              <w:rPr>
                <w:rFonts w:ascii="Arial" w:cs="Arial" w:eastAsia="Arial" w:hAnsi="Arial"/>
                <w:sz w:val="18"/>
                <w:szCs w:val="18"/>
                <w:color w:val="auto"/>
              </w:rPr>
              <w:t>Vladimir Shendelman(2)</w:t>
            </w:r>
          </w:p>
        </w:tc>
        <w:tc>
          <w:tcPr>
            <w:tcW w:w="1100" w:type="dxa"/>
            <w:vAlign w:val="bottom"/>
          </w:tcPr>
          <w:p>
            <w:pPr>
              <w:jc w:val="right"/>
              <w:spacing w:after="0"/>
              <w:rPr>
                <w:sz w:val="20"/>
                <w:szCs w:val="20"/>
                <w:color w:val="auto"/>
              </w:rPr>
            </w:pPr>
            <w:r>
              <w:rPr>
                <w:rFonts w:ascii="Arial" w:cs="Arial" w:eastAsia="Arial" w:hAnsi="Arial"/>
                <w:sz w:val="18"/>
                <w:szCs w:val="18"/>
                <w:color w:val="auto"/>
              </w:rPr>
              <w:t>June 1,</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2016</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June 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right="240" w:hanging="544"/>
        <w:spacing w:after="0" w:line="234"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spacing w:after="0" w:line="2" w:lineRule="exact"/>
        <w:rPr>
          <w:rFonts w:ascii="Arial" w:cs="Arial" w:eastAsia="Arial" w:hAnsi="Arial"/>
          <w:sz w:val="18"/>
          <w:szCs w:val="18"/>
          <w:color w:val="auto"/>
        </w:rPr>
      </w:pPr>
    </w:p>
    <w:p>
      <w:pPr>
        <w:jc w:val="both"/>
        <w:ind w:left="660" w:right="260" w:hanging="54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the Convertible Notes. For additional information on the Convertible Notes, see “</w:t>
      </w:r>
      <w:r>
        <w:rPr>
          <w:rFonts w:ascii="Arial" w:cs="Arial" w:eastAsia="Arial" w:hAnsi="Arial"/>
          <w:sz w:val="18"/>
          <w:szCs w:val="18"/>
          <w:i w:val="1"/>
          <w:iCs w:val="1"/>
          <w:color w:val="auto"/>
        </w:rPr>
        <w:t>PWP’s Management’s Discussion and Analysis of Financial Condition and Results of Operations—Liquidity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w:t>
      </w:r>
    </w:p>
    <w:p>
      <w:pPr>
        <w:spacing w:after="0" w:line="20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On February 28, 2019, in connection with the PWP Separation, PWP OpCo entered into a first amendment to the NPA governing its Convertible Notes reflecting the consent of the requisite holders of the Convertible Notes to the PWP Separation and a proposed reorganization and initial public offering of our advisory business (“</w:t>
      </w:r>
      <w:r>
        <w:rPr>
          <w:rFonts w:ascii="Arial" w:cs="Arial" w:eastAsia="Arial" w:hAnsi="Arial"/>
          <w:sz w:val="18"/>
          <w:szCs w:val="18"/>
          <w:u w:val="single" w:color="auto"/>
          <w:color w:val="auto"/>
        </w:rPr>
        <w:t>PWP IPO”</w:t>
      </w:r>
      <w:r>
        <w:rPr>
          <w:rFonts w:ascii="Arial" w:cs="Arial" w:eastAsia="Arial" w:hAnsi="Arial"/>
          <w:sz w:val="18"/>
          <w:szCs w:val="18"/>
          <w:color w:val="auto"/>
        </w:rPr>
        <w:t>) and making (i) related amendments to various restrictive covenants and related definitions in the NPA and (ii) related clarifications to the redemption and conversion provisions. In connection with the first NPA amendment PWP OpCo also entered into letter agreements (the “</w:t>
      </w:r>
      <w:r>
        <w:rPr>
          <w:rFonts w:ascii="Arial" w:cs="Arial" w:eastAsia="Arial" w:hAnsi="Arial"/>
          <w:sz w:val="18"/>
          <w:szCs w:val="18"/>
          <w:u w:val="single" w:color="auto"/>
          <w:color w:val="auto"/>
        </w:rPr>
        <w:t>2019 Letter Agreements</w:t>
      </w:r>
      <w:r>
        <w:rPr>
          <w:rFonts w:ascii="Arial" w:cs="Arial" w:eastAsia="Arial" w:hAnsi="Arial"/>
          <w:sz w:val="18"/>
          <w:szCs w:val="18"/>
          <w:color w:val="auto"/>
        </w:rPr>
        <w:t>”) with holders representing approximately substantially all of the total outstanding $150 million aggregate principal amount of its Convertible Notes (collectively, the “</w:t>
      </w:r>
      <w:r>
        <w:rPr>
          <w:rFonts w:ascii="Arial" w:cs="Arial" w:eastAsia="Arial" w:hAnsi="Arial"/>
          <w:sz w:val="18"/>
          <w:szCs w:val="18"/>
          <w:u w:val="single" w:color="auto"/>
          <w:color w:val="auto"/>
        </w:rPr>
        <w:t>2019 Letter Agreement Noteholders</w:t>
      </w:r>
      <w:r>
        <w:rPr>
          <w:rFonts w:ascii="Arial" w:cs="Arial" w:eastAsia="Arial" w:hAnsi="Arial"/>
          <w:sz w:val="18"/>
          <w:szCs w:val="18"/>
          <w:color w:val="auto"/>
        </w:rPr>
        <w:t>”)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207"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clarifications to the redemption and conversion provisions. In connection with the third NPA amendment PWP OpCo also entered into new letter agreements (the “</w:t>
      </w:r>
      <w:r>
        <w:rPr>
          <w:rFonts w:ascii="Arial" w:cs="Arial" w:eastAsia="Arial" w:hAnsi="Arial"/>
          <w:sz w:val="18"/>
          <w:szCs w:val="18"/>
          <w:u w:val="single" w:color="auto"/>
          <w:color w:val="auto"/>
        </w:rPr>
        <w:t>2020 Letter Agreements</w:t>
      </w:r>
      <w:r>
        <w:rPr>
          <w:rFonts w:ascii="Arial" w:cs="Arial" w:eastAsia="Arial" w:hAnsi="Arial"/>
          <w:sz w:val="18"/>
          <w:szCs w:val="18"/>
          <w:color w:val="auto"/>
        </w:rPr>
        <w:t>”) with all of the holders of the Convertible Notes (which amended and restated their existing 2019 Letter Agreements), pursuant to which all of the holders (the “</w:t>
      </w:r>
      <w:r>
        <w:rPr>
          <w:rFonts w:ascii="Arial" w:cs="Arial" w:eastAsia="Arial" w:hAnsi="Arial"/>
          <w:sz w:val="18"/>
          <w:szCs w:val="18"/>
          <w:u w:val="single" w:color="auto"/>
          <w:color w:val="auto"/>
        </w:rPr>
        <w:t>Redeeming Holders</w:t>
      </w:r>
      <w:r>
        <w:rPr>
          <w:rFonts w:ascii="Arial" w:cs="Arial" w:eastAsia="Arial" w:hAnsi="Arial"/>
          <w:sz w:val="18"/>
          <w:szCs w:val="18"/>
          <w:color w:val="auto"/>
        </w:rPr>
        <w:t>”) agreed to collectively tender for redemption $150 million aggregate principal amount of their Convertible Notes (such Convertible Notes, the “</w:t>
      </w:r>
      <w:r>
        <w:rPr>
          <w:rFonts w:ascii="Arial" w:cs="Arial" w:eastAsia="Arial" w:hAnsi="Arial"/>
          <w:sz w:val="18"/>
          <w:szCs w:val="18"/>
          <w:u w:val="single" w:color="auto"/>
          <w:color w:val="auto"/>
        </w:rPr>
        <w:t>Redeemed Notes</w:t>
      </w:r>
      <w:r>
        <w:rPr>
          <w:rFonts w:ascii="Arial" w:cs="Arial" w:eastAsia="Arial" w:hAnsi="Arial"/>
          <w:sz w:val="18"/>
          <w:szCs w:val="18"/>
          <w:color w:val="auto"/>
        </w:rPr>
        <w:t>”) for cash, pursuant to the terms described below. Pursuant to the terms of the 2020 Letter Agreements, the Redeeming Holders also agreed not to convert their Convertible Notes in connection with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w:t>
      </w:r>
    </w:p>
    <w:p>
      <w:pPr>
        <w:ind w:left="120"/>
        <w:spacing w:after="0" w:line="234" w:lineRule="auto"/>
        <w:rPr>
          <w:sz w:val="20"/>
          <w:szCs w:val="20"/>
          <w:color w:val="auto"/>
        </w:rPr>
      </w:pPr>
      <w:r>
        <w:rPr>
          <w:rFonts w:ascii="Arial" w:cs="Arial" w:eastAsia="Arial" w:hAnsi="Arial"/>
          <w:sz w:val="18"/>
          <w:szCs w:val="18"/>
          <w:color w:val="auto"/>
        </w:rPr>
        <w:t>Combination a redemption price equal to 100% of the principal amount (plus, with respect to any Redeeming Holder owning at least</w:t>
      </w:r>
    </w:p>
    <w:p>
      <w:pPr>
        <w:ind w:left="120"/>
        <w:spacing w:after="0" w:line="235" w:lineRule="auto"/>
        <w:rPr>
          <w:sz w:val="20"/>
          <w:szCs w:val="20"/>
          <w:color w:val="auto"/>
        </w:rPr>
      </w:pPr>
      <w:r>
        <w:rPr>
          <w:rFonts w:ascii="Arial" w:cs="Arial" w:eastAsia="Arial" w:hAnsi="Arial"/>
          <w:sz w:val="18"/>
          <w:szCs w:val="18"/>
          <w:color w:val="auto"/>
        </w:rPr>
        <w:t>$5.0 million principal amount of Convertible Notes, an applicable premium based on a discounted U.S. treasury rate), and accrued and</w:t>
      </w:r>
    </w:p>
    <w:p>
      <w:pPr>
        <w:ind w:left="120"/>
        <w:spacing w:after="0" w:line="235" w:lineRule="auto"/>
        <w:rPr>
          <w:sz w:val="20"/>
          <w:szCs w:val="20"/>
          <w:color w:val="auto"/>
        </w:rPr>
      </w:pPr>
      <w:r>
        <w:rPr>
          <w:rFonts w:ascii="Arial" w:cs="Arial" w:eastAsia="Arial" w:hAnsi="Arial"/>
          <w:sz w:val="18"/>
          <w:szCs w:val="18"/>
          <w:color w:val="auto"/>
        </w:rPr>
        <w:t>unpaid interest to, but excluding, the closing date of the Business Combination with respect to the Redeemed Notes. In addition, each</w:t>
      </w:r>
    </w:p>
    <w:p>
      <w:pPr>
        <w:ind w:left="120"/>
        <w:spacing w:after="0" w:line="235" w:lineRule="auto"/>
        <w:rPr>
          <w:sz w:val="20"/>
          <w:szCs w:val="20"/>
          <w:color w:val="auto"/>
        </w:rPr>
      </w:pPr>
      <w:r>
        <w:rPr>
          <w:rFonts w:ascii="Arial" w:cs="Arial" w:eastAsia="Arial" w:hAnsi="Arial"/>
          <w:sz w:val="18"/>
          <w:szCs w:val="18"/>
          <w:color w:val="auto"/>
        </w:rPr>
        <w:t>Redeeming Holder will also be entitled to receive a “top-up” payment (the “</w:t>
      </w:r>
      <w:r>
        <w:rPr>
          <w:rFonts w:ascii="Arial" w:cs="Arial" w:eastAsia="Arial" w:hAnsi="Arial"/>
          <w:sz w:val="18"/>
          <w:szCs w:val="18"/>
          <w:u w:val="single" w:color="auto"/>
          <w:color w:val="auto"/>
        </w:rPr>
        <w:t>Top-Up Payment</w:t>
      </w:r>
      <w:r>
        <w:rPr>
          <w:rFonts w:ascii="Arial" w:cs="Arial" w:eastAsia="Arial" w:hAnsi="Arial"/>
          <w:sz w:val="18"/>
          <w:szCs w:val="18"/>
          <w:color w:val="auto"/>
        </w:rPr>
        <w:t>”), on the date that is 45 days following the</w:t>
      </w:r>
    </w:p>
    <w:p>
      <w:pPr>
        <w:ind w:left="120"/>
        <w:spacing w:after="0" w:line="235" w:lineRule="auto"/>
        <w:rPr>
          <w:sz w:val="20"/>
          <w:szCs w:val="20"/>
          <w:color w:val="auto"/>
        </w:rPr>
      </w:pPr>
      <w:r>
        <w:rPr>
          <w:rFonts w:ascii="Arial" w:cs="Arial" w:eastAsia="Arial" w:hAnsi="Arial"/>
          <w:sz w:val="18"/>
          <w:szCs w:val="18"/>
          <w:color w:val="auto"/>
        </w:rPr>
        <w:t>closing date of the Business Combination, in an amount equal to the excess, if any, of (i) the value of the PWP OpCo Class A partnership</w:t>
      </w:r>
    </w:p>
    <w:p>
      <w:pPr>
        <w:ind w:left="120"/>
        <w:spacing w:after="0" w:line="234" w:lineRule="auto"/>
        <w:rPr>
          <w:sz w:val="20"/>
          <w:szCs w:val="20"/>
          <w:color w:val="auto"/>
        </w:rPr>
      </w:pPr>
      <w:r>
        <w:rPr>
          <w:rFonts w:ascii="Arial" w:cs="Arial" w:eastAsia="Arial" w:hAnsi="Arial"/>
          <w:sz w:val="18"/>
          <w:szCs w:val="18"/>
          <w:color w:val="auto"/>
        </w:rPr>
        <w:t>units that would have been issued upon conversion of such Redeeming Holder’s Redeemed Notes using the then applicable conversion</w:t>
      </w:r>
    </w:p>
    <w:p>
      <w:pPr>
        <w:ind w:left="120"/>
        <w:spacing w:after="0" w:line="235" w:lineRule="auto"/>
        <w:rPr>
          <w:sz w:val="20"/>
          <w:szCs w:val="20"/>
          <w:color w:val="auto"/>
        </w:rPr>
      </w:pPr>
      <w:r>
        <w:rPr>
          <w:rFonts w:ascii="Arial" w:cs="Arial" w:eastAsia="Arial" w:hAnsi="Arial"/>
          <w:sz w:val="18"/>
          <w:szCs w:val="18"/>
          <w:color w:val="auto"/>
        </w:rPr>
        <w:t>rate (assuming the value of each Class A partnership unit is equal to the five-day volume weighted average price at which our Class A</w:t>
      </w:r>
    </w:p>
    <w:p>
      <w:pPr>
        <w:ind w:left="120"/>
        <w:spacing w:after="0" w:line="235" w:lineRule="auto"/>
        <w:rPr>
          <w:sz w:val="20"/>
          <w:szCs w:val="20"/>
          <w:color w:val="auto"/>
        </w:rPr>
      </w:pPr>
      <w:r>
        <w:rPr>
          <w:rFonts w:ascii="Arial" w:cs="Arial" w:eastAsia="Arial" w:hAnsi="Arial"/>
          <w:sz w:val="18"/>
          <w:szCs w:val="18"/>
          <w:color w:val="auto"/>
        </w:rPr>
        <w:t>common stock trades on the 30th calendar day following the closing date of the Business Combination (the “</w:t>
      </w:r>
      <w:r>
        <w:rPr>
          <w:rFonts w:ascii="Arial" w:cs="Arial" w:eastAsia="Arial" w:hAnsi="Arial"/>
          <w:sz w:val="18"/>
          <w:szCs w:val="18"/>
          <w:u w:val="single" w:color="auto"/>
          <w:color w:val="auto"/>
        </w:rPr>
        <w:t>5-Day VWAP</w:t>
      </w:r>
      <w:r>
        <w:rPr>
          <w:rFonts w:ascii="Arial" w:cs="Arial" w:eastAsia="Arial" w:hAnsi="Arial"/>
          <w:sz w:val="18"/>
          <w:szCs w:val="18"/>
          <w:color w:val="auto"/>
        </w:rPr>
        <w:t>”)) plus the</w:t>
      </w:r>
    </w:p>
    <w:p>
      <w:pPr>
        <w:ind w:left="120"/>
        <w:spacing w:after="0" w:line="235" w:lineRule="auto"/>
        <w:rPr>
          <w:sz w:val="20"/>
          <w:szCs w:val="20"/>
          <w:color w:val="auto"/>
        </w:rPr>
      </w:pPr>
      <w:r>
        <w:rPr>
          <w:rFonts w:ascii="Arial" w:cs="Arial" w:eastAsia="Arial" w:hAnsi="Arial"/>
          <w:sz w:val="18"/>
          <w:szCs w:val="18"/>
          <w:color w:val="auto"/>
        </w:rPr>
        <w:t>aggregate amount of accrued and unpaid interest on such Redeemed Notes, to but excluding the closing date of the Business</w:t>
      </w:r>
    </w:p>
    <w:p>
      <w:pPr>
        <w:ind w:left="120"/>
        <w:spacing w:after="0" w:line="235" w:lineRule="auto"/>
        <w:rPr>
          <w:sz w:val="20"/>
          <w:szCs w:val="20"/>
          <w:color w:val="auto"/>
        </w:rPr>
      </w:pPr>
      <w:r>
        <w:rPr>
          <w:rFonts w:ascii="Arial" w:cs="Arial" w:eastAsia="Arial" w:hAnsi="Arial"/>
          <w:sz w:val="18"/>
          <w:szCs w:val="18"/>
          <w:color w:val="auto"/>
        </w:rPr>
        <w:t>Combination, over (ii) the redemption price paid on the closing date of the Business Combination described above. The Top-Up Payment</w:t>
      </w:r>
    </w:p>
    <w:p>
      <w:pPr>
        <w:ind w:left="120"/>
        <w:spacing w:after="0" w:line="234" w:lineRule="auto"/>
        <w:rPr>
          <w:sz w:val="20"/>
          <w:szCs w:val="20"/>
          <w:color w:val="auto"/>
        </w:rPr>
      </w:pPr>
      <w:r>
        <w:rPr>
          <w:rFonts w:ascii="Arial" w:cs="Arial" w:eastAsia="Arial" w:hAnsi="Arial"/>
          <w:sz w:val="18"/>
          <w:szCs w:val="18"/>
          <w:color w:val="auto"/>
        </w:rPr>
        <w:t>may be made, in our sole discretion, in cash or shares of our Class A common stock or any combination thereof. The number of shares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issued in satisfaction of the Top-Up Payment will be determined based on the 5-Day VWAP.</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PWP Capital</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Transition Services Agreement</w:t>
      </w:r>
    </w:p>
    <w:p>
      <w:pPr>
        <w:spacing w:after="0" w:line="12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PWP is party to the TSA with PWP Capital. Under the TSA, PWP agreed to provide certain corporate, healthcare, benefits and technology services to PWP Capital, and PWP Capital agreed to</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Plans of Division and Master Separation Agreement</w:t>
      </w:r>
    </w:p>
    <w:p>
      <w:pPr>
        <w:spacing w:after="0" w:line="12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205"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Trademark License Agreement</w:t>
      </w:r>
    </w:p>
    <w:p>
      <w:pPr>
        <w:spacing w:after="0" w:line="12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97" w:lineRule="exact"/>
        <w:rPr>
          <w:sz w:val="20"/>
          <w:szCs w:val="20"/>
          <w:color w:val="auto"/>
        </w:rPr>
      </w:pPr>
    </w:p>
    <w:p>
      <w:pPr>
        <w:ind w:left="120" w:right="560" w:firstLine="551"/>
        <w:spacing w:after="0" w:line="274" w:lineRule="auto"/>
        <w:rPr>
          <w:sz w:val="20"/>
          <w:szCs w:val="20"/>
          <w:color w:val="auto"/>
        </w:rPr>
      </w:pPr>
      <w:r>
        <w:rPr>
          <w:rFonts w:ascii="Arial" w:cs="Arial" w:eastAsia="Arial" w:hAnsi="Arial"/>
          <w:sz w:val="17"/>
          <w:szCs w:val="17"/>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75"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From time-to-time, we may make loans to or investments in sponsors and other related entities of special purpose acquisition vehicle companies, formed for the purpose of effecting a merger, capital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stock exchange, asset acquisition, stock purchase, reorganization or similar transaction with one or more businesses, and our officers and directors may own equity interests in such special acquisition vehicle companies.</w:t>
      </w:r>
    </w:p>
    <w:p>
      <w:pPr>
        <w:spacing w:after="0" w:line="197" w:lineRule="exact"/>
        <w:rPr>
          <w:sz w:val="20"/>
          <w:szCs w:val="20"/>
          <w:color w:val="auto"/>
        </w:rPr>
      </w:pPr>
    </w:p>
    <w:p>
      <w:pPr>
        <w:ind w:left="120" w:right="180" w:firstLine="551"/>
        <w:spacing w:after="0" w:line="274" w:lineRule="auto"/>
        <w:rPr>
          <w:sz w:val="20"/>
          <w:szCs w:val="20"/>
          <w:color w:val="auto"/>
        </w:rPr>
      </w:pPr>
      <w:r>
        <w:rPr>
          <w:rFonts w:ascii="Arial" w:cs="Arial" w:eastAsia="Arial" w:hAnsi="Arial"/>
          <w:sz w:val="17"/>
          <w:szCs w:val="17"/>
          <w:color w:val="auto"/>
        </w:rPr>
        <w:t>From time-to-time, we may make investments in one or more employee investment vehicles the purpose of which is to permit multiple employees, officers or directors to make investments on an aggregate basis for the benefit of such employee, officer or director.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connection with the closing of the Business Combination, we entered into a Tax Receivable Agreement with PWP OpCo, Professional Partners and certain other persons party thereto.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of the Business Combination as a result of (a) exchanges of interests in PWP OpCo for cash or stock of the Company and certain other transactions and (b) payments made under the Tax Receivable Agreement. We expect to retain the benefit of the remaining 15% of these cash tax savings. See “</w:t>
      </w:r>
      <w:r>
        <w:rPr>
          <w:rFonts w:ascii="Arial" w:cs="Arial" w:eastAsia="Arial" w:hAnsi="Arial"/>
          <w:sz w:val="18"/>
          <w:szCs w:val="18"/>
          <w:i w:val="1"/>
          <w:iCs w:val="1"/>
          <w:color w:val="auto"/>
        </w:rPr>
        <w:t>Business Combination—Related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Agreements—Tax Receivable Agreement</w:t>
      </w:r>
      <w:r>
        <w:rPr>
          <w:rFonts w:ascii="Arial" w:cs="Arial" w:eastAsia="Arial" w:hAnsi="Arial"/>
          <w:sz w:val="18"/>
          <w:szCs w:val="18"/>
          <w:color w:val="auto"/>
        </w:rPr>
        <w:t>” for a description of the tax receivable agreement generally and for a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 which we will be deemed to realize net cash tax savings.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26" w:lineRule="exact"/>
        <w:rPr>
          <w:sz w:val="20"/>
          <w:szCs w:val="20"/>
          <w:color w:val="auto"/>
        </w:rPr>
      </w:pPr>
    </w:p>
    <w:p>
      <w:pPr>
        <w:ind w:left="120" w:right="700" w:firstLine="551"/>
        <w:spacing w:after="0" w:line="246" w:lineRule="auto"/>
        <w:rPr>
          <w:sz w:val="20"/>
          <w:szCs w:val="20"/>
          <w:color w:val="auto"/>
        </w:rPr>
      </w:pPr>
      <w:r>
        <w:rPr>
          <w:rFonts w:ascii="Arial" w:cs="Arial" w:eastAsia="Arial" w:hAnsi="Arial"/>
          <w:sz w:val="18"/>
          <w:szCs w:val="18"/>
          <w:color w:val="auto"/>
        </w:rPr>
        <w:t>Ivan G. Seidenberg, Jorma Ollila and Jane C. Sherburne, three of PWP’s independent directors, received compensation in connection with their consultant services in 2020.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additional details.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2020 in amounts equal to $611,296 and $2,015,414, respectively.</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4"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00"/>
          </w:cols>
          <w:pgMar w:left="320" w:top="459" w:right="5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SELLING HOLDERS</w:t>
      </w:r>
    </w:p>
    <w:p>
      <w:pPr>
        <w:spacing w:after="0" w:line="234"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This prospectus relates to the possible offer and resale by the Selling Holders of (i) up to 70,364,353 shares of Class A common stock (including 203,333 shares of Class A common stock that may be issued upon exercise of the private placement warrants, 6,846,667 founder shares, 12,500,000 PIPE Shares, 610,000 Placement Shares and 50,204,353 Exchange Shares); and (ii) up to 203,333 warrants.</w:t>
      </w:r>
    </w:p>
    <w:p>
      <w:pPr>
        <w:spacing w:after="0" w:line="18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Prior to the IPO, the Sponsor acquired founder shares, 7,870,000 of which were held by the Sponsor prior to the Business Combination. Simultaneously with the consummation of the IPO, Sponsor purchased 610,000 placement units, which consisted of 610,000 Placement Shares and 203,333.33 private placement warrants. Upon the consummation of the Business Combination, (i) the Sponsor forfeited 1,023,333 founder shares and the remaining founder shares were converted from Class B common stock to Class A common stock, (ii) the PIPE Investors acquired the PIPE Shares pursuant to Subscription Agreements, (iii) the limited partnership agreement of PWP OpCo was amended and restated to, among other things, permit holders of PWP OpCo Class A partnership units (other than the Company) to exchange these units, with the simultaneous conversion of an equivalent number of shares of our Class B common stock, for (a) shares of Class A common stock or (b) cash from an offering of shares of Class A common stock with the form of consideration to be determined by the Company and (iv) we entered into the Amended and Restated Registration Rights Agreement with the RRA Parties. The founder shares, Placement Shares, PIPE Shares, Exchange Shares, private placement warrants and class A common stock issuable upon exercise of the private placement warrants are being registered by the registration statement of which this prospectus forms a part pursuant to the registration rights granted under certain of the Subscription Agreements and the Amended and Restated Registration Rights Agreement.</w:t>
      </w:r>
    </w:p>
    <w:p>
      <w:pPr>
        <w:spacing w:after="0" w:line="203"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The Selling Holders may from time to time offer and sell any or all of the shares of Class A common stock and warrants set forth below pursuant to this prospectus. When we refer to the “Selling Holders” in this prospectus, we mean the persons listed in the table below, and the pledgees, donees, transferees, assignees, successors and others who later come to hold any of the Selling Holders’ interest in the shares of Class A common stock or warrants after the date of this prospectus such that registration rights shall apply to those securities.</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following tables are prepared based on information provided to us by the Selling Holders. It sets forth the name and address of the Selling Holders, the aggregate number of shares of Class A common stock or warrants, as applicable, that the Selling Holders may offer pursuant to this prospectus, and the beneficial ownership of the Selling Holders both before and after the offering. We have based percentage ownership prior to this offering on 42,956,667 shares of Class A common stock and 7,870,000 warrants outstanding, in each case, as of June 30, 2021. In calculating percentages of shares of Class A common stock owned by a particular Selling Holder, we treated as outstanding the number of shares of our Class A common stock issuable upon exercise of that particular Selling Holder’s warrants, if any, and did not assume the exercise of any other Selling Holder’s warrants.</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cannot advise you as to whether the Selling Holders will in fact sell any or all of such Class A common stock or warrants. In addition, the Selling 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202"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Unless otherwise indicated below, the address of each beneficial owner listed in the tables below is c/o Perella Weinberg Partners, 767 5th Ave, New York, NY 10153.</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of Class A common stock</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rPr>
              <w:t>Beneficial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Beneficial Ownership</w:t>
            </w:r>
          </w:p>
        </w:tc>
        <w:tc>
          <w:tcPr>
            <w:tcW w:w="2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Shares to be Sold in</w:t>
            </w:r>
          </w:p>
        </w:tc>
        <w:tc>
          <w:tcPr>
            <w:tcW w:w="1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Ownership After</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Before the Offering</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the Offering</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the Offering</w:t>
            </w:r>
          </w:p>
        </w:tc>
        <w:tc>
          <w:tcPr>
            <w:tcW w:w="0" w:type="dxa"/>
            <w:vAlign w:val="bottom"/>
          </w:tcPr>
          <w:p>
            <w:pPr>
              <w:spacing w:after="0"/>
              <w:rPr>
                <w:sz w:val="1"/>
                <w:szCs w:val="1"/>
                <w:color w:val="auto"/>
              </w:rPr>
            </w:pPr>
          </w:p>
        </w:tc>
      </w:tr>
      <w:tr>
        <w:trPr>
          <w:trHeight w:val="142"/>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Holder</w:t>
            </w:r>
          </w:p>
        </w:tc>
        <w:tc>
          <w:tcPr>
            <w:tcW w:w="3380" w:type="dxa"/>
            <w:vAlign w:val="bottom"/>
            <w:vMerge w:val="restart"/>
          </w:tcPr>
          <w:p>
            <w:pPr>
              <w:spacing w:after="0"/>
              <w:rPr>
                <w:sz w:val="12"/>
                <w:szCs w:val="12"/>
                <w:color w:val="auto"/>
              </w:rPr>
            </w:pPr>
          </w:p>
        </w:tc>
        <w:tc>
          <w:tcPr>
            <w:tcW w:w="1280" w:type="dxa"/>
            <w:vAlign w:val="bottom"/>
            <w:tcBorders>
              <w:top w:val="single" w:sz="8" w:color="auto"/>
            </w:tcBorders>
            <w:gridSpan w:val="2"/>
          </w:tcPr>
          <w:p>
            <w:pPr>
              <w:jc w:val="right"/>
              <w:ind w:right="420"/>
              <w:spacing w:after="0" w:line="143" w:lineRule="exact"/>
              <w:rPr>
                <w:sz w:val="20"/>
                <w:szCs w:val="20"/>
                <w:color w:val="auto"/>
              </w:rPr>
            </w:pPr>
            <w:r>
              <w:rPr>
                <w:rFonts w:ascii="Arial" w:cs="Arial" w:eastAsia="Arial" w:hAnsi="Arial"/>
                <w:sz w:val="14"/>
                <w:szCs w:val="14"/>
                <w:b w:val="1"/>
                <w:bCs w:val="1"/>
                <w:color w:val="auto"/>
              </w:rPr>
              <w:t>Number of</w:t>
            </w:r>
          </w:p>
        </w:tc>
        <w:tc>
          <w:tcPr>
            <w:tcW w:w="4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680"/>
              <w:spacing w:after="0" w:line="143" w:lineRule="exact"/>
              <w:rPr>
                <w:sz w:val="20"/>
                <w:szCs w:val="20"/>
                <w:color w:val="auto"/>
              </w:rPr>
            </w:pPr>
            <w:r>
              <w:rPr>
                <w:rFonts w:ascii="Arial" w:cs="Arial" w:eastAsia="Arial" w:hAnsi="Arial"/>
                <w:sz w:val="14"/>
                <w:szCs w:val="14"/>
                <w:b w:val="1"/>
                <w:bCs w:val="1"/>
                <w:color w:val="auto"/>
              </w:rPr>
              <w:t>Number of</w:t>
            </w:r>
          </w:p>
        </w:tc>
        <w:tc>
          <w:tcPr>
            <w:tcW w:w="4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Number of</w:t>
            </w: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FinTech Masala Advisors IV. LLC(2)</w:t>
            </w: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gridSpan w:val="2"/>
            <w:vMerge w:val="continue"/>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4,506,446</w:t>
            </w:r>
          </w:p>
        </w:tc>
        <w:tc>
          <w:tcPr>
            <w:tcW w:w="260" w:type="dxa"/>
            <w:vAlign w:val="bottom"/>
            <w:vMerge w:val="continue"/>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10.5%</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4,506,446</w:t>
            </w:r>
          </w:p>
        </w:tc>
        <w:tc>
          <w:tcPr>
            <w:tcW w:w="56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10.5%</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FinTech Investor Holdings IV, LLC(2)</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3,153,554</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3,153,554</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Fidelity Securities Fund: Fidelity Small Cap Growth Fund(3)</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2,039,500</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2,039,500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2"/>
          </w:tcPr>
          <w:p>
            <w:pPr>
              <w:spacing w:after="0" w:line="201" w:lineRule="exact"/>
              <w:rPr>
                <w:sz w:val="20"/>
                <w:szCs w:val="20"/>
                <w:color w:val="auto"/>
              </w:rPr>
            </w:pPr>
            <w:r>
              <w:rPr>
                <w:rFonts w:ascii="Arial" w:cs="Arial" w:eastAsia="Arial" w:hAnsi="Arial"/>
                <w:sz w:val="18"/>
                <w:szCs w:val="18"/>
                <w:color w:val="auto"/>
              </w:rPr>
              <w:t>Fidelity Securities Fund: Fidelity Small Cap Growth K6</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Fund(3)</w:t>
            </w:r>
          </w:p>
        </w:tc>
        <w:tc>
          <w:tcPr>
            <w:tcW w:w="12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457,262</w:t>
            </w:r>
          </w:p>
        </w:tc>
        <w:tc>
          <w:tcPr>
            <w:tcW w:w="8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457,262</w:t>
            </w:r>
          </w:p>
        </w:tc>
        <w:tc>
          <w:tcPr>
            <w:tcW w:w="8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Fidelity Capital Trust: Fidelity Flex Small Cap Fund - Small</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Cap Growth Subportfolio(3)</w:t>
            </w:r>
          </w:p>
        </w:tc>
        <w:tc>
          <w:tcPr>
            <w:tcW w:w="12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3,238</w:t>
            </w:r>
          </w:p>
        </w:tc>
        <w:tc>
          <w:tcPr>
            <w:tcW w:w="80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3,238</w:t>
            </w:r>
          </w:p>
        </w:tc>
        <w:tc>
          <w:tcPr>
            <w:tcW w:w="82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Adage Capital Partners LP(4)</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3,086,306</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1,500,000</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1,586,306</w:t>
            </w: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Citadel Multi-Strategy Equities Master Fund Ltd.(5)</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1,200,000</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1,200,000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Korea Investment &amp; Securities Co., Ltd.(6)</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1,000,000</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1,000,000</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Integrated Core Strategies (US) LLC(7)</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1,643,383</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3.8%</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850,000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793,383</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Riverview Group LLC(7)</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758,333</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350,000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408,333</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Ghisallo Master Fund LP(8)</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700,000</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700,000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Bay Pond Partners, L.P.(9)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1,604,505</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675,500</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929,005</w:t>
            </w: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Ithan Creek Master Investors (Cayman) L.P.(9)</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460,493</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203,500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256,993</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Bay Pond Investors (Bermuda) L.P.(9)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268,334</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121,000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147,334</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PSAM Worldarb Master Fund Ltd(10)</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2,491,111</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5.8%</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500,000</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1,991,111</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Nantahala Capital Partners SI, LP(11)</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425,197</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424,897</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300</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NCP RFM LP(11)</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75,103</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75,103</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Linden Capital L.P.(12)</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698,158</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400,000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298,158</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Corbin ERISA Opportunity Fund, Ltd.(13)</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903,226</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338,710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564,516</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Corbin Opportunity Fund, L.P.(13)</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451,614</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169,355</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282,259</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CVI Investments, Inc.(14)</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260,186</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250,000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10,186</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MMCAP International Inc. SPC(15)</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250,000</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250,000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Atalaya Special Purpose Investment Fund LP(16)</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814,516</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241,935</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572,581</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Samlyn Offshore Master Fund, Ltd.(17)</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1,541,045</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230,250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1,310,795</w:t>
            </w: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Samlyn Net Neutral Master Fund, Ltd.(17)</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1,233,877</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182,450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1,051,427</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Samlyn Long Alpha Master Fund, Ltd.(17)</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37,367</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5,550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31,817</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Samlyn Onshore Fund, LP(18)</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604,225</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81,750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522,475</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FM PWP PIPE Sponsor, LLC(19)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150,000</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150,000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 Opportunities LLC(20)</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100,000</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100,000</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PWP Professional Partners LP(21)</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45,654,449(22)</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51.5%</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 Hook Capital, LLC(23)</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842,622(22)</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Fisher Perella Partners LLC(24)</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337,049(22)</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 Private Equity Noco A, Inc.(25)</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1,123,386(22)</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color w:val="auto"/>
              </w:rPr>
              <w:t>Ancom USA Inc.(26)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1,123,461(22)</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660" w:hanging="544"/>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Less than 1%.</w:t>
      </w:r>
    </w:p>
    <w:p>
      <w:pPr>
        <w:ind w:left="660" w:hanging="544"/>
        <w:spacing w:after="0" w:line="23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upon 42,956,667 shares of Class A common stock outstanding as of June 30, 2021.</w:t>
      </w:r>
    </w:p>
    <w:p>
      <w:pPr>
        <w:ind w:left="660" w:right="100" w:hanging="544"/>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Cohen Sponsor Interests IV, LLC is the manager of the Selling Holder. FinTech Masala, LLC is the sole member of Cohen Sponsor Interests IV. FinTech Masala Holdings, LLC is the sole member of FinTech Masala, LLC. FinTech Masala Holdings, LLC is in turn managed by its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80"/>
        <w:spacing w:after="0" w:line="234" w:lineRule="auto"/>
        <w:rPr>
          <w:sz w:val="20"/>
          <w:szCs w:val="20"/>
          <w:color w:val="auto"/>
        </w:rPr>
      </w:pPr>
      <w:r>
        <w:rPr>
          <w:rFonts w:ascii="Arial" w:cs="Arial" w:eastAsia="Arial" w:hAnsi="Arial"/>
          <w:sz w:val="18"/>
          <w:szCs w:val="18"/>
          <w:color w:val="auto"/>
        </w:rPr>
        <w:t>members, none of which is deemed a beneficial owner of the securities held by FinTech Masala Holdings, LLC based on the so-called “rule of three.” As a result of the foregoing, each of Cohen Sponsor Interests IV, LLC, FinTech Masala, LLC and FinTech Masala Holdings, LLC shares voting and investment power over the shares of common stock held directly by the Selling Holder. The address for the Selling Holder is 2929 Arch Street, Suite 1703, Philadelphia, PA 19104.</w:t>
      </w:r>
    </w:p>
    <w:p>
      <w:pPr>
        <w:spacing w:after="0" w:line="3" w:lineRule="exact"/>
        <w:rPr>
          <w:sz w:val="20"/>
          <w:szCs w:val="20"/>
          <w:color w:val="auto"/>
        </w:rPr>
      </w:pPr>
    </w:p>
    <w:p>
      <w:pPr>
        <w:ind w:left="660" w:right="10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w:t>
      </w:r>
      <w:r>
        <w:rPr>
          <w:rFonts w:ascii="Arial" w:cs="Arial" w:eastAsia="Arial" w:hAnsi="Arial"/>
          <w:sz w:val="18"/>
          <w:szCs w:val="18"/>
          <w:u w:val="single" w:color="auto"/>
          <w:color w:val="auto"/>
        </w:rPr>
        <w:t>Fidelity Funds</w:t>
      </w:r>
      <w:r>
        <w:rPr>
          <w:rFonts w:ascii="Arial" w:cs="Arial" w:eastAsia="Arial" w:hAnsi="Arial"/>
          <w:sz w:val="18"/>
          <w:szCs w:val="18"/>
          <w:color w:val="auto"/>
        </w:rPr>
        <w:t>”) advised by Fidelity Management &amp; Research Company (“</w:t>
      </w:r>
      <w:r>
        <w:rPr>
          <w:rFonts w:ascii="Arial" w:cs="Arial" w:eastAsia="Arial" w:hAnsi="Arial"/>
          <w:sz w:val="18"/>
          <w:szCs w:val="18"/>
          <w:u w:val="single" w:color="auto"/>
          <w:color w:val="auto"/>
        </w:rPr>
        <w:t>FMR Co</w:t>
      </w:r>
      <w:r>
        <w:rPr>
          <w:rFonts w:ascii="Arial" w:cs="Arial" w:eastAsia="Arial" w:hAnsi="Arial"/>
          <w:sz w:val="18"/>
          <w:szCs w:val="18"/>
          <w:color w:val="auto"/>
        </w:rPr>
        <w:t>”), a wholly owned subsidiary of FMR LLC, which power resides with the Fidelity Funds’ Boards of Trustees. Fidelity Management &amp; Research Company carries out the voting of the shares under written guidelines established by the Fidelity Funds’ Boards of Trustees. The address for Fidelity Securities Fund: Fidelity Small Cap Growth Fund is c/o Brown Brothers Harriman &amp; Co., Attn: Corporate Actions /Vault, 140 Broadway, New York, NY 10005. The address for Fidelity Securities Fund: Fidelity Small Cap Growth K6 Fund is c/o BNY Mellon, PO Box 392002, Pittsburgh PA 15230. The address for Fidelity Capital Trust: Fidelity Flex Small Cap Fund - Small Cap Growth Subportfolio is c/o State Street Bank &amp; Trust, PO Box 5756, Boston, Massachusetts 02206, Attn: ISLANDMOORING CO FBO Fidelity Capital Trust: Fidelity Flex Small Cap Fund - Small Cap Growth Subportfolio.</w:t>
      </w:r>
    </w:p>
    <w:p>
      <w:pPr>
        <w:spacing w:after="0" w:line="1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securities to which this filing relates are held directly by Adage Capital Partners, L.P., a Delaware limited partnership (the</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Adage Capital Partners GP, L.L.C., a Delaware limited liability company (“</w:t>
      </w:r>
      <w:r>
        <w:rPr>
          <w:rFonts w:ascii="Arial" w:cs="Arial" w:eastAsia="Arial" w:hAnsi="Arial"/>
          <w:sz w:val="18"/>
          <w:szCs w:val="18"/>
          <w:u w:val="single" w:color="auto"/>
          <w:color w:val="auto"/>
        </w:rPr>
        <w:t>ACPGP</w:t>
      </w:r>
      <w:r>
        <w:rPr>
          <w:rFonts w:ascii="Arial" w:cs="Arial" w:eastAsia="Arial" w:hAnsi="Arial"/>
          <w:sz w:val="18"/>
          <w:szCs w:val="18"/>
          <w:color w:val="auto"/>
        </w:rPr>
        <w:t>”), serves as the general partner of the Fund and as such has discretion over the portfolio securities beneficially owned by the Fund. Adage Capital Advisors, L.L.C., a Delaware limited liability company (“</w:t>
      </w:r>
      <w:r>
        <w:rPr>
          <w:rFonts w:ascii="Arial" w:cs="Arial" w:eastAsia="Arial" w:hAnsi="Arial"/>
          <w:sz w:val="18"/>
          <w:szCs w:val="18"/>
          <w:u w:val="single" w:color="auto"/>
          <w:color w:val="auto"/>
        </w:rPr>
        <w:t>ACA”</w:t>
      </w:r>
      <w:r>
        <w:rPr>
          <w:rFonts w:ascii="Arial" w:cs="Arial" w:eastAsia="Arial" w:hAnsi="Arial"/>
          <w:sz w:val="18"/>
          <w:szCs w:val="18"/>
          <w:color w:val="auto"/>
        </w:rPr>
        <w:t>), is the managing member of ACPGP and directs ACPGP’s operations. Robert Atchinson and Phillip Gross are the managing members of ACPGP and ACA and general partners of the Fund. Each of the reporting persons disclaims beneficial ownership of the securities reported herein for purposes of Section 16 of the Exchange Act, except as to such extent of such reporting person’s pecuniary interest in the securities. The address for Adage Capital Partners, L.P. is 200 Clarendon St, 52nd Floor, Boston, MA 02116.</w:t>
      </w:r>
    </w:p>
    <w:p>
      <w:pPr>
        <w:spacing w:after="0" w:line="4" w:lineRule="exact"/>
        <w:rPr>
          <w:rFonts w:ascii="Arial" w:cs="Arial" w:eastAsia="Arial" w:hAnsi="Arial"/>
          <w:sz w:val="18"/>
          <w:szCs w:val="18"/>
          <w:color w:val="auto"/>
        </w:rPr>
      </w:pPr>
    </w:p>
    <w:p>
      <w:pPr>
        <w:ind w:left="660" w:right="8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Pursuant to a portfolio management agreement, Citadel Advisors LLC, an investment advisor registered under the U.S. Investment Advisers Act of 1940 (“</w:t>
      </w:r>
      <w:r>
        <w:rPr>
          <w:rFonts w:ascii="Arial" w:cs="Arial" w:eastAsia="Arial" w:hAnsi="Arial"/>
          <w:sz w:val="18"/>
          <w:szCs w:val="18"/>
          <w:u w:val="single" w:color="auto"/>
          <w:color w:val="auto"/>
        </w:rPr>
        <w:t>CAL</w:t>
      </w:r>
      <w:r>
        <w:rPr>
          <w:rFonts w:ascii="Arial" w:cs="Arial" w:eastAsia="Arial" w:hAnsi="Arial"/>
          <w:sz w:val="18"/>
          <w:szCs w:val="18"/>
          <w:color w:val="auto"/>
        </w:rPr>
        <w:t>”), holds the voting and dispositive power with respect to the shares held by Citadel Multi-Strategy Equities Master Fund Ltd. Citadel Advisors Holdings LP (“</w:t>
      </w:r>
      <w:r>
        <w:rPr>
          <w:rFonts w:ascii="Arial" w:cs="Arial" w:eastAsia="Arial" w:hAnsi="Arial"/>
          <w:sz w:val="18"/>
          <w:szCs w:val="18"/>
          <w:u w:val="single" w:color="auto"/>
          <w:color w:val="auto"/>
        </w:rPr>
        <w:t>CAH</w:t>
      </w:r>
      <w:r>
        <w:rPr>
          <w:rFonts w:ascii="Arial" w:cs="Arial" w:eastAsia="Arial" w:hAnsi="Arial"/>
          <w:sz w:val="18"/>
          <w:szCs w:val="18"/>
          <w:color w:val="auto"/>
        </w:rPr>
        <w:t>”) is the sole member of CAL. Citadel GP LLC is the general partner of CAH. Kenneth Griffin (“</w:t>
      </w:r>
      <w:r>
        <w:rPr>
          <w:rFonts w:ascii="Arial" w:cs="Arial" w:eastAsia="Arial" w:hAnsi="Arial"/>
          <w:sz w:val="18"/>
          <w:szCs w:val="18"/>
          <w:u w:val="single" w:color="auto"/>
          <w:color w:val="auto"/>
        </w:rPr>
        <w:t>Griffin</w:t>
      </w:r>
      <w:r>
        <w:rPr>
          <w:rFonts w:ascii="Arial" w:cs="Arial" w:eastAsia="Arial" w:hAnsi="Arial"/>
          <w:sz w:val="18"/>
          <w:szCs w:val="18"/>
          <w:color w:val="auto"/>
        </w:rPr>
        <w:t>”) is the President and Chief Executive Officer of and sole member of Citadel GP LLC. Citadel GP LLC and Griffin may be deemed to be the beneficial owners of the stock through their control of CAL and/or certain other affiliated entities. The address for Citadel Multi-Strategy Equities Master Fund Ltd. is c/o Citadel Enterprise Americas LLC, 131 South Dearborn Street, Chicago, Illinois 60603.</w:t>
      </w:r>
    </w:p>
    <w:p>
      <w:pPr>
        <w:spacing w:after="0" w:line="4"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Korea Investment Holdings Co., Ltd. may exercise voting or dispositive power over the securities held by Korea Investment &amp; Securities Co., Ltd. The address for Korea Investment &amp; Securities Co., Ltd. is 88,Uisadang-daero, Yeongdeungpo-gu, Seoul 07321 Korea.</w:t>
      </w:r>
    </w:p>
    <w:p>
      <w:pPr>
        <w:spacing w:after="0" w:line="2" w:lineRule="exact"/>
        <w:rPr>
          <w:rFonts w:ascii="Arial" w:cs="Arial" w:eastAsia="Arial" w:hAnsi="Arial"/>
          <w:sz w:val="18"/>
          <w:szCs w:val="18"/>
          <w:color w:val="auto"/>
        </w:rPr>
      </w:pPr>
    </w:p>
    <w:p>
      <w:pPr>
        <w:ind w:left="660" w:right="420" w:hanging="544"/>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Does not include 40,099 shares of the Company’s Class A common stock (consisting of (i) 3 shares of the Company’s Class A common stock and (ii) 40,096 shares of the Company’s Class A common stock issuable upon exercise of certain warrants) beneficially owned by ICS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line="234" w:lineRule="auto"/>
        <w:rPr>
          <w:sz w:val="20"/>
          <w:szCs w:val="20"/>
          <w:color w:val="auto"/>
        </w:rPr>
      </w:pPr>
      <w:r>
        <w:rPr>
          <w:rFonts w:ascii="Arial" w:cs="Arial" w:eastAsia="Arial" w:hAnsi="Arial"/>
          <w:sz w:val="18"/>
          <w:szCs w:val="18"/>
          <w:color w:val="auto"/>
        </w:rPr>
        <w:t>Opportunities, Ltd., an exempted company organized under the laws of the Cayman Islands (“ICS Opportunities”) and 42,231 shares of the Company’s Class A common stock beneficially owned by ICS Opportunities II LLC, a Cayman Islands limited liability company (“ICS Opportunities II”). ICS Opportunities and ICS Opportunities II are affiliates of Integrated Core Strategies (US) LLC, a Delaware limited liability company (“Integrated Core Strategies”) and Riverview Group LLC, a Delaware limited liability company (“Riverview Group”). Millennium International Management LP, a Delaware limited partnership (“Millennium International Management”), is the investment manager to ICS Opportunities and ICS Opportunities II and may be deemed to have shared voting control and investment discretion over securities owned by ICS Opportunities and ICS Opportunities II. Millennium Management LLC, a Delaware limited liability company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ICS Opportunities II. The address for Integrated Core Strategies and Riverview Group is c/o Millennium Management LLC, 399 Park Avenue, New York, NY 10022.</w:t>
      </w:r>
    </w:p>
    <w:p>
      <w:pPr>
        <w:spacing w:after="0" w:line="15" w:lineRule="exact"/>
        <w:rPr>
          <w:sz w:val="20"/>
          <w:szCs w:val="20"/>
          <w:color w:val="auto"/>
        </w:rPr>
      </w:pPr>
    </w:p>
    <w:p>
      <w:pPr>
        <w:ind w:left="660" w:right="10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Ghisallo Master Fund LP is managed by Ghisallo Capital Management LLC. Michael Germino is a managing member of Ghisallo Capital Management LLC and has voting and investment control over the securities held by Ghisallo Master Fund LP. The address for Ghisallo Master Fund LP is 27 Hospital Road, Grand Cayman, Cayman Islands KY1-9008.</w:t>
      </w:r>
    </w:p>
    <w:p>
      <w:pPr>
        <w:spacing w:after="0" w:line="2" w:lineRule="exact"/>
        <w:rPr>
          <w:rFonts w:ascii="Arial" w:cs="Arial" w:eastAsia="Arial" w:hAnsi="Arial"/>
          <w:sz w:val="18"/>
          <w:szCs w:val="18"/>
          <w:color w:val="auto"/>
        </w:rPr>
      </w:pPr>
    </w:p>
    <w:p>
      <w:pPr>
        <w:ind w:left="660" w:right="4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Wellington Management Company LLP (“</w:t>
      </w:r>
      <w:r>
        <w:rPr>
          <w:rFonts w:ascii="Arial" w:cs="Arial" w:eastAsia="Arial" w:hAnsi="Arial"/>
          <w:sz w:val="18"/>
          <w:szCs w:val="18"/>
          <w:u w:val="single" w:color="auto"/>
          <w:color w:val="auto"/>
        </w:rPr>
        <w:t>WMC</w:t>
      </w:r>
      <w:r>
        <w:rPr>
          <w:rFonts w:ascii="Arial" w:cs="Arial" w:eastAsia="Arial" w:hAnsi="Arial"/>
          <w:sz w:val="18"/>
          <w:szCs w:val="18"/>
          <w:color w:val="auto"/>
        </w:rPr>
        <w:t>”), a subsidiary of Wellington Management Group LLP, is the investment manager of Bay Pond Partners, L.P., Ithan Creek Master Investors (Cayman) L.P. and Bay Pond Investors (Bermuda) L.P. (the “</w:t>
      </w:r>
      <w:r>
        <w:rPr>
          <w:rFonts w:ascii="Arial" w:cs="Arial" w:eastAsia="Arial" w:hAnsi="Arial"/>
          <w:sz w:val="18"/>
          <w:szCs w:val="18"/>
          <w:u w:val="single" w:color="auto"/>
          <w:color w:val="auto"/>
        </w:rPr>
        <w:t>Wellington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Clients</w:t>
      </w:r>
      <w:r>
        <w:rPr>
          <w:rFonts w:ascii="Arial" w:cs="Arial" w:eastAsia="Arial" w:hAnsi="Arial"/>
          <w:sz w:val="18"/>
          <w:szCs w:val="18"/>
          <w:color w:val="auto"/>
        </w:rPr>
        <w:t>”), and has voting and investment power over the securities held by the Wellington Clients. Wellington Management Group LLP may be deemed to beneficially own 2,721,812 additional shares of Class A common stock in the Company on behalf of entities and accounts not listed above as Selling Holders. The address for the Wellington Clients is c/o Wellington Management Company LLP, 280 Congress Street, Boston, MA 02210, Attention: Private Investment Services.</w:t>
      </w:r>
    </w:p>
    <w:p>
      <w:pPr>
        <w:spacing w:after="0" w:line="4" w:lineRule="exact"/>
        <w:rPr>
          <w:rFonts w:ascii="Arial" w:cs="Arial" w:eastAsia="Arial" w:hAnsi="Arial"/>
          <w:sz w:val="18"/>
          <w:szCs w:val="18"/>
          <w:color w:val="auto"/>
        </w:rPr>
      </w:pPr>
    </w:p>
    <w:p>
      <w:pPr>
        <w:ind w:left="660" w:right="180" w:hanging="544"/>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 Schoenfeld Asset Management LP (“</w:t>
      </w:r>
      <w:r>
        <w:rPr>
          <w:rFonts w:ascii="Arial" w:cs="Arial" w:eastAsia="Arial" w:hAnsi="Arial"/>
          <w:sz w:val="18"/>
          <w:szCs w:val="18"/>
          <w:u w:val="single" w:color="auto"/>
          <w:color w:val="auto"/>
        </w:rPr>
        <w:t>PSAM</w:t>
      </w:r>
      <w:r>
        <w:rPr>
          <w:rFonts w:ascii="Arial" w:cs="Arial" w:eastAsia="Arial" w:hAnsi="Arial"/>
          <w:sz w:val="18"/>
          <w:szCs w:val="18"/>
          <w:color w:val="auto"/>
        </w:rPr>
        <w:t>”), is the investment manager of PSAM WorldArb Master Fund, Ltd, or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for P. Schoenfeld Asset Management LP is 1350 Avenue of the Americas, 21stFloor, New York, NY 10019.</w:t>
      </w:r>
    </w:p>
    <w:p>
      <w:pPr>
        <w:spacing w:after="0" w:line="3" w:lineRule="exact"/>
        <w:rPr>
          <w:rFonts w:ascii="Arial" w:cs="Arial" w:eastAsia="Arial" w:hAnsi="Arial"/>
          <w:sz w:val="18"/>
          <w:szCs w:val="18"/>
          <w:color w:val="auto"/>
        </w:rPr>
      </w:pPr>
    </w:p>
    <w:p>
      <w:pPr>
        <w:ind w:left="660" w:right="60" w:hanging="544"/>
        <w:spacing w:after="0" w:line="23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Nantahala Capital Management, LLC is a Registered Investment Adviser and has been delegated the legal power to vote and/or direct the disposition of such securities on behalf of the selling stockholder as its Investment Manager and would be considered the beneficial owner of such securities. Nantahala Capital Management, LLC may be deemed to beneficially own 848,928 additional shares of Class A common stock in the Company and 400,000 warrants, each whole warrant convertible into one share of Class A common stock of the Company on behalf 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40"/>
        <w:spacing w:after="0" w:line="234" w:lineRule="auto"/>
        <w:rPr>
          <w:sz w:val="20"/>
          <w:szCs w:val="20"/>
          <w:color w:val="auto"/>
        </w:rPr>
      </w:pPr>
      <w:r>
        <w:rPr>
          <w:rFonts w:ascii="Arial" w:cs="Arial" w:eastAsia="Arial" w:hAnsi="Arial"/>
          <w:sz w:val="18"/>
          <w:szCs w:val="18"/>
          <w:color w:val="auto"/>
        </w:rPr>
        <w:t>managed funds and accounts not listed above as Selling Securityholders.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spacing w:after="0" w:line="3" w:lineRule="exact"/>
        <w:rPr>
          <w:sz w:val="20"/>
          <w:szCs w:val="20"/>
          <w:color w:val="auto"/>
        </w:rPr>
      </w:pPr>
    </w:p>
    <w:p>
      <w:pPr>
        <w:ind w:left="660" w:right="14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securities directly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w:t>
      </w:r>
    </w:p>
    <w:p>
      <w:pPr>
        <w:spacing w:after="0" w:line="2" w:lineRule="exact"/>
        <w:rPr>
          <w:rFonts w:ascii="Arial" w:cs="Arial" w:eastAsia="Arial" w:hAnsi="Arial"/>
          <w:sz w:val="18"/>
          <w:szCs w:val="18"/>
          <w:color w:val="auto"/>
        </w:rPr>
      </w:pPr>
    </w:p>
    <w:p>
      <w:pPr>
        <w:ind w:left="660" w:right="300"/>
        <w:spacing w:after="0" w:line="234" w:lineRule="auto"/>
        <w:rPr>
          <w:rFonts w:ascii="Arial" w:cs="Arial" w:eastAsia="Arial" w:hAnsi="Arial"/>
          <w:sz w:val="18"/>
          <w:szCs w:val="18"/>
          <w:color w:val="auto"/>
        </w:rPr>
      </w:pPr>
      <w:r>
        <w:rPr>
          <w:rFonts w:ascii="Arial" w:cs="Arial" w:eastAsia="Arial" w:hAnsi="Arial"/>
          <w:sz w:val="18"/>
          <w:szCs w:val="18"/>
          <w:color w:val="auto"/>
        </w:rPr>
        <w:t>Mr. Wong share voting and dispositive power with respect to the securities held by Linden Capital L.P. The addresses for Linden Capital L.P. is c/o Linden Advisors LP, 590 Madison Avenue, 15th Floor, New York, NY 10022.</w:t>
      </w:r>
    </w:p>
    <w:p>
      <w:pPr>
        <w:spacing w:after="0" w:line="1" w:lineRule="exact"/>
        <w:rPr>
          <w:rFonts w:ascii="Arial" w:cs="Arial" w:eastAsia="Arial" w:hAnsi="Arial"/>
          <w:sz w:val="18"/>
          <w:szCs w:val="18"/>
          <w:color w:val="auto"/>
        </w:rPr>
      </w:pPr>
    </w:p>
    <w:p>
      <w:pPr>
        <w:ind w:left="660" w:right="24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Craig Bergstrom is the Chief Investment Officer of Corbin Capital Partners, L.P., the investment manager of Corbin ERISA Opportunity Fund, Ltd. and Corbin Opportunity Fund, L.P., and directs the voting and investment decisions with respect to the securities held by these Selling Holders. Mr. Bergstrom disclaims beneficial ownership of such securities. The address for Corbin ERISA Opportunity Fund, Ltd. and Corbin Opportunity Fund, L.P. is 590 Madison Ave., 31</w:t>
      </w:r>
      <w:r>
        <w:rPr>
          <w:rFonts w:ascii="Arial" w:cs="Arial" w:eastAsia="Arial" w:hAnsi="Arial"/>
          <w:sz w:val="15"/>
          <w:szCs w:val="15"/>
          <w:color w:val="auto"/>
        </w:rPr>
        <w:t>st</w:t>
      </w:r>
      <w:r>
        <w:rPr>
          <w:rFonts w:ascii="Arial" w:cs="Arial" w:eastAsia="Arial" w:hAnsi="Arial"/>
          <w:sz w:val="18"/>
          <w:szCs w:val="18"/>
          <w:color w:val="auto"/>
        </w:rPr>
        <w:t xml:space="preserve"> Floor, New York, NY 10022.</w:t>
      </w:r>
    </w:p>
    <w:p>
      <w:pPr>
        <w:spacing w:after="0" w:line="2" w:lineRule="exact"/>
        <w:rPr>
          <w:rFonts w:ascii="Arial" w:cs="Arial" w:eastAsia="Arial" w:hAnsi="Arial"/>
          <w:sz w:val="18"/>
          <w:szCs w:val="18"/>
          <w:color w:val="auto"/>
        </w:rPr>
      </w:pPr>
    </w:p>
    <w:p>
      <w:pPr>
        <w:ind w:left="660" w:right="2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Heights Capital Management, Inc., the authorized agent of CVI Investments, Inc. (“</w:t>
      </w:r>
      <w:r>
        <w:rPr>
          <w:rFonts w:ascii="Arial" w:cs="Arial" w:eastAsia="Arial" w:hAnsi="Arial"/>
          <w:sz w:val="18"/>
          <w:szCs w:val="18"/>
          <w:u w:val="single" w:color="auto"/>
          <w:color w:val="auto"/>
        </w:rPr>
        <w:t>CVI</w:t>
      </w:r>
      <w:r>
        <w:rPr>
          <w:rFonts w:ascii="Arial" w:cs="Arial" w:eastAsia="Arial" w:hAnsi="Arial"/>
          <w:sz w:val="18"/>
          <w:szCs w:val="18"/>
          <w:color w:val="auto"/>
        </w:rPr>
        <w:t>”),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w:t>
      </w:r>
    </w:p>
    <w:p>
      <w:pPr>
        <w:spacing w:after="0" w:line="3" w:lineRule="exact"/>
        <w:rPr>
          <w:rFonts w:ascii="Arial" w:cs="Arial" w:eastAsia="Arial" w:hAnsi="Arial"/>
          <w:sz w:val="18"/>
          <w:szCs w:val="18"/>
          <w:color w:val="auto"/>
        </w:rPr>
      </w:pPr>
    </w:p>
    <w:p>
      <w:pPr>
        <w:ind w:left="660" w:right="2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MMCAP International Inc. SPC holds the securities for and on behalf of MMCAP Master Segregated Portfolio. Matthew MacIsaac is the Secretary of MM Asset Management Inc., which is the investment advisor to MMCAP International Inc. SPC, and may be deemed to having voting and dispositive control over the securities held by the Selling Holder. The address for MMCAP International Inc. SPC is c/o MM Asset Management Inc., 161 Bay St. Ste 2240 BOX 600, Toronto, ON M5J 2S1.</w:t>
      </w:r>
    </w:p>
    <w:p>
      <w:pPr>
        <w:spacing w:after="0" w:line="2" w:lineRule="exact"/>
        <w:rPr>
          <w:rFonts w:ascii="Arial" w:cs="Arial" w:eastAsia="Arial" w:hAnsi="Arial"/>
          <w:sz w:val="18"/>
          <w:szCs w:val="18"/>
          <w:color w:val="auto"/>
        </w:rPr>
      </w:pPr>
    </w:p>
    <w:p>
      <w:pPr>
        <w:ind w:left="660" w:right="54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Ivan Zinn exercises voting or dispositive power over the securities held by Atalaya Special Purpose Investment Fund LP. The address for Atalaya Special Purpose Investment Fund LP is One Rockefeller Center, New York, NY 10020.</w:t>
      </w:r>
    </w:p>
    <w:p>
      <w:pPr>
        <w:spacing w:after="0" w:line="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reported securities are directly owned by Samlyn Offshore Master Fund, Ltd., Samlyn Net Neutral Master Fund, Ltd. or Samlyn Long Alpha Master Fund, Ltd., as applicable, and may be deemed to be indirectly beneficially owned by Samlyn Capital, LLC (“</w:t>
      </w:r>
      <w:r>
        <w:rPr>
          <w:rFonts w:ascii="Arial" w:cs="Arial" w:eastAsia="Arial" w:hAnsi="Arial"/>
          <w:sz w:val="18"/>
          <w:szCs w:val="18"/>
          <w:u w:val="single" w:color="auto"/>
          <w:color w:val="auto"/>
        </w:rPr>
        <w:t>Samlyn Capital</w:t>
      </w:r>
      <w:r>
        <w:rPr>
          <w:rFonts w:ascii="Arial" w:cs="Arial" w:eastAsia="Arial" w:hAnsi="Arial"/>
          <w:sz w:val="18"/>
          <w:szCs w:val="18"/>
          <w:color w:val="auto"/>
        </w:rPr>
        <w:t>”), as the investment manager of Samlyn Offshore Master Fund, Samlyn Net Neutral Master Fund and Samlyn Long Alpha Master Fund (“</w:t>
      </w:r>
      <w:r>
        <w:rPr>
          <w:rFonts w:ascii="Arial" w:cs="Arial" w:eastAsia="Arial" w:hAnsi="Arial"/>
          <w:sz w:val="18"/>
          <w:szCs w:val="18"/>
          <w:u w:val="single" w:color="auto"/>
          <w:color w:val="auto"/>
        </w:rPr>
        <w:t>Samlyn Funds</w:t>
      </w:r>
      <w:r>
        <w:rPr>
          <w:rFonts w:ascii="Arial" w:cs="Arial" w:eastAsia="Arial" w:hAnsi="Arial"/>
          <w:sz w:val="18"/>
          <w:szCs w:val="18"/>
          <w:color w:val="auto"/>
        </w:rPr>
        <w:t>”), respectively. The reported securities may also be deemed to be indirectly beneficially owned by Robert Pohly as the principal of Samlyn Capital and Director of the Samlyn Funds. Samlyn Capital and Robert Pohly disclaim beneficial ownership of the reported securities except to the extent of their respective pecuniary interests therein, and this report shall not be deemed an admission that either of them are the beneficial owners of the securities for purposes of Section 16 of the Exchange Act, or for any other purpose. The address for the Selling Holders is c/o Samlyn Capital, LLC, 500 Park Avenue, New York, NY 10022.</w:t>
      </w:r>
    </w:p>
    <w:p>
      <w:pPr>
        <w:spacing w:after="0" w:line="6" w:lineRule="exact"/>
        <w:rPr>
          <w:rFonts w:ascii="Arial" w:cs="Arial" w:eastAsia="Arial" w:hAnsi="Arial"/>
          <w:sz w:val="18"/>
          <w:szCs w:val="18"/>
          <w:color w:val="auto"/>
        </w:rPr>
      </w:pPr>
    </w:p>
    <w:p>
      <w:pPr>
        <w:ind w:left="660" w:hanging="544"/>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reported securities are directly owned by Samlyn Onshore Fund, LP, and may be deemed to be indirectly beneficially owned by</w:t>
      </w:r>
    </w:p>
    <w:p>
      <w:pPr>
        <w:spacing w:after="0" w:line="7" w:lineRule="exact"/>
        <w:rPr>
          <w:rFonts w:ascii="Arial" w:cs="Arial" w:eastAsia="Arial" w:hAnsi="Arial"/>
          <w:sz w:val="17"/>
          <w:szCs w:val="17"/>
          <w:color w:val="auto"/>
        </w:rPr>
      </w:pPr>
    </w:p>
    <w:p>
      <w:pPr>
        <w:ind w:left="660" w:right="20"/>
        <w:spacing w:after="0"/>
        <w:rPr>
          <w:rFonts w:ascii="Arial" w:cs="Arial" w:eastAsia="Arial" w:hAnsi="Arial"/>
          <w:sz w:val="17"/>
          <w:szCs w:val="17"/>
          <w:color w:val="auto"/>
        </w:rPr>
      </w:pPr>
      <w:r>
        <w:rPr>
          <w:rFonts w:ascii="Arial" w:cs="Arial" w:eastAsia="Arial" w:hAnsi="Arial"/>
          <w:sz w:val="18"/>
          <w:szCs w:val="18"/>
          <w:color w:val="auto"/>
        </w:rPr>
        <w:t>(i) Samlyn Capital, LLC, as the investment manager of Samlyn Onshore Fund, and (ii) Samlyn Partners, LLC (“</w:t>
      </w:r>
      <w:r>
        <w:rPr>
          <w:rFonts w:ascii="Arial" w:cs="Arial" w:eastAsia="Arial" w:hAnsi="Arial"/>
          <w:sz w:val="18"/>
          <w:szCs w:val="18"/>
          <w:u w:val="single" w:color="auto"/>
          <w:color w:val="auto"/>
        </w:rPr>
        <w:t>Samlyn Partners</w:t>
      </w:r>
      <w:r>
        <w:rPr>
          <w:rFonts w:ascii="Arial" w:cs="Arial" w:eastAsia="Arial" w:hAnsi="Arial"/>
          <w:sz w:val="18"/>
          <w:szCs w:val="18"/>
          <w:color w:val="auto"/>
        </w:rPr>
        <w:t>”), as the general partner of Samlyn Onshore Fund. The reported securities may also be deemed to be indirectly beneficially owned by Robert Pohly as the principal of Samlyn Capital and Managing Member of Samlyn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40"/>
        <w:spacing w:after="0" w:line="234" w:lineRule="auto"/>
        <w:rPr>
          <w:sz w:val="20"/>
          <w:szCs w:val="20"/>
          <w:color w:val="auto"/>
        </w:rPr>
      </w:pPr>
      <w:r>
        <w:rPr>
          <w:rFonts w:ascii="Arial" w:cs="Arial" w:eastAsia="Arial" w:hAnsi="Arial"/>
          <w:sz w:val="18"/>
          <w:szCs w:val="18"/>
          <w:color w:val="auto"/>
        </w:rPr>
        <w:t>Partners. Samlyn Capital, Samlyn Partners and Robert Pohly disclaim beneficial ownership of the reported securities except to the extent of their respective pecuniary interests therein, and this report shall not be deemed an admission that any of them are the beneficial owners of the securities for purposes of Section 16 of the Exchange Act or for any other purpose. The address for Samlyn Onshore Fund, LP is c/o Samlyn Capital, LLC, 500 Park Avenue, New York, NY 10022.</w:t>
      </w:r>
    </w:p>
    <w:p>
      <w:pPr>
        <w:spacing w:after="0" w:line="3" w:lineRule="exact"/>
        <w:rPr>
          <w:sz w:val="20"/>
          <w:szCs w:val="20"/>
          <w:color w:val="auto"/>
        </w:rPr>
      </w:pPr>
    </w:p>
    <w:p>
      <w:pPr>
        <w:ind w:left="660" w:right="120" w:hanging="544"/>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Lester Brafman is the Chief Executive Officer of Cohen &amp; Company, LLC, which manages this Selling Holder, and accordingly may be deemed to have voting and dispositive power with respect to the shares held by this Selling Holder. The address for FM PWP PIPE Sponsor, LLC is 2929 Arch Street, Suite 1703, Philadelphia, PA 19104.</w:t>
      </w:r>
    </w:p>
    <w:p>
      <w:pPr>
        <w:spacing w:after="0" w:line="2" w:lineRule="exact"/>
        <w:rPr>
          <w:rFonts w:ascii="Arial" w:cs="Arial" w:eastAsia="Arial" w:hAnsi="Arial"/>
          <w:sz w:val="18"/>
          <w:szCs w:val="18"/>
          <w:color w:val="auto"/>
        </w:rPr>
      </w:pPr>
    </w:p>
    <w:p>
      <w:pPr>
        <w:ind w:left="660" w:right="120" w:hanging="544"/>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 The address for Tech Opportunities LLC is c/o Hudson Bay Capital Management LP, 777 Third Avenue, 30</w:t>
      </w:r>
      <w:r>
        <w:rPr>
          <w:rFonts w:ascii="Arial" w:cs="Arial" w:eastAsia="Arial" w:hAnsi="Arial"/>
          <w:sz w:val="15"/>
          <w:szCs w:val="15"/>
          <w:color w:val="auto"/>
        </w:rPr>
        <w:t>th</w:t>
      </w:r>
      <w:r>
        <w:rPr>
          <w:rFonts w:ascii="Arial" w:cs="Arial" w:eastAsia="Arial" w:hAnsi="Arial"/>
          <w:sz w:val="18"/>
          <w:szCs w:val="18"/>
          <w:color w:val="auto"/>
        </w:rPr>
        <w:t xml:space="preserve"> Floor, New York, NY 10017.</w:t>
      </w:r>
    </w:p>
    <w:p>
      <w:pPr>
        <w:spacing w:after="0" w:line="3"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3" w:lineRule="exact"/>
        <w:rPr>
          <w:rFonts w:ascii="Arial" w:cs="Arial" w:eastAsia="Arial" w:hAnsi="Arial"/>
          <w:sz w:val="18"/>
          <w:szCs w:val="18"/>
          <w:color w:val="auto"/>
        </w:rPr>
      </w:pPr>
    </w:p>
    <w:p>
      <w:pPr>
        <w:ind w:left="660" w:right="40" w:hanging="544"/>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in exchange for PWP OpCo Class A partnership units and shares of our Class B common stock held by the Selling Holder prior to this offering. Each PWP OpCo Class A partnership unit is exchangeable for one share of Class A common stock. Concurrently with an exchange of PWP OpCo Class A partnership units for shares of Class A common stock or cash by a PWP OpCo unitholder who also holds shares of Class B common stock, such PWP OpCo unitholder will be required to surrender to the Company 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w:t>
      </w:r>
    </w:p>
    <w:p>
      <w:pPr>
        <w:spacing w:after="0" w:line="5" w:lineRule="exact"/>
        <w:rPr>
          <w:rFonts w:ascii="Arial" w:cs="Arial" w:eastAsia="Arial" w:hAnsi="Arial"/>
          <w:sz w:val="18"/>
          <w:szCs w:val="18"/>
          <w:color w:val="auto"/>
        </w:rPr>
      </w:pPr>
    </w:p>
    <w:p>
      <w:pPr>
        <w:ind w:left="660" w:right="200" w:hanging="544"/>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Peter A. Weinberg has shared voting and dispositive power over the securities held by Red Hook Capital, LLC through his shared control over Rosedale Partners LLC, the sole member of Red Hook Capital, LLC.</w:t>
      </w:r>
    </w:p>
    <w:p>
      <w:pPr>
        <w:spacing w:after="0" w:line="1" w:lineRule="exact"/>
        <w:rPr>
          <w:rFonts w:ascii="Arial" w:cs="Arial" w:eastAsia="Arial" w:hAnsi="Arial"/>
          <w:sz w:val="18"/>
          <w:szCs w:val="18"/>
          <w:color w:val="auto"/>
        </w:rPr>
      </w:pPr>
    </w:p>
    <w:p>
      <w:pPr>
        <w:jc w:val="both"/>
        <w:ind w:left="660" w:right="300" w:hanging="544"/>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Winston Fisher is a control person and has voting and dispositive power with respect to the securities held by this Selling Holder and may be deemed to beneficially own such securities. The address for Fisher Perella Partners LLC is c/o Fisher Brothers, 299 Park Avenue, 42 FL, New York, NY 10171.</w:t>
      </w:r>
    </w:p>
    <w:p>
      <w:pPr>
        <w:spacing w:after="0" w:line="2" w:lineRule="exact"/>
        <w:rPr>
          <w:rFonts w:ascii="Arial" w:cs="Arial" w:eastAsia="Arial" w:hAnsi="Arial"/>
          <w:sz w:val="18"/>
          <w:szCs w:val="18"/>
          <w:color w:val="auto"/>
        </w:rPr>
      </w:pPr>
    </w:p>
    <w:p>
      <w:pPr>
        <w:ind w:left="660" w:right="100" w:hanging="544"/>
        <w:spacing w:after="0" w:line="24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Inter Private Equity Noco A, Inc. is a wholly owned subsidiary of International SIF SICAV SA (“</w:t>
      </w:r>
      <w:r>
        <w:rPr>
          <w:rFonts w:ascii="Arial" w:cs="Arial" w:eastAsia="Arial" w:hAnsi="Arial"/>
          <w:sz w:val="17"/>
          <w:szCs w:val="17"/>
          <w:u w:val="single" w:color="auto"/>
          <w:color w:val="auto"/>
        </w:rPr>
        <w:t>ISS</w:t>
      </w:r>
      <w:r>
        <w:rPr>
          <w:rFonts w:ascii="Arial" w:cs="Arial" w:eastAsia="Arial" w:hAnsi="Arial"/>
          <w:sz w:val="17"/>
          <w:szCs w:val="17"/>
          <w:color w:val="auto"/>
        </w:rPr>
        <w:t>”). ISS is managed by its affiliate, Inter Fund Management SA (“</w:t>
      </w:r>
      <w:r>
        <w:rPr>
          <w:rFonts w:ascii="Arial" w:cs="Arial" w:eastAsia="Arial" w:hAnsi="Arial"/>
          <w:sz w:val="17"/>
          <w:szCs w:val="17"/>
          <w:u w:val="single" w:color="auto"/>
          <w:color w:val="auto"/>
        </w:rPr>
        <w:t>IFM</w:t>
      </w:r>
      <w:r>
        <w:rPr>
          <w:rFonts w:ascii="Arial" w:cs="Arial" w:eastAsia="Arial" w:hAnsi="Arial"/>
          <w:sz w:val="17"/>
          <w:szCs w:val="17"/>
          <w:color w:val="auto"/>
        </w:rPr>
        <w:t>”) and decisions concerning voting and investment control at IFM (in respect of ISS) are made by an investment committee consisting of: Henrik Jonsson, Gilles Vanden Plas, Björn König, Pieter De Weerdt, Simon Faure and Aurelien Dunet. The address for Inter Private Equity Noco A, Inc. is 850 New Burton Road Ste. 201, Dover, Delaware 19904-5786.</w:t>
      </w:r>
    </w:p>
    <w:p>
      <w:pPr>
        <w:spacing w:after="0" w:line="2" w:lineRule="exact"/>
        <w:rPr>
          <w:rFonts w:ascii="Arial" w:cs="Arial" w:eastAsia="Arial" w:hAnsi="Arial"/>
          <w:sz w:val="17"/>
          <w:szCs w:val="17"/>
          <w:color w:val="auto"/>
        </w:rPr>
      </w:pPr>
    </w:p>
    <w:p>
      <w:pPr>
        <w:ind w:left="660" w:right="520" w:hanging="544"/>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EXOR N.V. has voting and dispositive power with respect to the securities held by this Selling Holder and may be deemed to beneficially own such securities. The address for Ancom USA Inc. is c/o Steven Battino, 17 Carol Street, Plainview, New York 11803.</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6" w:name="page197"/>
    <w:bookmarkEnd w:id="196"/>
    <w:p>
      <w:pPr>
        <w:spacing w:after="0" w:line="468" w:lineRule="auto"/>
        <w:framePr w:w="1440" w:h="673" w:wrap="auto" w:vAnchor="page" w:hAnchor="page" w:x="280" w:y="480"/>
        <w:rPr>
          <w:rFonts w:ascii="Arial" w:cs="Arial" w:eastAsia="Arial" w:hAnsi="Arial"/>
          <w:sz w:val="14"/>
          <w:szCs w:val="14"/>
          <w:b w:val="1"/>
          <w:bCs w:val="1"/>
          <w:i w:val="1"/>
          <w:iCs w:val="1"/>
          <w:color w:val="000000"/>
        </w:rPr>
      </w:pPr>
      <w:hyperlink w:anchor="page4">
        <w:r>
          <w:rPr>
            <w:rFonts w:ascii="Arial" w:cs="Arial" w:eastAsia="Arial" w:hAnsi="Arial"/>
            <w:sz w:val="15"/>
            <w:szCs w:val="15"/>
            <w:b w:val="1"/>
            <w:bCs w:val="1"/>
            <w:u w:val="single" w:color="auto"/>
            <w:color w:val="0000EE"/>
          </w:rPr>
          <w:t>Table of Contents</w:t>
        </w:r>
      </w:hyperlink>
      <w:r>
        <w:rPr>
          <w:rFonts w:ascii="Arial" w:cs="Arial" w:eastAsia="Arial" w:hAnsi="Arial"/>
          <w:sz w:val="15"/>
          <w:szCs w:val="15"/>
          <w:b w:val="1"/>
          <w:bCs w:val="1"/>
          <w:u w:val="single" w:color="auto"/>
          <w:color w:val="0000EE"/>
        </w:rPr>
        <w:t xml:space="preserve"> </w:t>
      </w:r>
      <w:r>
        <w:rPr>
          <w:rFonts w:ascii="Arial" w:cs="Arial" w:eastAsia="Arial" w:hAnsi="Arial"/>
          <w:sz w:val="14"/>
          <w:szCs w:val="14"/>
          <w:b w:val="1"/>
          <w:bCs w:val="1"/>
          <w:i w:val="1"/>
          <w:iCs w:val="1"/>
          <w:color w:val="000000"/>
        </w:rPr>
        <w:t>Warrants</w:t>
      </w:r>
    </w:p>
    <w:tbl>
      <w:tblPr>
        <w:tblLayout w:type="fixed"/>
        <w:tblInd w:w="4"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ind w:left="165"/>
              <w:spacing w:after="0"/>
              <w:rPr>
                <w:sz w:val="20"/>
                <w:szCs w:val="20"/>
                <w:color w:val="auto"/>
              </w:rPr>
            </w:pPr>
            <w:r>
              <w:rPr>
                <w:rFonts w:ascii="Arial" w:cs="Arial" w:eastAsia="Arial" w:hAnsi="Arial"/>
                <w:sz w:val="14"/>
                <w:szCs w:val="14"/>
                <w:b w:val="1"/>
                <w:bCs w:val="1"/>
                <w:color w:val="auto"/>
              </w:rPr>
              <w:t>Beneficial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4"/>
                <w:szCs w:val="14"/>
                <w:b w:val="1"/>
                <w:bCs w:val="1"/>
                <w:color w:val="auto"/>
              </w:rPr>
              <w:t>Beneficial Ownership</w:t>
            </w:r>
          </w:p>
        </w:tc>
        <w:tc>
          <w:tcPr>
            <w:tcW w:w="22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Securities to be Sold in</w:t>
            </w: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Ownership After</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140" w:type="dxa"/>
            <w:vAlign w:val="bottom"/>
            <w:gridSpan w:val="4"/>
          </w:tcPr>
          <w:p>
            <w:pPr>
              <w:ind w:left="160"/>
              <w:spacing w:after="0"/>
              <w:rPr>
                <w:sz w:val="20"/>
                <w:szCs w:val="20"/>
                <w:color w:val="auto"/>
              </w:rPr>
            </w:pPr>
            <w:r>
              <w:rPr>
                <w:rFonts w:ascii="Arial" w:cs="Arial" w:eastAsia="Arial" w:hAnsi="Arial"/>
                <w:sz w:val="14"/>
                <w:szCs w:val="14"/>
                <w:b w:val="1"/>
                <w:bCs w:val="1"/>
                <w:color w:val="auto"/>
              </w:rPr>
              <w:t>Before the Offering</w:t>
            </w:r>
          </w:p>
        </w:tc>
        <w:tc>
          <w:tcPr>
            <w:tcW w:w="1320" w:type="dxa"/>
            <w:vAlign w:val="bottom"/>
            <w:gridSpan w:val="2"/>
          </w:tcPr>
          <w:p>
            <w:pPr>
              <w:jc w:val="center"/>
              <w:ind w:left="364"/>
              <w:spacing w:after="0"/>
              <w:rPr>
                <w:sz w:val="20"/>
                <w:szCs w:val="20"/>
                <w:color w:val="auto"/>
              </w:rPr>
            </w:pPr>
            <w:r>
              <w:rPr>
                <w:rFonts w:ascii="Arial" w:cs="Arial" w:eastAsia="Arial" w:hAnsi="Arial"/>
                <w:sz w:val="14"/>
                <w:szCs w:val="14"/>
                <w:b w:val="1"/>
                <w:bCs w:val="1"/>
                <w:color w:val="auto"/>
              </w:rPr>
              <w:t>the Offering</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center"/>
              <w:ind w:left="145"/>
              <w:spacing w:after="0"/>
              <w:rPr>
                <w:sz w:val="20"/>
                <w:szCs w:val="20"/>
                <w:color w:val="auto"/>
              </w:rPr>
            </w:pPr>
            <w:r>
              <w:rPr>
                <w:rFonts w:ascii="Arial" w:cs="Arial" w:eastAsia="Arial" w:hAnsi="Arial"/>
                <w:sz w:val="14"/>
                <w:szCs w:val="14"/>
                <w:b w:val="1"/>
                <w:bCs w:val="1"/>
                <w:color w:val="auto"/>
              </w:rPr>
              <w:t>the Offering</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Holder</w:t>
            </w:r>
          </w:p>
        </w:tc>
        <w:tc>
          <w:tcPr>
            <w:tcW w:w="3660" w:type="dxa"/>
            <w:vAlign w:val="bottom"/>
            <w:vMerge w:val="restart"/>
          </w:tcPr>
          <w:p>
            <w:pPr>
              <w:spacing w:after="0"/>
              <w:rPr>
                <w:sz w:val="12"/>
                <w:szCs w:val="12"/>
                <w:color w:val="auto"/>
              </w:rPr>
            </w:pPr>
          </w:p>
        </w:tc>
        <w:tc>
          <w:tcPr>
            <w:tcW w:w="124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4"/>
                <w:szCs w:val="14"/>
                <w:b w:val="1"/>
                <w:bCs w:val="1"/>
                <w:color w:val="auto"/>
              </w:rPr>
              <w:t>Number of</w:t>
            </w:r>
          </w:p>
        </w:tc>
        <w:tc>
          <w:tcPr>
            <w:tcW w:w="4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Number of</w:t>
            </w:r>
          </w:p>
        </w:tc>
        <w:tc>
          <w:tcPr>
            <w:tcW w:w="4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w w:val="99"/>
              </w:rPr>
              <w:t>Number of</w:t>
            </w:r>
          </w:p>
        </w:tc>
        <w:tc>
          <w:tcPr>
            <w:tcW w:w="24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8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Warrants</w:t>
            </w:r>
          </w:p>
        </w:tc>
        <w:tc>
          <w:tcPr>
            <w:tcW w:w="3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3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Warrants</w:t>
            </w:r>
          </w:p>
        </w:tc>
        <w:tc>
          <w:tcPr>
            <w:tcW w:w="36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Arial" w:cs="Arial" w:eastAsia="Arial" w:hAnsi="Arial"/>
                <w:sz w:val="18"/>
                <w:szCs w:val="18"/>
                <w:color w:val="auto"/>
              </w:rPr>
              <w:t>FinTech Investor Holdings IV, LLC(2)</w:t>
            </w:r>
          </w:p>
        </w:tc>
        <w:tc>
          <w:tcPr>
            <w:tcW w:w="880" w:type="dxa"/>
            <w:vAlign w:val="bottom"/>
          </w:tcPr>
          <w:p>
            <w:pPr>
              <w:ind w:left="240"/>
              <w:spacing w:after="0" w:line="189" w:lineRule="exact"/>
              <w:rPr>
                <w:sz w:val="20"/>
                <w:szCs w:val="20"/>
                <w:color w:val="auto"/>
              </w:rPr>
            </w:pPr>
            <w:r>
              <w:rPr>
                <w:rFonts w:ascii="Arial" w:cs="Arial" w:eastAsia="Arial" w:hAnsi="Arial"/>
                <w:sz w:val="18"/>
                <w:szCs w:val="18"/>
                <w:color w:val="auto"/>
                <w:w w:val="95"/>
              </w:rPr>
              <w:t>203,333</w:t>
            </w:r>
          </w:p>
        </w:tc>
        <w:tc>
          <w:tcPr>
            <w:tcW w:w="360" w:type="dxa"/>
            <w:vAlign w:val="bottom"/>
          </w:tcPr>
          <w:p>
            <w:pPr>
              <w:spacing w:after="0"/>
              <w:rPr>
                <w:sz w:val="16"/>
                <w:szCs w:val="16"/>
                <w:color w:val="auto"/>
              </w:rPr>
            </w:pPr>
          </w:p>
        </w:tc>
        <w:tc>
          <w:tcPr>
            <w:tcW w:w="90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2.6%</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203,333</w:t>
            </w:r>
          </w:p>
        </w:tc>
        <w:tc>
          <w:tcPr>
            <w:tcW w:w="360" w:type="dxa"/>
            <w:vAlign w:val="bottom"/>
          </w:tcPr>
          <w:p>
            <w:pPr>
              <w:spacing w:after="0"/>
              <w:rPr>
                <w:sz w:val="16"/>
                <w:szCs w:val="16"/>
                <w:color w:val="auto"/>
              </w:rPr>
            </w:pPr>
          </w:p>
        </w:tc>
        <w:tc>
          <w:tcPr>
            <w:tcW w:w="94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2.6%</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240" w:type="dxa"/>
            <w:vAlign w:val="bottom"/>
          </w:tcPr>
          <w:p>
            <w:pPr>
              <w:ind w:left="60"/>
              <w:spacing w:after="0" w:line="189"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4"/>
          <w:szCs w:val="14"/>
          <w:b w:val="1"/>
          <w:bCs w:val="1"/>
          <w:i w:val="1"/>
          <w:iCs w:val="1"/>
          <w:color w:val="000000"/>
        </w:rPr>
      </w:pPr>
      <w:r>
        <w:rPr>
          <w:rFonts w:ascii="Arial" w:cs="Arial" w:eastAsia="Arial" w:hAnsi="Arial"/>
          <w:sz w:val="14"/>
          <w:szCs w:val="14"/>
          <w:b w:val="1"/>
          <w:bCs w:val="1"/>
          <w:i w:val="1"/>
          <w:iCs w:val="1"/>
          <w:color w:val="000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-135890</wp:posOffset>
            </wp:positionV>
            <wp:extent cx="699516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544" w:hanging="544"/>
        <w:spacing w:after="0" w:line="234" w:lineRule="auto"/>
        <w:tabs>
          <w:tab w:leader="none" w:pos="5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upon 7,870,000 warrants outstanding as of June 30, 2021.</w:t>
      </w:r>
    </w:p>
    <w:p>
      <w:pPr>
        <w:ind w:left="544" w:right="40" w:hanging="544"/>
        <w:spacing w:after="0" w:line="253" w:lineRule="auto"/>
        <w:tabs>
          <w:tab w:leader="none" w:pos="54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Cohen Sponsor Interests IV, LLC is the manager of the Selling Holder. FinTech Masala, LLC is the sole member of Cohen Sponsor Interests IV.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Cohen Sponsor Interests IV, LLC, FinTech Masala, LLC and FinTech Masala Holdings, LLC shares voting and investment power over the shares of common stock held directly by the Selling Holder. The address of FinTech Investor Holdings IV, LLC is 2929 Arch Street, Suite 1703, Philadelphia, PA 19104.</w:t>
      </w:r>
    </w:p>
    <w:p>
      <w:pPr>
        <w:spacing w:after="0" w:line="281" w:lineRule="exact"/>
        <w:rPr>
          <w:rFonts w:ascii="Arial" w:cs="Arial" w:eastAsia="Arial" w:hAnsi="Arial"/>
          <w:sz w:val="14"/>
          <w:szCs w:val="14"/>
          <w:b w:val="1"/>
          <w:bCs w:val="1"/>
          <w:i w:val="1"/>
          <w:iCs w:val="1"/>
          <w:color w:val="000000"/>
        </w:rPr>
      </w:pPr>
    </w:p>
    <w:p>
      <w:pPr>
        <w:jc w:val="center"/>
        <w:ind w:right="-43"/>
        <w:spacing w:after="0"/>
        <w:rPr>
          <w:sz w:val="20"/>
          <w:szCs w:val="20"/>
          <w:color w:val="auto"/>
        </w:rPr>
      </w:pPr>
      <w:r>
        <w:rPr>
          <w:rFonts w:ascii="Arial" w:cs="Arial" w:eastAsia="Arial" w:hAnsi="Arial"/>
          <w:sz w:val="18"/>
          <w:szCs w:val="18"/>
          <w:b w:val="1"/>
          <w:bCs w:val="1"/>
          <w:color w:val="auto"/>
        </w:rPr>
        <w:t>Material Relationships with the Selling Holders</w:t>
      </w:r>
    </w:p>
    <w:p>
      <w:pPr>
        <w:spacing w:after="0" w:line="234" w:lineRule="exact"/>
        <w:rPr>
          <w:rFonts w:ascii="Arial" w:cs="Arial" w:eastAsia="Arial" w:hAnsi="Arial"/>
          <w:sz w:val="14"/>
          <w:szCs w:val="14"/>
          <w:b w:val="1"/>
          <w:bCs w:val="1"/>
          <w:i w:val="1"/>
          <w:iCs w:val="1"/>
          <w:color w:val="000000"/>
        </w:rPr>
      </w:pPr>
    </w:p>
    <w:p>
      <w:pPr>
        <w:ind w:left="4" w:right="120" w:firstLine="551"/>
        <w:spacing w:after="0" w:line="246" w:lineRule="auto"/>
        <w:rPr>
          <w:sz w:val="20"/>
          <w:szCs w:val="20"/>
          <w:color w:val="auto"/>
        </w:rPr>
      </w:pPr>
      <w:r>
        <w:rPr>
          <w:rFonts w:ascii="Arial" w:cs="Arial" w:eastAsia="Arial" w:hAnsi="Arial"/>
          <w:sz w:val="18"/>
          <w:szCs w:val="18"/>
          <w:color w:val="auto"/>
        </w:rPr>
        <w:t>Daniel G. Cohen is a member of our board of directors and a managing member of FinTech Masala, LLC. FinTech Masala, LLC is the sole member of Cohen Sponsor Interests IV, LLC, which is the manager of FinTech Investor Holdings IV, LLC.</w:t>
      </w:r>
    </w:p>
    <w:p>
      <w:pPr>
        <w:spacing w:after="0" w:line="197" w:lineRule="exact"/>
        <w:rPr>
          <w:rFonts w:ascii="Arial" w:cs="Arial" w:eastAsia="Arial" w:hAnsi="Arial"/>
          <w:sz w:val="14"/>
          <w:szCs w:val="14"/>
          <w:b w:val="1"/>
          <w:bCs w:val="1"/>
          <w:i w:val="1"/>
          <w:iCs w:val="1"/>
          <w:color w:val="000000"/>
        </w:rPr>
      </w:pPr>
    </w:p>
    <w:p>
      <w:pPr>
        <w:ind w:left="4" w:right="440" w:firstLine="551"/>
        <w:spacing w:after="0" w:line="246" w:lineRule="auto"/>
        <w:rPr>
          <w:sz w:val="20"/>
          <w:szCs w:val="20"/>
          <w:color w:val="auto"/>
        </w:rPr>
      </w:pPr>
      <w:r>
        <w:rPr>
          <w:rFonts w:ascii="Arial" w:cs="Arial" w:eastAsia="Arial" w:hAnsi="Arial"/>
          <w:sz w:val="18"/>
          <w:szCs w:val="18"/>
          <w:color w:val="auto"/>
        </w:rPr>
        <w:t>Peter A. Weinberg, our Chairman and Chief Executive Officer, exercises shared control over Rosedale Partners LLC, the sole member of Red Hook Capital, LLC.</w:t>
      </w:r>
    </w:p>
    <w:p>
      <w:pPr>
        <w:spacing w:after="0" w:line="197" w:lineRule="exact"/>
        <w:rPr>
          <w:rFonts w:ascii="Arial" w:cs="Arial" w:eastAsia="Arial" w:hAnsi="Arial"/>
          <w:sz w:val="14"/>
          <w:szCs w:val="14"/>
          <w:b w:val="1"/>
          <w:bCs w:val="1"/>
          <w:i w:val="1"/>
          <w:iCs w:val="1"/>
          <w:color w:val="000000"/>
        </w:rPr>
      </w:pPr>
    </w:p>
    <w:p>
      <w:pPr>
        <w:ind w:left="4" w:right="120" w:firstLine="551"/>
        <w:spacing w:after="0" w:line="238" w:lineRule="auto"/>
        <w:rPr>
          <w:sz w:val="20"/>
          <w:szCs w:val="20"/>
          <w:color w:val="auto"/>
        </w:rPr>
      </w:pPr>
      <w:r>
        <w:rPr>
          <w:rFonts w:ascii="Arial" w:cs="Arial" w:eastAsia="Arial" w:hAnsi="Arial"/>
          <w:sz w:val="18"/>
          <w:szCs w:val="18"/>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w:t>
      </w:r>
    </w:p>
    <w:p>
      <w:pPr>
        <w:spacing w:after="0" w:line="187" w:lineRule="exact"/>
        <w:rPr>
          <w:rFonts w:ascii="Arial" w:cs="Arial" w:eastAsia="Arial" w:hAnsi="Arial"/>
          <w:sz w:val="14"/>
          <w:szCs w:val="14"/>
          <w:b w:val="1"/>
          <w:bCs w:val="1"/>
          <w:i w:val="1"/>
          <w:iCs w:val="1"/>
          <w:color w:val="000000"/>
        </w:rPr>
      </w:pPr>
    </w:p>
    <w:p>
      <w:pPr>
        <w:ind w:left="4" w:right="840" w:firstLine="551"/>
        <w:spacing w:after="0" w:line="296" w:lineRule="auto"/>
        <w:rPr>
          <w:sz w:val="20"/>
          <w:szCs w:val="20"/>
          <w:color w:val="auto"/>
        </w:rPr>
      </w:pPr>
      <w:r>
        <w:rPr>
          <w:rFonts w:ascii="Arial" w:cs="Arial" w:eastAsia="Arial" w:hAnsi="Arial"/>
          <w:sz w:val="17"/>
          <w:szCs w:val="17"/>
          <w:color w:val="auto"/>
        </w:rPr>
        <w:t>For a description of our other relationships with the Selling Holders and their affiliates see the sections entitled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w:t>
      </w:r>
      <w:r>
        <w:rPr>
          <w:rFonts w:ascii="Arial" w:cs="Arial" w:eastAsia="Arial" w:hAnsi="Arial"/>
          <w:sz w:val="17"/>
          <w:szCs w:val="17"/>
          <w:i w:val="1"/>
          <w:iCs w:val="1"/>
          <w:color w:val="auto"/>
        </w:rPr>
        <w:t>Management</w:t>
      </w:r>
      <w:r>
        <w:rPr>
          <w:rFonts w:ascii="Arial" w:cs="Arial" w:eastAsia="Arial" w:hAnsi="Arial"/>
          <w:sz w:val="17"/>
          <w:szCs w:val="17"/>
          <w:color w:val="auto"/>
        </w:rPr>
        <w:t>” “</w:t>
      </w:r>
      <w:r>
        <w:rPr>
          <w:rFonts w:ascii="Arial" w:cs="Arial" w:eastAsia="Arial" w:hAnsi="Arial"/>
          <w:sz w:val="17"/>
          <w:szCs w:val="17"/>
          <w:i w:val="1"/>
          <w:iCs w:val="1"/>
          <w:color w:val="auto"/>
        </w:rPr>
        <w:t>Certain Relationships and Related Persons Transactions</w:t>
      </w:r>
      <w:r>
        <w:rPr>
          <w:rFonts w:ascii="Arial" w:cs="Arial" w:eastAsia="Arial" w:hAnsi="Arial"/>
          <w:sz w:val="17"/>
          <w:szCs w:val="17"/>
          <w:color w:val="auto"/>
        </w:rPr>
        <w:t>” and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89" w:lineRule="exact"/>
        <w:rPr>
          <w:rFonts w:ascii="Arial" w:cs="Arial" w:eastAsia="Arial" w:hAnsi="Arial"/>
          <w:sz w:val="14"/>
          <w:szCs w:val="14"/>
          <w:b w:val="1"/>
          <w:bCs w:val="1"/>
          <w:i w:val="1"/>
          <w:iCs w:val="1"/>
          <w:color w:val="000000"/>
        </w:rPr>
      </w:pPr>
    </w:p>
    <w:p>
      <w:pPr>
        <w:jc w:val="center"/>
        <w:ind w:right="-43"/>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64"/>
          </w:cols>
          <w:pgMar w:left="436" w:top="1422"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registering the issuance by us of up to 7,870,000 shares of our Class A common stock that may be issued upon exercise of warrants to purchase Class A common stock, including the public warrants and the private placement warrants. We are also registering the resale by the Selling Holders or their permitted transferees of (i) up to 70,364,353 shares of Class A common stock (including 203,333 shares of Class A common stock that may be issued upon exercise of the private placement warrants, 6,846,667 founder shares, 12,500,000 PIPE Shares, 610,000 Placement Shares and 50,204,353 Exchange Shares) and (ii) up to 203,333 warrants.</w:t>
      </w:r>
    </w:p>
    <w:p>
      <w:pPr>
        <w:spacing w:after="0" w:line="20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Selling Holders may offer and sell, from time to time, their respective shares of Class A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sell their securities by one or more of, or a combination of, the following methods:</w:t>
      </w:r>
    </w:p>
    <w:p>
      <w:pPr>
        <w:spacing w:after="0" w:line="108" w:lineRule="exact"/>
        <w:rPr>
          <w:sz w:val="20"/>
          <w:szCs w:val="20"/>
          <w:color w:val="auto"/>
        </w:rPr>
      </w:pPr>
    </w:p>
    <w:p>
      <w:pPr>
        <w:ind w:left="880" w:right="80" w:hanging="224"/>
        <w:spacing w:after="0" w:line="24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the Nasdaq, in the over-the-counter market or on any other national securities exchange on which our securities are listed or traded;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underwritten transactions;</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the offered securities as agent but may purchase and resell a portion of the block as principal to facilitate the transaction;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 pursuant to this prospectus;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 solicits purchasers;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through the writing of options (including put or call options), whether the options are listed on an options exchange or otherwise;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through the distribution of the securities by any Selling Holder to its partners, members or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short sales entered into after the effective date of the registration statement of which this prospectus is a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the market” or through market makers or into an existing market for the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the Nasdaq or any other exchange or market.</w:t>
      </w:r>
    </w:p>
    <w:p>
      <w:pPr>
        <w:spacing w:after="0" w:line="203"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distribution by one or more underwriters on a firm commitment or best-efforts basis.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Selling Holders party to Subscription Agreements or the Amended and Restated Registration Rights Agreement have agreed, and the other Selling Holders may agree, to indemnify an underwriter, broker-dealer or agent against certain liabilities related to the sale of the securities, including liabilities under the Securities Act.</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Lock-up Agreements</w:t>
      </w:r>
    </w:p>
    <w:p>
      <w:pPr>
        <w:spacing w:after="0" w:line="216" w:lineRule="exact"/>
        <w:rPr>
          <w:sz w:val="20"/>
          <w:szCs w:val="20"/>
          <w:color w:val="auto"/>
        </w:rPr>
      </w:pPr>
    </w:p>
    <w:p>
      <w:pPr>
        <w:ind w:left="120" w:right="1600" w:firstLine="551"/>
        <w:spacing w:after="0" w:line="267" w:lineRule="auto"/>
        <w:rPr>
          <w:sz w:val="20"/>
          <w:szCs w:val="20"/>
          <w:color w:val="auto"/>
        </w:rPr>
      </w:pPr>
      <w:r>
        <w:rPr>
          <w:rFonts w:ascii="Arial" w:cs="Arial" w:eastAsia="Arial" w:hAnsi="Arial"/>
          <w:sz w:val="18"/>
          <w:szCs w:val="18"/>
          <w:color w:val="auto"/>
        </w:rPr>
        <w:t>Certain of our stockholders have entered into lock-up agreements. See “</w:t>
      </w:r>
      <w:r>
        <w:rPr>
          <w:rFonts w:ascii="Arial" w:cs="Arial" w:eastAsia="Arial" w:hAnsi="Arial"/>
          <w:sz w:val="18"/>
          <w:szCs w:val="18"/>
          <w:i w:val="1"/>
          <w:iCs w:val="1"/>
          <w:color w:val="auto"/>
        </w:rPr>
        <w:t>Securities Act Restrictions of Resale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Securities—Lock-up Agreements</w:t>
      </w:r>
      <w:r>
        <w:rPr>
          <w:rFonts w:ascii="Arial" w:cs="Arial" w:eastAsia="Arial" w:hAnsi="Arial"/>
          <w:sz w:val="18"/>
          <w:szCs w:val="18"/>
          <w:color w:val="auto"/>
        </w:rPr>
        <w: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3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following discussion is a summary of the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partnerships, passive foreign investment companies, controlled foreign corporations,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No ruling from the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has been or will be sought regarding any matter discussed herein. No assurance can be given that the IRS would not assert, or that a court would not sustain a position contrary to any of the tax aspects set forth below.</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summary, a “</w:t>
      </w:r>
      <w:r>
        <w:rPr>
          <w:rFonts w:ascii="Arial" w:cs="Arial" w:eastAsia="Arial" w:hAnsi="Arial"/>
          <w:sz w:val="18"/>
          <w:szCs w:val="18"/>
          <w:u w:val="single" w:color="auto"/>
          <w:color w:val="auto"/>
        </w:rPr>
        <w:t>U.S. Holder</w:t>
      </w:r>
      <w:r>
        <w:rPr>
          <w:rFonts w:ascii="Arial" w:cs="Arial" w:eastAsia="Arial" w:hAnsi="Arial"/>
          <w:sz w:val="18"/>
          <w:szCs w:val="18"/>
          <w:color w:val="auto"/>
        </w:rPr>
        <w:t>” is a beneficial holder of securities who or that, for U.S. federal income tax purposes</w:t>
      </w:r>
    </w:p>
    <w:p>
      <w:pPr>
        <w:ind w:left="120"/>
        <w:spacing w:after="0"/>
        <w:rPr>
          <w:sz w:val="20"/>
          <w:szCs w:val="20"/>
          <w:color w:val="auto"/>
        </w:rPr>
      </w:pPr>
      <w:r>
        <w:rPr>
          <w:rFonts w:ascii="Arial" w:cs="Arial" w:eastAsia="Arial" w:hAnsi="Arial"/>
          <w:sz w:val="18"/>
          <w:szCs w:val="18"/>
          <w:color w:val="auto"/>
        </w:rPr>
        <w:t>is:</w:t>
      </w:r>
    </w:p>
    <w:p>
      <w:pPr>
        <w:spacing w:after="0" w:line="117" w:lineRule="exact"/>
        <w:rPr>
          <w:sz w:val="20"/>
          <w:szCs w:val="20"/>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individual who is a United States citizen or resident of the United States;</w:t>
      </w:r>
    </w:p>
    <w:p>
      <w:pPr>
        <w:spacing w:after="0" w:line="117" w:lineRule="exact"/>
        <w:rPr>
          <w:rFonts w:ascii="Arial" w:cs="Arial" w:eastAsia="Arial" w:hAnsi="Arial"/>
          <w:sz w:val="18"/>
          <w:szCs w:val="18"/>
          <w:color w:val="auto"/>
        </w:rPr>
      </w:pPr>
    </w:p>
    <w:p>
      <w:pPr>
        <w:ind w:left="880" w:right="460" w:hanging="224"/>
        <w:spacing w:after="0" w:line="24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02"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United States federal income tax purposes regardless of its source; or</w:t>
      </w:r>
    </w:p>
    <w:p>
      <w:pPr>
        <w:spacing w:after="0" w:line="102" w:lineRule="exact"/>
        <w:rPr>
          <w:rFonts w:ascii="Arial" w:cs="Arial" w:eastAsia="Arial" w:hAnsi="Arial"/>
          <w:sz w:val="18"/>
          <w:szCs w:val="18"/>
          <w:color w:val="auto"/>
        </w:rPr>
      </w:pPr>
    </w:p>
    <w:p>
      <w:pPr>
        <w:ind w:left="880" w:right="120" w:hanging="224"/>
        <w:spacing w:after="0" w:line="248"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trust (A) the administration of which is subject to the primary supervision of a United States court and which has one or more United States persons (within the meaning of the Code) who have the authority to control all substantial decisions of the trust or</w:t>
      </w:r>
    </w:p>
    <w:p>
      <w:pPr>
        <w:spacing w:after="0" w:line="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(B) that has in effect a valid election under applicable Treasury regulations to be treated as a United States person.</w:t>
      </w:r>
    </w:p>
    <w:p>
      <w:pPr>
        <w:spacing w:after="0" w:line="21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non-U.S. Holder</w:t>
      </w:r>
      <w:r>
        <w:rPr>
          <w:rFonts w:ascii="Arial" w:cs="Arial" w:eastAsia="Arial" w:hAnsi="Arial"/>
          <w:sz w:val="18"/>
          <w:szCs w:val="18"/>
          <w:color w:val="auto"/>
        </w:rPr>
        <w:t>” is a beneficial holder of securities who or that is neither a U.S. Holder nor a partnership for U.S. federal income tax purposes.</w:t>
      </w:r>
    </w:p>
    <w:p>
      <w:pPr>
        <w:spacing w:after="0" w:line="19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 Holders</w:t>
      </w:r>
    </w:p>
    <w:p>
      <w:pPr>
        <w:spacing w:after="0" w:line="234"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If none of the foregoing tests is satisfied, the redemption will be treated as a corporate distribution, the tax consequences of which are described under “</w:t>
      </w:r>
      <w:r>
        <w:rPr>
          <w:rFonts w:ascii="Arial" w:cs="Arial" w:eastAsia="Arial" w:hAnsi="Arial"/>
          <w:sz w:val="18"/>
          <w:szCs w:val="18"/>
          <w:i w:val="1"/>
          <w:iCs w:val="1"/>
          <w:color w:val="auto"/>
        </w:rPr>
        <w:t>U.S. Holders—Taxation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above. After the application of those rules, any remaining tax basis of the U.S. Holder in the redeemed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should be added to the U.S. Holder’s adjusted tax basis in its remaining stock, or, if it has none, to the U.S. Holder’s adjusted tax basis in its warrants or possibly in other stock constructively owned by it.</w:t>
      </w: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Exercise of a Warrant</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(i) the U.S. Holder’s initial investment in the warrant and (ii)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tax consequences of a cashless exercise of a warrant are not entirely clear under current tax law. A cashless exercise may not be subject to tax,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203"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Sale, Exchange, Redemption or Expiration of a Warrant</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recognize a capital loss equal to such holder’s tax basis in the warrant. The deductibility of capital losses is subject to certain limitations.</w:t>
      </w:r>
    </w:p>
    <w:p>
      <w:pPr>
        <w:spacing w:after="0" w:line="21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A U.S. Holder should generally not recognize any gain or loss on a redemption of warrants for Class A common stock described in this prospectus under “</w:t>
      </w:r>
      <w:r>
        <w:rPr>
          <w:rFonts w:ascii="Arial" w:cs="Arial" w:eastAsia="Arial" w:hAnsi="Arial"/>
          <w:sz w:val="18"/>
          <w:szCs w:val="18"/>
          <w:i w:val="1"/>
          <w:iCs w:val="1"/>
          <w:color w:val="auto"/>
        </w:rPr>
        <w:t>Description of Securities—Warrants—Public Warrants.</w:t>
      </w:r>
      <w:r>
        <w:rPr>
          <w:rFonts w:ascii="Arial" w:cs="Arial" w:eastAsia="Arial" w:hAnsi="Arial"/>
          <w:sz w:val="18"/>
          <w:szCs w:val="18"/>
          <w:color w:val="auto"/>
        </w:rPr>
        <w:t>” A U.S. Holder’s aggregate tax basis in the shares of Class A common stock received in the redemption should equal such holder’s aggregate tax basis in the warrants redeemed, and such holder’s holding period for the shares of Class A common stock received in redemption of the warrants should include the holding period for the surrendered warrants.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Possible Constructive Distributions</w:t>
      </w:r>
    </w:p>
    <w:p>
      <w:pPr>
        <w:spacing w:after="0" w:line="234" w:lineRule="exact"/>
        <w:rPr>
          <w:sz w:val="20"/>
          <w:szCs w:val="20"/>
          <w:color w:val="auto"/>
        </w:rPr>
      </w:pPr>
    </w:p>
    <w:p>
      <w:pPr>
        <w:jc w:val="both"/>
        <w:ind w:left="120" w:right="60" w:firstLine="551"/>
        <w:spacing w:after="0" w:line="248"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Securities—Warrants—Public Warrants</w:t>
      </w:r>
      <w:r>
        <w:rPr>
          <w:rFonts w:ascii="Arial" w:cs="Arial" w:eastAsia="Arial" w:hAnsi="Arial"/>
          <w:sz w:val="17"/>
          <w:szCs w:val="17"/>
          <w:color w:val="auto"/>
        </w:rPr>
        <w:t>.” An adjustment which has the effect of preventing dilution is generally not a taxable event.</w:t>
      </w:r>
    </w:p>
    <w:p>
      <w:pPr>
        <w:spacing w:after="0" w:line="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Non-U.S. Holders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 -U.S. Holder is eligible for a reduced rate of withholding tax under an applicable income tax treaty and provides proper certification of its eligibility for such reduced rate (typically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Stock and Warrants” below. In addition, if we determine that we are classified as a “</w:t>
      </w:r>
      <w:r>
        <w:rPr>
          <w:rFonts w:ascii="Arial" w:cs="Arial" w:eastAsia="Arial" w:hAnsi="Arial"/>
          <w:sz w:val="18"/>
          <w:szCs w:val="18"/>
          <w:u w:val="single" w:color="auto"/>
          <w:color w:val="auto"/>
        </w:rPr>
        <w:t>United States real property holding corporation</w:t>
      </w:r>
      <w:r>
        <w:rPr>
          <w:rFonts w:ascii="Arial" w:cs="Arial" w:eastAsia="Arial" w:hAnsi="Arial"/>
          <w:sz w:val="18"/>
          <w:szCs w:val="18"/>
          <w:color w:val="auto"/>
        </w:rPr>
        <w:t>” (see “</w:t>
      </w:r>
      <w:r>
        <w:rPr>
          <w:rFonts w:ascii="Arial" w:cs="Arial" w:eastAsia="Arial" w:hAnsi="Arial"/>
          <w:sz w:val="18"/>
          <w:szCs w:val="18"/>
          <w:i w:val="1"/>
          <w:iCs w:val="1"/>
          <w:color w:val="auto"/>
        </w:rPr>
        <w:t>Non-U.S.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Holders—Gain on Sale, Taxable Exchange or Other Taxable Disposition of Class A Common Stock and Warrants</w:t>
      </w:r>
      <w:r>
        <w:rPr>
          <w:rFonts w:ascii="Arial" w:cs="Arial" w:eastAsia="Arial" w:hAnsi="Arial"/>
          <w:sz w:val="18"/>
          <w:szCs w:val="18"/>
          <w:color w:val="auto"/>
        </w:rPr>
        <w:t>” below), we will withhold</w:t>
      </w:r>
      <w:r>
        <w:rPr>
          <w:rFonts w:ascii="Arial" w:cs="Arial" w:eastAsia="Arial" w:hAnsi="Arial"/>
          <w:sz w:val="18"/>
          <w:szCs w:val="18"/>
          <w:i w:val="1"/>
          <w:iCs w:val="1"/>
          <w:color w:val="auto"/>
        </w:rPr>
        <w:t xml:space="preserve"> </w:t>
      </w:r>
      <w:r>
        <w:rPr>
          <w:rFonts w:ascii="Arial" w:cs="Arial" w:eastAsia="Arial" w:hAnsi="Arial"/>
          <w:sz w:val="18"/>
          <w:szCs w:val="18"/>
          <w:color w:val="auto"/>
        </w:rPr>
        <w:t>15% of any distribution that exceeds our current and accumulated earnings and profits.</w:t>
      </w:r>
    </w:p>
    <w:p>
      <w:pPr>
        <w:spacing w:after="0" w:line="213"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(or if a tax treaty applies are attributable to a</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Exercise of a Warrant</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w:t>
      </w:r>
      <w:r>
        <w:rPr>
          <w:rFonts w:ascii="Arial" w:cs="Arial" w:eastAsia="Arial" w:hAnsi="Arial"/>
          <w:sz w:val="18"/>
          <w:szCs w:val="18"/>
          <w:i w:val="1"/>
          <w:iCs w:val="1"/>
          <w:color w:val="auto"/>
        </w:rPr>
        <w:t>U.S. Holders—Exercise of a Warrant</w:t>
      </w:r>
      <w:r>
        <w:rPr>
          <w:rFonts w:ascii="Arial" w:cs="Arial" w:eastAsia="Arial" w:hAnsi="Arial"/>
          <w:sz w:val="18"/>
          <w:szCs w:val="18"/>
          <w:color w:val="auto"/>
        </w:rPr>
        <w:t>” above, although to the extent a cashless exercise results in a taxable exchange, the tax consequences to the non-U.S. Holder would be the same as those described below in “</w:t>
      </w:r>
      <w:r>
        <w:rPr>
          <w:rFonts w:ascii="Arial" w:cs="Arial" w:eastAsia="Arial" w:hAnsi="Arial"/>
          <w:sz w:val="18"/>
          <w:szCs w:val="18"/>
          <w:i w:val="1"/>
          <w:iCs w:val="1"/>
          <w:color w:val="auto"/>
        </w:rPr>
        <w:t>Non-U.S. Holders—Gain on Sale, Exchange or Other Taxable Disposition of Class A Common Stock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Redemption of Warrants for Class A Common Stock</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 non-U.S. Holder should generally not recognize any gain or loss on the redemption of warrants for shares of our Class A common stock described in this prospectus under “</w:t>
      </w:r>
      <w:r>
        <w:rPr>
          <w:rFonts w:ascii="Arial" w:cs="Arial" w:eastAsia="Arial" w:hAnsi="Arial"/>
          <w:sz w:val="18"/>
          <w:szCs w:val="18"/>
          <w:i w:val="1"/>
          <w:iCs w:val="1"/>
          <w:color w:val="auto"/>
        </w:rPr>
        <w:t>Description of Securities—Warrants—Public Stockholders’ Warrants</w:t>
      </w:r>
      <w:r>
        <w:rPr>
          <w:rFonts w:ascii="Arial" w:cs="Arial" w:eastAsia="Arial" w:hAnsi="Arial"/>
          <w:sz w:val="18"/>
          <w:szCs w:val="18"/>
          <w:color w:val="auto"/>
        </w:rPr>
        <w:t>.” Accordingly, a non-U.S. Holder should not recognize any gain. Such holder’s aggregate tax basis in the shares of Class A common stock received in the redemption should equal their aggregate tax basis in the warrants redeemed, and such holder’s holding period for the shares of Class A common stock received in redemption of the warrants should include the holding period for the surrendered warrants.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Gain on Sale, Exchange or Other Taxable Disposition of Class A Common Stock and Warrants</w:t>
      </w:r>
    </w:p>
    <w:p>
      <w:pPr>
        <w:spacing w:after="0" w:line="234" w:lineRule="exact"/>
        <w:rPr>
          <w:sz w:val="20"/>
          <w:szCs w:val="20"/>
          <w:color w:val="auto"/>
        </w:rPr>
      </w:pPr>
    </w:p>
    <w:p>
      <w:pPr>
        <w:ind w:left="120" w:right="280" w:firstLine="551"/>
        <w:spacing w:after="0" w:line="274" w:lineRule="auto"/>
        <w:rPr>
          <w:sz w:val="20"/>
          <w:szCs w:val="20"/>
          <w:color w:val="auto"/>
        </w:rPr>
      </w:pPr>
      <w:r>
        <w:rPr>
          <w:rFonts w:ascii="Arial" w:cs="Arial" w:eastAsia="Arial" w:hAnsi="Arial"/>
          <w:sz w:val="17"/>
          <w:szCs w:val="17"/>
          <w:color w:val="auto"/>
        </w:rPr>
        <w:t>A non-U.S. Holder will generally not be subject to U.S. federal income or withholding tax in respect of gain recognized on a sale, taxable exchange or other taxable disposition of our Class A common stock or an expiration or redemption of our warrants unless:</w:t>
      </w:r>
    </w:p>
    <w:p>
      <w:pPr>
        <w:spacing w:after="0" w:line="80" w:lineRule="exact"/>
        <w:rPr>
          <w:sz w:val="20"/>
          <w:szCs w:val="20"/>
          <w:color w:val="auto"/>
        </w:rPr>
      </w:pPr>
    </w:p>
    <w:p>
      <w:pPr>
        <w:jc w:val="both"/>
        <w:ind w:left="880" w:right="14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08"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02" w:lineRule="exact"/>
        <w:rPr>
          <w:rFonts w:ascii="Arial" w:cs="Arial" w:eastAsia="Arial" w:hAnsi="Arial"/>
          <w:sz w:val="18"/>
          <w:szCs w:val="18"/>
          <w:color w:val="auto"/>
        </w:rPr>
      </w:pPr>
    </w:p>
    <w:p>
      <w:pPr>
        <w:ind w:left="880" w:right="40" w:hanging="224"/>
        <w:spacing w:after="0" w:line="237"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are or have been a “</w:t>
      </w:r>
      <w:r>
        <w:rPr>
          <w:rFonts w:ascii="Arial" w:cs="Arial" w:eastAsia="Arial" w:hAnsi="Arial"/>
          <w:sz w:val="18"/>
          <w:szCs w:val="18"/>
          <w:u w:val="single" w:color="auto"/>
          <w:color w:val="auto"/>
        </w:rPr>
        <w:t>United States real property holding corporation</w:t>
      </w:r>
      <w:r>
        <w:rPr>
          <w:rFonts w:ascii="Arial" w:cs="Arial" w:eastAsia="Arial" w:hAnsi="Arial"/>
          <w:sz w:val="18"/>
          <w:szCs w:val="18"/>
          <w:color w:val="auto"/>
        </w:rPr>
        <w:t>”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203"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Gain described in the first bullet point above will be subject to tax at the generally applicable U.S. federal income tax rates. Any gains described in the first bullet point above of a non-U.S. Holder that is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Class A common stock or warrants will be subject to tax at the generally applicable U.S. federal income tax rates. In addition, a buyer of our Class A common stock or warrants from such holder may be required to withhold U.S. income tax at a rate of 15% of the amount realized upon such disposition. We will be treated as a United States real property holding corporation if 50% or more of our assets throughout a prescribed testing period consist of interests in real property located within the United States, excluding, for this purpose, interests in real property solely in a capacity as a creditor. It is not currently anticipated that we will be treated as a United States real property holding corporation. However there can be no assurance in this regard. Non-U.S. Holders are urged to consult their tax advisors regarding the application of these rules.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Possible Constructive Distributions</w:t>
      </w:r>
    </w:p>
    <w:p>
      <w:pPr>
        <w:spacing w:after="0" w:line="234" w:lineRule="exact"/>
        <w:rPr>
          <w:sz w:val="20"/>
          <w:szCs w:val="20"/>
          <w:color w:val="auto"/>
        </w:rPr>
      </w:pPr>
    </w:p>
    <w:p>
      <w:pPr>
        <w:jc w:val="both"/>
        <w:ind w:left="120" w:right="40" w:firstLine="551"/>
        <w:spacing w:after="0" w:line="248"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Securities—Warrants—Public Warrants</w:t>
      </w:r>
      <w:r>
        <w:rPr>
          <w:rFonts w:ascii="Arial" w:cs="Arial" w:eastAsia="Arial" w:hAnsi="Arial"/>
          <w:sz w:val="17"/>
          <w:szCs w:val="17"/>
          <w:color w:val="auto"/>
        </w:rPr>
        <w:t>.” An adjustment which has the effect of preventing dilution is generally not a taxable event.</w:t>
      </w:r>
    </w:p>
    <w:p>
      <w:pPr>
        <w:spacing w:after="0" w:line="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Redemption of Class A Common Stock</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characterization for U.S. federal income tax purposes of the redemption of a non-U.S. Holder’s Class A common stock will generally correspond to the U.S. federal income tax characterization of such a redemption of a U.S. Holder’s Class A common stock, as described under “</w:t>
      </w:r>
      <w:r>
        <w:rPr>
          <w:rFonts w:ascii="Arial" w:cs="Arial" w:eastAsia="Arial" w:hAnsi="Arial"/>
          <w:sz w:val="18"/>
          <w:szCs w:val="18"/>
          <w:i w:val="1"/>
          <w:iCs w:val="1"/>
          <w:color w:val="auto"/>
        </w:rPr>
        <w:t>U.S. Holders—Redemption of Class A Common Stock</w:t>
      </w:r>
      <w:r>
        <w:rPr>
          <w:rFonts w:ascii="Arial" w:cs="Arial" w:eastAsia="Arial" w:hAnsi="Arial"/>
          <w:sz w:val="18"/>
          <w:szCs w:val="18"/>
          <w:color w:val="auto"/>
        </w:rPr>
        <w:t>” above, and the consequences of the redemption to the non-U.S. Holder will be as described above under “</w:t>
      </w:r>
      <w:r>
        <w:rPr>
          <w:rFonts w:ascii="Arial" w:cs="Arial" w:eastAsia="Arial" w:hAnsi="Arial"/>
          <w:sz w:val="18"/>
          <w:szCs w:val="18"/>
          <w:i w:val="1"/>
          <w:iCs w:val="1"/>
          <w:color w:val="auto"/>
        </w:rPr>
        <w:t>Non-U.S. Holders—Taxation of Distributions</w:t>
      </w:r>
      <w:r>
        <w:rPr>
          <w:rFonts w:ascii="Arial" w:cs="Arial" w:eastAsia="Arial" w:hAnsi="Arial"/>
          <w:sz w:val="18"/>
          <w:szCs w:val="18"/>
          <w:color w:val="auto"/>
        </w:rPr>
        <w:t>” and “</w:t>
      </w:r>
      <w:r>
        <w:rPr>
          <w:rFonts w:ascii="Arial" w:cs="Arial" w:eastAsia="Arial" w:hAnsi="Arial"/>
          <w:sz w:val="18"/>
          <w:szCs w:val="18"/>
          <w:i w:val="1"/>
          <w:iCs w:val="1"/>
          <w:color w:val="auto"/>
        </w:rPr>
        <w:t>Non-U.S. Holders—Gain on Sale, 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or Other Taxable Disposition of Class A Common Stock and Warrants</w:t>
      </w:r>
      <w:r>
        <w:rPr>
          <w:rFonts w:ascii="Arial" w:cs="Arial" w:eastAsia="Arial" w:hAnsi="Arial"/>
          <w:sz w:val="18"/>
          <w:szCs w:val="18"/>
          <w:color w:val="auto"/>
        </w:rPr>
        <w:t>,” as applicable.</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Foreign Account Tax Compliance Act</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Under the Foreign Account Tax Compliance Act (“</w:t>
      </w:r>
      <w:r>
        <w:rPr>
          <w:rFonts w:ascii="Arial" w:cs="Arial" w:eastAsia="Arial" w:hAnsi="Arial"/>
          <w:sz w:val="18"/>
          <w:szCs w:val="18"/>
          <w:u w:val="single" w:color="auto"/>
          <w:color w:val="auto"/>
        </w:rPr>
        <w:t>FATCA</w:t>
      </w:r>
      <w:r>
        <w:rPr>
          <w:rFonts w:ascii="Arial" w:cs="Arial" w:eastAsia="Arial" w:hAnsi="Arial"/>
          <w:sz w:val="18"/>
          <w:szCs w:val="18"/>
          <w:color w:val="auto"/>
        </w:rPr>
        <w: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 intergovernmental agreement between the United States and an applicable foreign country. Accordingly, the entity through which our Class A common stock is held will affect the determination of whether such withholding is required. Similarly, dividends in respect of shares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Non-U.S. investors are encouraged to consult their tax advisors regarding the possible implications of the legislation on their investment in our Class A common stock.</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60"/>
          </w:cols>
          <w:pgMar w:left="320" w:top="459"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Skadden, Arps, Slate, Meagher &amp; Flom LLP, New York, New York will pass upon the validity of the Class A common stock and warrants covered by this prospectus. Any underwriters or agents will be advised about other issues relating to the offering by counsel to be named in the applicable prospectus supplement.</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financial statements of FinTech Acquisition Corp. IV as of December 31, 2020 and 2019, and for the years ended December 31, 2020 and 2019, have been included in this prospectus in reliance upon the report of WithumSmith+Brown, PC, an independent registered public accounting firm, appearing elsewhere herein, and upon the authority of said firm as experts in accounting and auditing.</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consolidated financial statements of PWP OpCo as of December 31, 2020 and 2019, and for each of the three years in the period ended December 31, 2020,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CHANGE IN AUDITOR</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On June 24, 2021, the audit committee of the board of directors approved the engagement of Ernst &amp; Young LLP (“</w:t>
      </w:r>
      <w:r>
        <w:rPr>
          <w:rFonts w:ascii="Arial" w:cs="Arial" w:eastAsia="Arial" w:hAnsi="Arial"/>
          <w:sz w:val="18"/>
          <w:szCs w:val="18"/>
          <w:u w:val="single" w:color="auto"/>
          <w:color w:val="auto"/>
        </w:rPr>
        <w:t>E&amp;Y</w:t>
      </w:r>
      <w:r>
        <w:rPr>
          <w:rFonts w:ascii="Arial" w:cs="Arial" w:eastAsia="Arial" w:hAnsi="Arial"/>
          <w:sz w:val="18"/>
          <w:szCs w:val="18"/>
          <w:color w:val="auto"/>
        </w:rPr>
        <w:t>”) as the Company’s independent registered public accounting firm to audit the Company and its subsidiaries consolidated financial statements as of and for the year ended December 31, 2021. Accordingly, on June 24, 2021, WithumSmith+Brown, PC (“</w:t>
      </w:r>
      <w:r>
        <w:rPr>
          <w:rFonts w:ascii="Arial" w:cs="Arial" w:eastAsia="Arial" w:hAnsi="Arial"/>
          <w:sz w:val="18"/>
          <w:szCs w:val="18"/>
          <w:u w:val="single" w:color="auto"/>
          <w:color w:val="auto"/>
        </w:rPr>
        <w:t>Withum</w:t>
      </w:r>
      <w:r>
        <w:rPr>
          <w:rFonts w:ascii="Arial" w:cs="Arial" w:eastAsia="Arial" w:hAnsi="Arial"/>
          <w:sz w:val="18"/>
          <w:szCs w:val="18"/>
          <w:color w:val="auto"/>
        </w:rPr>
        <w:t>”), FTIV’s independent registered public accounting firm prior to the Business Combination, was informed that it would be replaced by E&amp;Y as the Company’s independent registered public accounting firm.</w:t>
      </w:r>
    </w:p>
    <w:p>
      <w:pPr>
        <w:spacing w:after="0" w:line="202" w:lineRule="exact"/>
        <w:rPr>
          <w:sz w:val="20"/>
          <w:szCs w:val="20"/>
          <w:color w:val="auto"/>
        </w:rPr>
      </w:pPr>
    </w:p>
    <w:p>
      <w:pPr>
        <w:ind w:left="120" w:right="100" w:firstLine="551"/>
        <w:spacing w:after="0" w:line="261" w:lineRule="auto"/>
        <w:rPr>
          <w:sz w:val="20"/>
          <w:szCs w:val="20"/>
          <w:color w:val="auto"/>
        </w:rPr>
      </w:pPr>
      <w:r>
        <w:rPr>
          <w:rFonts w:ascii="Arial" w:cs="Arial" w:eastAsia="Arial" w:hAnsi="Arial"/>
          <w:sz w:val="17"/>
          <w:szCs w:val="17"/>
          <w:color w:val="auto"/>
        </w:rPr>
        <w:t>The reports of Withum on FTIV’s consolidated balance sheet as of December 31, 2020 and the consolidated statements of operations, changes in stockholders’ equity and cash flows for the period from January 1, 2019 to December 31, 2020, did not contain an adverse opinion or a disclaimer of opinion, and were not qualified or modified as to uncertainties, audit scope or accounting principles.</w:t>
      </w:r>
    </w:p>
    <w:p>
      <w:pPr>
        <w:spacing w:after="0" w:line="18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During the period from January 1, 2019 to December 31, 2020 and the subsequent interim period through June 24, 2021, there were no disagreements between the Company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the Company’s financial statements for such period.</w:t>
      </w:r>
    </w:p>
    <w:p>
      <w:pPr>
        <w:spacing w:after="0" w:line="205"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During the period from January 1, 2019 to December 31, 2020 and the subsequent interim period through June 24, 2021, there were no “reportable events” (as defined in Item 304(a)(1)(v) of Regulation S-K under the Exchange Act).</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provided Withum with a copy of the disclosures made pursuant to Item 4.01 of the Company’s Current Report on Form 8-K/A, filed with the SEC on June 30, 2021, prior to the filing of such Form 8-K/A, and requested that Withum furnish a letter addressed to the SEC, as required by Item 304(a)(3) of Regulation S-K, which is attached hereto as Exhibit 16.1, stating whether it agrees with such disclosures, and if not, stating the respects in which it does not agree.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During the years ended December 31, 2020 and 2019 and the subsequent period through the date of this prospectus, neither management of FTIV, nor anyone on their behalf consulted with E&amp;Y, regarding the application of accounting principles to a specified transaction (either completed or proposed), the type of audit opinion that might be rendered on our financial statements, or any matter that was either the subject of a “disagreement,” as defined in Item 304(a)(1)(iv) of Regulation S-K, or a “reportable event,” as defined in Item 304(a)(1)(v) of Regulation S-K.</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20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The information found on, or that can be accessed from or that is hyperlinked to, our website is not part of this prospectus. You may inspect a copy of the registration statement through the SEC’s website, as provided herein.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10420" w:type="dxa"/>
            <w:vAlign w:val="bottom"/>
            <w:gridSpan w:val="3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00" w:type="dxa"/>
            <w:vAlign w:val="bottom"/>
            <w:gridSpan w:val="21"/>
          </w:tcPr>
          <w:p>
            <w:pPr>
              <w:jc w:val="center"/>
              <w:ind w:right="1700"/>
              <w:spacing w:after="0"/>
              <w:rPr>
                <w:sz w:val="20"/>
                <w:szCs w:val="20"/>
                <w:color w:val="auto"/>
              </w:rPr>
            </w:pPr>
            <w:r>
              <w:rPr>
                <w:rFonts w:ascii="Arial" w:cs="Arial" w:eastAsia="Arial" w:hAnsi="Arial"/>
                <w:sz w:val="18"/>
                <w:szCs w:val="18"/>
                <w:b w:val="1"/>
                <w:bCs w:val="1"/>
                <w:color w:val="auto"/>
                <w:w w:val="99"/>
              </w:rPr>
              <w:t>INDEX TO CONSOLIDATED FINANCIAL INFORMATION</w:t>
            </w:r>
          </w:p>
        </w:tc>
        <w:tc>
          <w:tcPr>
            <w:tcW w:w="6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300" w:type="dxa"/>
            <w:vAlign w:val="bottom"/>
            <w:gridSpan w:val="29"/>
          </w:tcPr>
          <w:p>
            <w:pPr>
              <w:spacing w:after="0"/>
              <w:rPr>
                <w:sz w:val="20"/>
                <w:szCs w:val="20"/>
                <w:color w:val="auto"/>
              </w:rPr>
            </w:pPr>
            <w:r>
              <w:rPr>
                <w:rFonts w:ascii="Arial" w:cs="Arial" w:eastAsia="Arial" w:hAnsi="Arial"/>
                <w:sz w:val="18"/>
                <w:szCs w:val="18"/>
                <w:b w:val="1"/>
                <w:bCs w:val="1"/>
                <w:color w:val="auto"/>
              </w:rPr>
              <w:t>Financial Statements of FTIV</w:t>
            </w:r>
          </w:p>
        </w:tc>
        <w:tc>
          <w:tcPr>
            <w:tcW w:w="640" w:type="dxa"/>
            <w:vAlign w:val="bottom"/>
          </w:tcPr>
          <w:p>
            <w:pPr>
              <w:spacing w:after="0"/>
              <w:rPr>
                <w:sz w:val="24"/>
                <w:szCs w:val="24"/>
                <w:color w:val="auto"/>
              </w:rPr>
            </w:pPr>
          </w:p>
        </w:tc>
      </w:tr>
      <w:tr>
        <w:trPr>
          <w:trHeight w:val="405"/>
        </w:trPr>
        <w:tc>
          <w:tcPr>
            <w:tcW w:w="120" w:type="dxa"/>
            <w:vAlign w:val="bottom"/>
          </w:tcPr>
          <w:p>
            <w:pPr>
              <w:spacing w:after="0"/>
              <w:rPr>
                <w:sz w:val="24"/>
                <w:szCs w:val="24"/>
                <w:color w:val="auto"/>
              </w:rPr>
            </w:pPr>
          </w:p>
        </w:tc>
        <w:tc>
          <w:tcPr>
            <w:tcW w:w="10300" w:type="dxa"/>
            <w:vAlign w:val="bottom"/>
            <w:gridSpan w:val="29"/>
          </w:tcPr>
          <w:p>
            <w:pPr>
              <w:spacing w:after="0"/>
              <w:rPr>
                <w:sz w:val="20"/>
                <w:szCs w:val="20"/>
                <w:color w:val="auto"/>
              </w:rPr>
            </w:pPr>
            <w:r>
              <w:rPr>
                <w:rFonts w:ascii="Arial" w:cs="Arial" w:eastAsia="Arial" w:hAnsi="Arial"/>
                <w:sz w:val="18"/>
                <w:szCs w:val="18"/>
                <w:color w:val="auto"/>
              </w:rPr>
              <w:t>Audited Financial Statements (as restated)</w:t>
            </w:r>
          </w:p>
        </w:tc>
        <w:tc>
          <w:tcPr>
            <w:tcW w:w="6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46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209">
              <w:r>
                <w:rPr>
                  <w:rFonts w:ascii="Arial" w:cs="Arial" w:eastAsia="Arial" w:hAnsi="Arial"/>
                  <w:sz w:val="18"/>
                  <w:szCs w:val="18"/>
                  <w:color w:val="0000EE"/>
                  <w:w w:val="99"/>
                </w:rPr>
                <w:t>Report of Independent Registered Public Accounting Firm</w:t>
              </w:r>
            </w:hyperlink>
          </w:p>
        </w:tc>
        <w:tc>
          <w:tcPr>
            <w:tcW w:w="5700" w:type="dxa"/>
            <w:vAlign w:val="bottom"/>
            <w:gridSpan w:val="14"/>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F-2</w:t>
            </w:r>
          </w:p>
        </w:tc>
      </w:tr>
      <w:tr>
        <w:trPr>
          <w:trHeight w:val="183"/>
        </w:trPr>
        <w:tc>
          <w:tcPr>
            <w:tcW w:w="120" w:type="dxa"/>
            <w:vAlign w:val="bottom"/>
          </w:tcPr>
          <w:p>
            <w:pPr>
              <w:spacing w:after="0"/>
              <w:rPr>
                <w:sz w:val="15"/>
                <w:szCs w:val="15"/>
                <w:color w:val="auto"/>
              </w:rPr>
            </w:pPr>
          </w:p>
        </w:tc>
        <w:tc>
          <w:tcPr>
            <w:tcW w:w="126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210">
              <w:r>
                <w:rPr>
                  <w:rFonts w:ascii="Arial" w:cs="Arial" w:eastAsia="Arial" w:hAnsi="Arial"/>
                  <w:sz w:val="18"/>
                  <w:szCs w:val="18"/>
                  <w:color w:val="0000EE"/>
                  <w:w w:val="98"/>
                </w:rPr>
                <w:t>Balance Sheets</w:t>
              </w:r>
            </w:hyperlink>
          </w:p>
        </w:tc>
        <w:tc>
          <w:tcPr>
            <w:tcW w:w="9040" w:type="dxa"/>
            <w:vAlign w:val="bottom"/>
            <w:gridSpan w:val="26"/>
          </w:tcPr>
          <w:p>
            <w:pPr>
              <w:spacing w:after="0"/>
              <w:rPr>
                <w:sz w:val="15"/>
                <w:szCs w:val="15"/>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F-3</w:t>
            </w:r>
          </w:p>
        </w:tc>
      </w:tr>
      <w:tr>
        <w:trPr>
          <w:trHeight w:val="183"/>
        </w:trPr>
        <w:tc>
          <w:tcPr>
            <w:tcW w:w="120" w:type="dxa"/>
            <w:vAlign w:val="bottom"/>
          </w:tcPr>
          <w:p>
            <w:pPr>
              <w:spacing w:after="0"/>
              <w:rPr>
                <w:sz w:val="15"/>
                <w:szCs w:val="15"/>
                <w:color w:val="auto"/>
              </w:rPr>
            </w:pPr>
          </w:p>
        </w:tc>
        <w:tc>
          <w:tcPr>
            <w:tcW w:w="204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211">
              <w:r>
                <w:rPr>
                  <w:rFonts w:ascii="Arial" w:cs="Arial" w:eastAsia="Arial" w:hAnsi="Arial"/>
                  <w:sz w:val="18"/>
                  <w:szCs w:val="18"/>
                  <w:color w:val="0000EE"/>
                  <w:w w:val="98"/>
                </w:rPr>
                <w:t>Statements of Operations</w:t>
              </w:r>
            </w:hyperlink>
          </w:p>
        </w:tc>
        <w:tc>
          <w:tcPr>
            <w:tcW w:w="8260" w:type="dxa"/>
            <w:vAlign w:val="bottom"/>
            <w:gridSpan w:val="24"/>
          </w:tcPr>
          <w:p>
            <w:pPr>
              <w:spacing w:after="0"/>
              <w:rPr>
                <w:sz w:val="15"/>
                <w:szCs w:val="15"/>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F-4</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212">
              <w:r>
                <w:rPr>
                  <w:rFonts w:ascii="Arial" w:cs="Arial" w:eastAsia="Arial" w:hAnsi="Arial"/>
                  <w:sz w:val="18"/>
                  <w:szCs w:val="18"/>
                  <w:color w:val="0000EE"/>
                </w:rPr>
                <w:t>Statements of Changes in Stockholders’ Equity</w:t>
              </w:r>
            </w:hyperlink>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F-5</w:t>
            </w:r>
          </w:p>
        </w:tc>
      </w:tr>
      <w:tr>
        <w:trPr>
          <w:trHeight w:val="183"/>
        </w:trPr>
        <w:tc>
          <w:tcPr>
            <w:tcW w:w="12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213">
              <w:r>
                <w:rPr>
                  <w:rFonts w:ascii="Arial" w:cs="Arial" w:eastAsia="Arial" w:hAnsi="Arial"/>
                  <w:sz w:val="18"/>
                  <w:szCs w:val="18"/>
                  <w:color w:val="0000EE"/>
                  <w:w w:val="98"/>
                </w:rPr>
                <w:t>Statements of Cash Flows</w:t>
              </w:r>
            </w:hyperlink>
          </w:p>
        </w:tc>
        <w:tc>
          <w:tcPr>
            <w:tcW w:w="1640" w:type="dxa"/>
            <w:vAlign w:val="bottom"/>
            <w:tcBorders>
              <w:top w:val="single" w:sz="8" w:color="0000EE"/>
            </w:tcBorders>
            <w:gridSpan w:val="6"/>
          </w:tcPr>
          <w:p>
            <w:pPr>
              <w:spacing w:after="0"/>
              <w:rPr>
                <w:sz w:val="15"/>
                <w:szCs w:val="15"/>
                <w:color w:val="auto"/>
              </w:rPr>
            </w:pPr>
          </w:p>
        </w:tc>
        <w:tc>
          <w:tcPr>
            <w:tcW w:w="6560" w:type="dxa"/>
            <w:vAlign w:val="bottom"/>
            <w:gridSpan w:val="17"/>
          </w:tcPr>
          <w:p>
            <w:pPr>
              <w:spacing w:after="0"/>
              <w:rPr>
                <w:sz w:val="15"/>
                <w:szCs w:val="15"/>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F-6</w:t>
            </w:r>
          </w:p>
        </w:tc>
      </w:tr>
      <w:tr>
        <w:trPr>
          <w:trHeight w:val="183"/>
        </w:trPr>
        <w:tc>
          <w:tcPr>
            <w:tcW w:w="120" w:type="dxa"/>
            <w:vAlign w:val="bottom"/>
          </w:tcPr>
          <w:p>
            <w:pPr>
              <w:spacing w:after="0"/>
              <w:rPr>
                <w:sz w:val="15"/>
                <w:szCs w:val="15"/>
                <w:color w:val="auto"/>
              </w:rPr>
            </w:pPr>
          </w:p>
        </w:tc>
        <w:tc>
          <w:tcPr>
            <w:tcW w:w="24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14">
              <w:r>
                <w:rPr>
                  <w:rFonts w:ascii="Arial" w:cs="Arial" w:eastAsia="Arial" w:hAnsi="Arial"/>
                  <w:sz w:val="18"/>
                  <w:szCs w:val="18"/>
                  <w:color w:val="0000EE"/>
                  <w:w w:val="99"/>
                </w:rPr>
                <w:t>Notes to Financial Statements</w:t>
              </w:r>
            </w:hyperlink>
          </w:p>
        </w:tc>
        <w:tc>
          <w:tcPr>
            <w:tcW w:w="7900" w:type="dxa"/>
            <w:vAlign w:val="bottom"/>
            <w:gridSpan w:val="21"/>
          </w:tcPr>
          <w:p>
            <w:pPr>
              <w:spacing w:after="0"/>
              <w:rPr>
                <w:sz w:val="15"/>
                <w:szCs w:val="15"/>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F-7</w:t>
            </w:r>
          </w:p>
        </w:tc>
      </w:tr>
      <w:tr>
        <w:trPr>
          <w:trHeight w:val="291"/>
        </w:trPr>
        <w:tc>
          <w:tcPr>
            <w:tcW w:w="120" w:type="dxa"/>
            <w:vAlign w:val="bottom"/>
          </w:tcPr>
          <w:p>
            <w:pPr>
              <w:spacing w:after="0"/>
              <w:rPr>
                <w:sz w:val="24"/>
                <w:szCs w:val="24"/>
                <w:color w:val="auto"/>
              </w:rPr>
            </w:pPr>
          </w:p>
        </w:tc>
        <w:tc>
          <w:tcPr>
            <w:tcW w:w="35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9"/>
              </w:rPr>
              <w:t>Unaudited Condensed Financial Statements</w:t>
            </w:r>
          </w:p>
        </w:tc>
        <w:tc>
          <w:tcPr>
            <w:tcW w:w="6780" w:type="dxa"/>
            <w:vAlign w:val="bottom"/>
            <w:gridSpan w:val="18"/>
          </w:tcPr>
          <w:p>
            <w:pPr>
              <w:spacing w:after="0"/>
              <w:rPr>
                <w:sz w:val="24"/>
                <w:szCs w:val="24"/>
                <w:color w:val="auto"/>
              </w:rPr>
            </w:pPr>
          </w:p>
        </w:tc>
        <w:tc>
          <w:tcPr>
            <w:tcW w:w="640" w:type="dxa"/>
            <w:vAlign w:val="bottom"/>
          </w:tcPr>
          <w:p>
            <w:pPr>
              <w:spacing w:after="0"/>
              <w:rPr>
                <w:sz w:val="24"/>
                <w:szCs w:val="24"/>
                <w:color w:val="auto"/>
              </w:rPr>
            </w:pPr>
          </w:p>
        </w:tc>
      </w:tr>
      <w:tr>
        <w:trPr>
          <w:trHeight w:val="290"/>
        </w:trPr>
        <w:tc>
          <w:tcPr>
            <w:tcW w:w="120" w:type="dxa"/>
            <w:vAlign w:val="bottom"/>
          </w:tcPr>
          <w:p>
            <w:pPr>
              <w:spacing w:after="0"/>
              <w:rPr>
                <w:sz w:val="24"/>
                <w:szCs w:val="24"/>
                <w:color w:val="auto"/>
              </w:rPr>
            </w:pPr>
          </w:p>
        </w:tc>
        <w:tc>
          <w:tcPr>
            <w:tcW w:w="68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236">
              <w:r>
                <w:rPr>
                  <w:rFonts w:ascii="Arial" w:cs="Arial" w:eastAsia="Arial" w:hAnsi="Arial"/>
                  <w:sz w:val="18"/>
                  <w:szCs w:val="18"/>
                  <w:color w:val="0000EE"/>
                  <w:w w:val="99"/>
                </w:rPr>
                <w:t>Condensed Balance Sheet as of March 31, 2021 (unaudited) and December 31, 2020</w:t>
              </w:r>
            </w:hyperlink>
          </w:p>
        </w:tc>
        <w:tc>
          <w:tcPr>
            <w:tcW w:w="3480" w:type="dxa"/>
            <w:vAlign w:val="bottom"/>
            <w:gridSpan w:val="11"/>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F-29</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237">
              <w:r>
                <w:rPr>
                  <w:rFonts w:ascii="Arial" w:cs="Arial" w:eastAsia="Arial" w:hAnsi="Arial"/>
                  <w:sz w:val="18"/>
                  <w:szCs w:val="18"/>
                  <w:color w:val="0000EE"/>
                </w:rPr>
                <w:t xml:space="preserve">Condensed Statements of Operations for the Three Months Ended March 31, 2021 and 2020 </w:t>
              </w:r>
            </w:hyperlink>
            <w:r>
              <w:rPr>
                <w:rFonts w:ascii="Arial" w:cs="Arial" w:eastAsia="Arial" w:hAnsi="Arial"/>
                <w:sz w:val="18"/>
                <w:szCs w:val="18"/>
                <w:color w:val="000000"/>
              </w:rPr>
              <w:t>(unaudited)</w:t>
            </w:r>
          </w:p>
        </w:tc>
        <w:tc>
          <w:tcPr>
            <w:tcW w:w="640" w:type="dxa"/>
            <w:vAlign w:val="bottom"/>
          </w:tcPr>
          <w:p>
            <w:pPr>
              <w:ind w:left="240"/>
              <w:spacing w:after="0" w:line="182" w:lineRule="exact"/>
              <w:rPr>
                <w:sz w:val="20"/>
                <w:szCs w:val="20"/>
                <w:color w:val="auto"/>
              </w:rPr>
            </w:pPr>
            <w:r>
              <w:rPr>
                <w:rFonts w:ascii="Arial" w:cs="Arial" w:eastAsia="Arial" w:hAnsi="Arial"/>
                <w:sz w:val="18"/>
                <w:szCs w:val="18"/>
                <w:color w:val="auto"/>
              </w:rPr>
              <w:t>F-30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2"/>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238">
              <w:r>
                <w:rPr>
                  <w:rFonts w:ascii="Arial" w:cs="Arial" w:eastAsia="Arial" w:hAnsi="Arial"/>
                  <w:sz w:val="18"/>
                  <w:szCs w:val="18"/>
                  <w:color w:val="0000EE"/>
                </w:rPr>
                <w:t xml:space="preserve">Condensed Statements of Changes in Stockholders’ Equity for the Three Months Ended March 31, 2021 and 2020 </w:t>
              </w:r>
            </w:hyperlink>
            <w:r>
              <w:rPr>
                <w:rFonts w:ascii="Arial" w:cs="Arial" w:eastAsia="Arial" w:hAnsi="Arial"/>
                <w:sz w:val="18"/>
                <w:szCs w:val="18"/>
                <w:color w:val="000000"/>
              </w:rPr>
              <w:t>(unaudited)</w:t>
            </w:r>
          </w:p>
        </w:tc>
        <w:tc>
          <w:tcPr>
            <w:tcW w:w="640" w:type="dxa"/>
            <w:vAlign w:val="bottom"/>
          </w:tcPr>
          <w:p>
            <w:pPr>
              <w:ind w:left="240"/>
              <w:spacing w:after="0" w:line="182" w:lineRule="exact"/>
              <w:rPr>
                <w:sz w:val="20"/>
                <w:szCs w:val="20"/>
                <w:color w:val="auto"/>
              </w:rPr>
            </w:pPr>
            <w:r>
              <w:rPr>
                <w:rFonts w:ascii="Arial" w:cs="Arial" w:eastAsia="Arial" w:hAnsi="Arial"/>
                <w:sz w:val="18"/>
                <w:szCs w:val="18"/>
                <w:color w:val="auto"/>
              </w:rPr>
              <w:t>F-31</w:t>
            </w:r>
          </w:p>
        </w:tc>
      </w:tr>
      <w:tr>
        <w:trPr>
          <w:trHeight w:val="183"/>
        </w:trPr>
        <w:tc>
          <w:tcPr>
            <w:tcW w:w="120" w:type="dxa"/>
            <w:vAlign w:val="bottom"/>
          </w:tcPr>
          <w:p>
            <w:pPr>
              <w:spacing w:after="0"/>
              <w:rPr>
                <w:sz w:val="15"/>
                <w:szCs w:val="15"/>
                <w:color w:val="auto"/>
              </w:rPr>
            </w:pPr>
          </w:p>
        </w:tc>
        <w:tc>
          <w:tcPr>
            <w:tcW w:w="91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239">
              <w:r>
                <w:rPr>
                  <w:rFonts w:ascii="Arial" w:cs="Arial" w:eastAsia="Arial" w:hAnsi="Arial"/>
                  <w:sz w:val="18"/>
                  <w:szCs w:val="18"/>
                  <w:color w:val="0000EE"/>
                </w:rPr>
                <w:t xml:space="preserve">Condensed Statements of Cash Flows for the Three Months Ended March 31, 2021 and 2020 </w:t>
              </w:r>
            </w:hyperlink>
            <w:r>
              <w:rPr>
                <w:rFonts w:ascii="Arial" w:cs="Arial" w:eastAsia="Arial" w:hAnsi="Arial"/>
                <w:sz w:val="18"/>
                <w:szCs w:val="18"/>
                <w:color w:val="000000"/>
              </w:rPr>
              <w:t>(unaudited)</w:t>
            </w:r>
          </w:p>
        </w:tc>
        <w:tc>
          <w:tcPr>
            <w:tcW w:w="1200" w:type="dxa"/>
            <w:vAlign w:val="bottom"/>
            <w:gridSpan w:val="5"/>
          </w:tcPr>
          <w:p>
            <w:pPr>
              <w:spacing w:after="0"/>
              <w:rPr>
                <w:sz w:val="15"/>
                <w:szCs w:val="15"/>
                <w:color w:val="auto"/>
              </w:rPr>
            </w:pPr>
          </w:p>
        </w:tc>
        <w:tc>
          <w:tcPr>
            <w:tcW w:w="640" w:type="dxa"/>
            <w:vAlign w:val="bottom"/>
          </w:tcPr>
          <w:p>
            <w:pPr>
              <w:ind w:left="240"/>
              <w:spacing w:after="0" w:line="182" w:lineRule="exact"/>
              <w:rPr>
                <w:sz w:val="20"/>
                <w:szCs w:val="20"/>
                <w:color w:val="auto"/>
              </w:rPr>
            </w:pPr>
            <w:r>
              <w:rPr>
                <w:rFonts w:ascii="Arial" w:cs="Arial" w:eastAsia="Arial" w:hAnsi="Arial"/>
                <w:sz w:val="18"/>
                <w:szCs w:val="18"/>
                <w:color w:val="auto"/>
              </w:rPr>
              <w:t>F-32</w:t>
            </w:r>
          </w:p>
        </w:tc>
      </w:tr>
      <w:tr>
        <w:trPr>
          <w:trHeight w:val="183"/>
        </w:trPr>
        <w:tc>
          <w:tcPr>
            <w:tcW w:w="120" w:type="dxa"/>
            <w:vAlign w:val="bottom"/>
          </w:tcPr>
          <w:p>
            <w:pPr>
              <w:spacing w:after="0"/>
              <w:rPr>
                <w:sz w:val="15"/>
                <w:szCs w:val="15"/>
                <w:color w:val="auto"/>
              </w:rPr>
            </w:pPr>
          </w:p>
        </w:tc>
        <w:tc>
          <w:tcPr>
            <w:tcW w:w="42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240">
              <w:r>
                <w:rPr>
                  <w:rFonts w:ascii="Arial" w:cs="Arial" w:eastAsia="Arial" w:hAnsi="Arial"/>
                  <w:sz w:val="18"/>
                  <w:szCs w:val="18"/>
                  <w:color w:val="0000EE"/>
                  <w:w w:val="99"/>
                </w:rPr>
                <w:t>Notes to Unaudited Condensed Financial Statements</w:t>
              </w:r>
            </w:hyperlink>
          </w:p>
        </w:tc>
        <w:tc>
          <w:tcPr>
            <w:tcW w:w="3220" w:type="dxa"/>
            <w:vAlign w:val="bottom"/>
            <w:tcBorders>
              <w:top w:val="single" w:sz="8" w:color="0000EE"/>
            </w:tcBorders>
            <w:gridSpan w:val="7"/>
          </w:tcPr>
          <w:p>
            <w:pPr>
              <w:spacing w:after="0"/>
              <w:rPr>
                <w:sz w:val="15"/>
                <w:szCs w:val="15"/>
                <w:color w:val="auto"/>
              </w:rPr>
            </w:pPr>
          </w:p>
        </w:tc>
        <w:tc>
          <w:tcPr>
            <w:tcW w:w="2840" w:type="dxa"/>
            <w:vAlign w:val="bottom"/>
            <w:gridSpan w:val="9"/>
          </w:tcPr>
          <w:p>
            <w:pPr>
              <w:spacing w:after="0"/>
              <w:rPr>
                <w:sz w:val="15"/>
                <w:szCs w:val="15"/>
                <w:color w:val="auto"/>
              </w:rPr>
            </w:pPr>
          </w:p>
        </w:tc>
        <w:tc>
          <w:tcPr>
            <w:tcW w:w="640" w:type="dxa"/>
            <w:vAlign w:val="bottom"/>
          </w:tcPr>
          <w:p>
            <w:pPr>
              <w:ind w:left="240"/>
              <w:spacing w:after="0" w:line="182" w:lineRule="exact"/>
              <w:rPr>
                <w:sz w:val="20"/>
                <w:szCs w:val="20"/>
                <w:color w:val="auto"/>
              </w:rPr>
            </w:pPr>
            <w:r>
              <w:rPr>
                <w:rFonts w:ascii="Arial" w:cs="Arial" w:eastAsia="Arial" w:hAnsi="Arial"/>
                <w:sz w:val="18"/>
                <w:szCs w:val="18"/>
                <w:color w:val="auto"/>
              </w:rPr>
              <w:t>F-33</w:t>
            </w:r>
          </w:p>
        </w:tc>
      </w:tr>
      <w:tr>
        <w:trPr>
          <w:trHeight w:val="439"/>
        </w:trPr>
        <w:tc>
          <w:tcPr>
            <w:tcW w:w="120" w:type="dxa"/>
            <w:vAlign w:val="bottom"/>
          </w:tcPr>
          <w:p>
            <w:pPr>
              <w:spacing w:after="0"/>
              <w:rPr>
                <w:sz w:val="24"/>
                <w:szCs w:val="24"/>
                <w:color w:val="auto"/>
              </w:rPr>
            </w:pPr>
          </w:p>
        </w:tc>
        <w:tc>
          <w:tcPr>
            <w:tcW w:w="10300" w:type="dxa"/>
            <w:vAlign w:val="bottom"/>
            <w:gridSpan w:val="29"/>
          </w:tcPr>
          <w:p>
            <w:pPr>
              <w:spacing w:after="0"/>
              <w:rPr>
                <w:sz w:val="20"/>
                <w:szCs w:val="20"/>
                <w:color w:val="auto"/>
              </w:rPr>
            </w:pPr>
            <w:r>
              <w:rPr>
                <w:rFonts w:ascii="Arial" w:cs="Arial" w:eastAsia="Arial" w:hAnsi="Arial"/>
                <w:sz w:val="18"/>
                <w:szCs w:val="18"/>
                <w:b w:val="1"/>
                <w:bCs w:val="1"/>
                <w:color w:val="auto"/>
              </w:rPr>
              <w:t>Financial Statements of PWP Holdings LP and subsidiaries</w:t>
            </w:r>
          </w:p>
        </w:tc>
        <w:tc>
          <w:tcPr>
            <w:tcW w:w="6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4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9"/>
              </w:rPr>
              <w:t>Audited Consolidated Financial Statements</w:t>
            </w:r>
          </w:p>
        </w:tc>
        <w:tc>
          <w:tcPr>
            <w:tcW w:w="6860" w:type="dxa"/>
            <w:vAlign w:val="bottom"/>
            <w:gridSpan w:val="20"/>
          </w:tcPr>
          <w:p>
            <w:pPr>
              <w:spacing w:after="0"/>
              <w:rPr>
                <w:sz w:val="23"/>
                <w:szCs w:val="23"/>
                <w:color w:val="auto"/>
              </w:rPr>
            </w:pPr>
          </w:p>
        </w:tc>
        <w:tc>
          <w:tcPr>
            <w:tcW w:w="640" w:type="dxa"/>
            <w:vAlign w:val="bottom"/>
          </w:tcPr>
          <w:p>
            <w:pPr>
              <w:spacing w:after="0"/>
              <w:rPr>
                <w:sz w:val="23"/>
                <w:szCs w:val="23"/>
                <w:color w:val="auto"/>
              </w:rPr>
            </w:pPr>
          </w:p>
        </w:tc>
      </w:tr>
      <w:tr>
        <w:trPr>
          <w:trHeight w:val="290"/>
        </w:trPr>
        <w:tc>
          <w:tcPr>
            <w:tcW w:w="120" w:type="dxa"/>
            <w:vAlign w:val="bottom"/>
          </w:tcPr>
          <w:p>
            <w:pPr>
              <w:spacing w:after="0"/>
              <w:rPr>
                <w:sz w:val="24"/>
                <w:szCs w:val="24"/>
                <w:color w:val="auto"/>
              </w:rPr>
            </w:pPr>
          </w:p>
        </w:tc>
        <w:tc>
          <w:tcPr>
            <w:tcW w:w="46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258">
              <w:r>
                <w:rPr>
                  <w:rFonts w:ascii="Arial" w:cs="Arial" w:eastAsia="Arial" w:hAnsi="Arial"/>
                  <w:sz w:val="18"/>
                  <w:szCs w:val="18"/>
                  <w:color w:val="0000EE"/>
                  <w:w w:val="99"/>
                </w:rPr>
                <w:t>Report of Independent Registered Public Accounting Firm</w:t>
              </w:r>
            </w:hyperlink>
          </w:p>
        </w:tc>
        <w:tc>
          <w:tcPr>
            <w:tcW w:w="5700" w:type="dxa"/>
            <w:vAlign w:val="bottom"/>
            <w:gridSpan w:val="14"/>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F-51</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259">
              <w:r>
                <w:rPr>
                  <w:rFonts w:ascii="Arial" w:cs="Arial" w:eastAsia="Arial" w:hAnsi="Arial"/>
                  <w:sz w:val="18"/>
                  <w:szCs w:val="18"/>
                  <w:color w:val="0000EE"/>
                </w:rPr>
                <w:t>Consolidated Statements of Financial Condition as of December 31, 2020 and 2019</w:t>
              </w:r>
            </w:hyperlink>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80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260">
              <w:r>
                <w:rPr>
                  <w:rFonts w:ascii="Arial" w:cs="Arial" w:eastAsia="Arial" w:hAnsi="Arial"/>
                  <w:sz w:val="18"/>
                  <w:szCs w:val="18"/>
                  <w:color w:val="0000EE"/>
                  <w:w w:val="99"/>
                </w:rPr>
                <w:t>Consolidated Statements of Operations and Comprehensive Loss for the Years Ended December 31, 2020, 2019 and 2018</w:t>
              </w:r>
            </w:hyperlink>
          </w:p>
        </w:tc>
        <w:tc>
          <w:tcPr>
            <w:tcW w:w="500" w:type="dxa"/>
            <w:vAlign w:val="bottom"/>
            <w:gridSpan w:val="3"/>
          </w:tcPr>
          <w:p>
            <w:pPr>
              <w:spacing w:after="0"/>
              <w:rPr>
                <w:sz w:val="15"/>
                <w:szCs w:val="15"/>
                <w:color w:val="auto"/>
              </w:rPr>
            </w:pP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F-53</w:t>
            </w:r>
          </w:p>
        </w:tc>
      </w:tr>
      <w:tr>
        <w:trPr>
          <w:trHeight w:val="183"/>
        </w:trPr>
        <w:tc>
          <w:tcPr>
            <w:tcW w:w="120" w:type="dxa"/>
            <w:vAlign w:val="bottom"/>
          </w:tcPr>
          <w:p>
            <w:pPr>
              <w:spacing w:after="0"/>
              <w:rPr>
                <w:sz w:val="15"/>
                <w:szCs w:val="15"/>
                <w:color w:val="auto"/>
              </w:rPr>
            </w:pPr>
          </w:p>
        </w:tc>
        <w:tc>
          <w:tcPr>
            <w:tcW w:w="91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61">
              <w:r>
                <w:rPr>
                  <w:rFonts w:ascii="Arial" w:cs="Arial" w:eastAsia="Arial" w:hAnsi="Arial"/>
                  <w:sz w:val="18"/>
                  <w:szCs w:val="18"/>
                  <w:color w:val="0000EE"/>
                  <w:w w:val="99"/>
                </w:rPr>
                <w:t>Consolidated Statements of Changes in Partners’ Capital for the Years Ended December 31, 2020, 2019 and 2018</w:t>
              </w:r>
            </w:hyperlink>
          </w:p>
        </w:tc>
        <w:tc>
          <w:tcPr>
            <w:tcW w:w="1180" w:type="dxa"/>
            <w:vAlign w:val="bottom"/>
            <w:gridSpan w:val="4"/>
          </w:tcPr>
          <w:p>
            <w:pPr>
              <w:spacing w:after="0"/>
              <w:rPr>
                <w:sz w:val="15"/>
                <w:szCs w:val="15"/>
                <w:color w:val="auto"/>
              </w:rPr>
            </w:pP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F-54</w:t>
            </w:r>
          </w:p>
        </w:tc>
      </w:tr>
      <w:tr>
        <w:trPr>
          <w:trHeight w:val="183"/>
        </w:trPr>
        <w:tc>
          <w:tcPr>
            <w:tcW w:w="120" w:type="dxa"/>
            <w:vAlign w:val="bottom"/>
          </w:tcPr>
          <w:p>
            <w:pPr>
              <w:spacing w:after="0"/>
              <w:rPr>
                <w:sz w:val="15"/>
                <w:szCs w:val="15"/>
                <w:color w:val="auto"/>
              </w:rPr>
            </w:pPr>
          </w:p>
        </w:tc>
        <w:tc>
          <w:tcPr>
            <w:tcW w:w="782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w:anchor="page262">
              <w:r>
                <w:rPr>
                  <w:rFonts w:ascii="Arial" w:cs="Arial" w:eastAsia="Arial" w:hAnsi="Arial"/>
                  <w:sz w:val="18"/>
                  <w:szCs w:val="18"/>
                  <w:color w:val="0000EE"/>
                </w:rPr>
                <w:t>Consolidated Statements of Cash Flows for the Years Ended December 31, 2020, 2019 and 2018</w:t>
              </w:r>
            </w:hyperlink>
          </w:p>
        </w:tc>
        <w:tc>
          <w:tcPr>
            <w:tcW w:w="2480" w:type="dxa"/>
            <w:vAlign w:val="bottom"/>
            <w:gridSpan w:val="8"/>
          </w:tcPr>
          <w:p>
            <w:pPr>
              <w:spacing w:after="0"/>
              <w:rPr>
                <w:sz w:val="15"/>
                <w:szCs w:val="15"/>
                <w:color w:val="auto"/>
              </w:rPr>
            </w:pP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F-55</w:t>
            </w: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63">
              <w:r>
                <w:rPr>
                  <w:rFonts w:ascii="Arial" w:cs="Arial" w:eastAsia="Arial" w:hAnsi="Arial"/>
                  <w:sz w:val="18"/>
                  <w:szCs w:val="18"/>
                  <w:color w:val="0000EE"/>
                  <w:w w:val="99"/>
                </w:rPr>
                <w:t>Notes to Consolidated Financial Statements</w:t>
              </w:r>
            </w:hyperlink>
          </w:p>
        </w:tc>
        <w:tc>
          <w:tcPr>
            <w:tcW w:w="6800" w:type="dxa"/>
            <w:vAlign w:val="bottom"/>
            <w:gridSpan w:val="19"/>
          </w:tcPr>
          <w:p>
            <w:pPr>
              <w:spacing w:after="0"/>
              <w:rPr>
                <w:sz w:val="15"/>
                <w:szCs w:val="15"/>
                <w:color w:val="auto"/>
              </w:rPr>
            </w:pP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F-56</w:t>
            </w:r>
          </w:p>
        </w:tc>
      </w:tr>
      <w:tr>
        <w:trPr>
          <w:trHeight w:val="290"/>
        </w:trPr>
        <w:tc>
          <w:tcPr>
            <w:tcW w:w="120" w:type="dxa"/>
            <w:vAlign w:val="bottom"/>
          </w:tcPr>
          <w:p>
            <w:pPr>
              <w:spacing w:after="0"/>
              <w:rPr>
                <w:sz w:val="24"/>
                <w:szCs w:val="24"/>
                <w:color w:val="auto"/>
              </w:rPr>
            </w:pPr>
          </w:p>
        </w:tc>
        <w:tc>
          <w:tcPr>
            <w:tcW w:w="462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9"/>
              </w:rPr>
              <w:t>Unaudited Condensed Consolidated Financial Statements</w:t>
            </w:r>
          </w:p>
        </w:tc>
        <w:tc>
          <w:tcPr>
            <w:tcW w:w="5680" w:type="dxa"/>
            <w:vAlign w:val="bottom"/>
            <w:gridSpan w:val="13"/>
          </w:tcPr>
          <w:p>
            <w:pPr>
              <w:spacing w:after="0"/>
              <w:rPr>
                <w:sz w:val="24"/>
                <w:szCs w:val="24"/>
                <w:color w:val="auto"/>
              </w:rPr>
            </w:pPr>
          </w:p>
        </w:tc>
        <w:tc>
          <w:tcPr>
            <w:tcW w:w="640" w:type="dxa"/>
            <w:vAlign w:val="bottom"/>
          </w:tcPr>
          <w:p>
            <w:pPr>
              <w:spacing w:after="0"/>
              <w:rPr>
                <w:sz w:val="24"/>
                <w:szCs w:val="24"/>
                <w:color w:val="auto"/>
              </w:rPr>
            </w:pPr>
          </w:p>
        </w:tc>
      </w:tr>
      <w:tr>
        <w:trPr>
          <w:trHeight w:val="290"/>
        </w:trPr>
        <w:tc>
          <w:tcPr>
            <w:tcW w:w="120" w:type="dxa"/>
            <w:vAlign w:val="bottom"/>
          </w:tcPr>
          <w:p>
            <w:pPr>
              <w:spacing w:after="0"/>
              <w:rPr>
                <w:sz w:val="24"/>
                <w:szCs w:val="24"/>
                <w:color w:val="auto"/>
              </w:rPr>
            </w:pPr>
          </w:p>
        </w:tc>
        <w:tc>
          <w:tcPr>
            <w:tcW w:w="84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301">
              <w:r>
                <w:rPr>
                  <w:rFonts w:ascii="Arial" w:cs="Arial" w:eastAsia="Arial" w:hAnsi="Arial"/>
                  <w:sz w:val="18"/>
                  <w:szCs w:val="18"/>
                  <w:color w:val="0000EE"/>
                  <w:w w:val="99"/>
                </w:rPr>
                <w:t>Condensed Consolidated Statements of Financial Condition as of March 31, 2021 and December 31, 2020</w:t>
              </w:r>
            </w:hyperlink>
          </w:p>
        </w:tc>
        <w:tc>
          <w:tcPr>
            <w:tcW w:w="1820" w:type="dxa"/>
            <w:vAlign w:val="bottom"/>
            <w:gridSpan w:val="7"/>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w w:val="91"/>
              </w:rPr>
              <w:t>F-94</w:t>
            </w:r>
          </w:p>
        </w:tc>
      </w:tr>
      <w:tr>
        <w:trPr>
          <w:trHeight w:val="183"/>
        </w:trPr>
        <w:tc>
          <w:tcPr>
            <w:tcW w:w="120" w:type="dxa"/>
            <w:vAlign w:val="bottom"/>
          </w:tcPr>
          <w:p>
            <w:pPr>
              <w:spacing w:after="0"/>
              <w:rPr>
                <w:sz w:val="15"/>
                <w:szCs w:val="15"/>
                <w:color w:val="auto"/>
              </w:rPr>
            </w:pPr>
          </w:p>
        </w:tc>
        <w:tc>
          <w:tcPr>
            <w:tcW w:w="1010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302">
              <w:r>
                <w:rPr>
                  <w:rFonts w:ascii="Arial" w:cs="Arial" w:eastAsia="Arial" w:hAnsi="Arial"/>
                  <w:sz w:val="18"/>
                  <w:szCs w:val="18"/>
                  <w:color w:val="0000EE"/>
                  <w:w w:val="99"/>
                </w:rPr>
                <w:t>Condensed Consolidated Statements of Operations and Comprehensive Income (Loss) for the Three Months Ended March 31,</w:t>
              </w:r>
            </w:hyperlink>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302">
              <w:r>
                <w:rPr>
                  <w:rFonts w:ascii="Arial" w:cs="Arial" w:eastAsia="Arial" w:hAnsi="Arial"/>
                  <w:sz w:val="18"/>
                  <w:szCs w:val="18"/>
                  <w:color w:val="0000EE"/>
                  <w:w w:val="98"/>
                </w:rPr>
                <w:t>2021 and 2020</w:t>
              </w:r>
            </w:hyperlink>
          </w:p>
        </w:tc>
        <w:tc>
          <w:tcPr>
            <w:tcW w:w="8920" w:type="dxa"/>
            <w:vAlign w:val="bottom"/>
            <w:gridSpan w:val="25"/>
          </w:tcPr>
          <w:p>
            <w:pPr>
              <w:spacing w:after="0"/>
              <w:rPr>
                <w:sz w:val="15"/>
                <w:szCs w:val="15"/>
                <w:color w:val="auto"/>
              </w:rPr>
            </w:pPr>
          </w:p>
        </w:tc>
        <w:tc>
          <w:tcPr>
            <w:tcW w:w="640" w:type="dxa"/>
            <w:vAlign w:val="bottom"/>
          </w:tcPr>
          <w:p>
            <w:pPr>
              <w:ind w:left="280"/>
              <w:spacing w:after="0" w:line="182" w:lineRule="exact"/>
              <w:rPr>
                <w:sz w:val="20"/>
                <w:szCs w:val="20"/>
                <w:color w:val="auto"/>
              </w:rPr>
            </w:pPr>
            <w:r>
              <w:rPr>
                <w:rFonts w:ascii="Arial" w:cs="Arial" w:eastAsia="Arial" w:hAnsi="Arial"/>
                <w:sz w:val="18"/>
                <w:szCs w:val="18"/>
                <w:color w:val="auto"/>
                <w:w w:val="91"/>
              </w:rPr>
              <w:t>F-95</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303">
              <w:r>
                <w:rPr>
                  <w:rFonts w:ascii="Arial" w:cs="Arial" w:eastAsia="Arial" w:hAnsi="Arial"/>
                  <w:sz w:val="18"/>
                  <w:szCs w:val="18"/>
                  <w:color w:val="0000EE"/>
                </w:rPr>
                <w:t>Condensed Consolidated Statements of Changes in Partners’ Capital for the Three Months Ended March 31, 2021 and 2020</w:t>
              </w:r>
            </w:hyperlink>
          </w:p>
        </w:tc>
        <w:tc>
          <w:tcPr>
            <w:tcW w:w="640" w:type="dxa"/>
            <w:vAlign w:val="bottom"/>
          </w:tcPr>
          <w:p>
            <w:pPr>
              <w:ind w:left="280"/>
              <w:spacing w:after="0" w:line="182" w:lineRule="exact"/>
              <w:rPr>
                <w:sz w:val="20"/>
                <w:szCs w:val="20"/>
                <w:color w:val="auto"/>
              </w:rPr>
            </w:pPr>
            <w:r>
              <w:rPr>
                <w:rFonts w:ascii="Arial" w:cs="Arial" w:eastAsia="Arial" w:hAnsi="Arial"/>
                <w:sz w:val="18"/>
                <w:szCs w:val="18"/>
                <w:color w:val="auto"/>
                <w:w w:val="91"/>
              </w:rPr>
              <w:t>F-96</w:t>
            </w:r>
          </w:p>
        </w:tc>
      </w:tr>
      <w:tr>
        <w:trPr>
          <w:trHeight w:val="183"/>
        </w:trPr>
        <w:tc>
          <w:tcPr>
            <w:tcW w:w="120" w:type="dxa"/>
            <w:vAlign w:val="bottom"/>
          </w:tcPr>
          <w:p>
            <w:pPr>
              <w:spacing w:after="0"/>
              <w:rPr>
                <w:sz w:val="15"/>
                <w:szCs w:val="15"/>
                <w:color w:val="auto"/>
              </w:rPr>
            </w:pPr>
          </w:p>
        </w:tc>
        <w:tc>
          <w:tcPr>
            <w:tcW w:w="856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9"/>
              </w:rPr>
            </w:pPr>
            <w:hyperlink w:anchor="page304">
              <w:r>
                <w:rPr>
                  <w:rFonts w:ascii="Arial" w:cs="Arial" w:eastAsia="Arial" w:hAnsi="Arial"/>
                  <w:sz w:val="18"/>
                  <w:szCs w:val="18"/>
                  <w:color w:val="0000EE"/>
                  <w:w w:val="99"/>
                </w:rPr>
                <w:t>Condensed Consolidated Statements of Cash Flows for the Three Months Ended March 31, 2021 and 2020</w:t>
              </w:r>
            </w:hyperlink>
          </w:p>
        </w:tc>
        <w:tc>
          <w:tcPr>
            <w:tcW w:w="1340" w:type="dxa"/>
            <w:vAlign w:val="bottom"/>
            <w:tcBorders>
              <w:top w:val="single" w:sz="8" w:color="0000EE"/>
            </w:tcBorders>
            <w:gridSpan w:val="4"/>
          </w:tcPr>
          <w:p>
            <w:pPr>
              <w:spacing w:after="0"/>
              <w:rPr>
                <w:sz w:val="15"/>
                <w:szCs w:val="15"/>
                <w:color w:val="auto"/>
              </w:rPr>
            </w:pPr>
          </w:p>
        </w:tc>
        <w:tc>
          <w:tcPr>
            <w:tcW w:w="400" w:type="dxa"/>
            <w:vAlign w:val="bottom"/>
            <w:gridSpan w:val="2"/>
          </w:tcPr>
          <w:p>
            <w:pPr>
              <w:spacing w:after="0"/>
              <w:rPr>
                <w:sz w:val="15"/>
                <w:szCs w:val="15"/>
                <w:color w:val="auto"/>
              </w:rPr>
            </w:pPr>
          </w:p>
        </w:tc>
        <w:tc>
          <w:tcPr>
            <w:tcW w:w="640" w:type="dxa"/>
            <w:vAlign w:val="bottom"/>
          </w:tcPr>
          <w:p>
            <w:pPr>
              <w:ind w:left="280"/>
              <w:spacing w:after="0" w:line="182" w:lineRule="exact"/>
              <w:rPr>
                <w:sz w:val="20"/>
                <w:szCs w:val="20"/>
                <w:color w:val="auto"/>
              </w:rPr>
            </w:pPr>
            <w:r>
              <w:rPr>
                <w:rFonts w:ascii="Arial" w:cs="Arial" w:eastAsia="Arial" w:hAnsi="Arial"/>
                <w:sz w:val="18"/>
                <w:szCs w:val="18"/>
                <w:color w:val="auto"/>
                <w:w w:val="91"/>
              </w:rPr>
              <w:t>F-97</w:t>
            </w:r>
          </w:p>
        </w:tc>
      </w:tr>
      <w:tr>
        <w:trPr>
          <w:trHeight w:val="183"/>
        </w:trPr>
        <w:tc>
          <w:tcPr>
            <w:tcW w:w="120" w:type="dxa"/>
            <w:vAlign w:val="bottom"/>
          </w:tcPr>
          <w:p>
            <w:pPr>
              <w:spacing w:after="0"/>
              <w:rPr>
                <w:sz w:val="15"/>
                <w:szCs w:val="15"/>
                <w:color w:val="auto"/>
              </w:rPr>
            </w:pPr>
          </w:p>
        </w:tc>
        <w:tc>
          <w:tcPr>
            <w:tcW w:w="10300" w:type="dxa"/>
            <w:vAlign w:val="bottom"/>
            <w:gridSpan w:val="29"/>
          </w:tcPr>
          <w:p>
            <w:pPr>
              <w:spacing w:after="0" w:line="182" w:lineRule="exact"/>
              <w:rPr>
                <w:rFonts w:ascii="Arial" w:cs="Arial" w:eastAsia="Arial" w:hAnsi="Arial"/>
                <w:sz w:val="18"/>
                <w:szCs w:val="18"/>
                <w:color w:val="0000EE"/>
              </w:rPr>
            </w:pPr>
            <w:hyperlink w:anchor="page305">
              <w:r>
                <w:rPr>
                  <w:rFonts w:ascii="Arial" w:cs="Arial" w:eastAsia="Arial" w:hAnsi="Arial"/>
                  <w:sz w:val="18"/>
                  <w:szCs w:val="18"/>
                  <w:color w:val="0000EE"/>
                </w:rPr>
                <w:t>Notes to Condensed Consolidated Financial Statements</w:t>
              </w:r>
            </w:hyperlink>
          </w:p>
        </w:tc>
        <w:tc>
          <w:tcPr>
            <w:tcW w:w="640" w:type="dxa"/>
            <w:vAlign w:val="bottom"/>
          </w:tcPr>
          <w:p>
            <w:pPr>
              <w:ind w:left="280"/>
              <w:spacing w:after="0" w:line="182" w:lineRule="exact"/>
              <w:rPr>
                <w:sz w:val="20"/>
                <w:szCs w:val="20"/>
                <w:color w:val="auto"/>
              </w:rPr>
            </w:pPr>
            <w:r>
              <w:rPr>
                <w:rFonts w:ascii="Arial" w:cs="Arial" w:eastAsia="Arial" w:hAnsi="Arial"/>
                <w:sz w:val="18"/>
                <w:szCs w:val="18"/>
                <w:color w:val="auto"/>
                <w:w w:val="91"/>
              </w:rPr>
              <w:t>F-98</w:t>
            </w:r>
          </w:p>
        </w:tc>
      </w:tr>
      <w:tr>
        <w:trPr>
          <w:trHeight w:val="372"/>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3"/>
          </w:tcPr>
          <w:p>
            <w:pPr>
              <w:jc w:val="center"/>
              <w:ind w:right="3920"/>
              <w:spacing w:after="0"/>
              <w:rPr>
                <w:sz w:val="20"/>
                <w:szCs w:val="20"/>
                <w:color w:val="auto"/>
              </w:rPr>
            </w:pPr>
            <w:r>
              <w:rPr>
                <w:rFonts w:ascii="Arial" w:cs="Arial" w:eastAsia="Arial" w:hAnsi="Arial"/>
                <w:sz w:val="18"/>
                <w:szCs w:val="18"/>
                <w:color w:val="auto"/>
              </w:rPr>
              <w:t>F-1</w:t>
            </w:r>
          </w:p>
        </w:tc>
        <w:tc>
          <w:tcPr>
            <w:tcW w:w="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ind w:left="120"/>
        <w:spacing w:after="0"/>
        <w:rPr>
          <w:sz w:val="20"/>
          <w:szCs w:val="20"/>
          <w:color w:val="auto"/>
        </w:rPr>
      </w:pPr>
      <w:r>
        <w:rPr>
          <w:rFonts w:ascii="Arial" w:cs="Arial" w:eastAsia="Arial" w:hAnsi="Arial"/>
          <w:sz w:val="18"/>
          <w:szCs w:val="18"/>
          <w:color w:val="auto"/>
        </w:rPr>
        <w:t>FinTech Acquisition Corp. IV</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have audited the accompanying balance sheets of FinTech Acquisition Corp. IV (the “Company”) as of December 31, 2020 and 2019, the related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Financial Statements</w:t>
      </w:r>
    </w:p>
    <w:p>
      <w:pPr>
        <w:spacing w:after="0" w:line="108"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 xml:space="preserve">As discussed in Note 2 to the financial statements, the Securities and Exchange Commission issued a public statement entitled </w:t>
      </w:r>
      <w:r>
        <w:rPr>
          <w:rFonts w:ascii="Arial" w:cs="Arial" w:eastAsia="Arial" w:hAnsi="Arial"/>
          <w:sz w:val="18"/>
          <w:szCs w:val="18"/>
          <w:i w:val="1"/>
          <w:iCs w:val="1"/>
          <w:color w:val="auto"/>
        </w:rPr>
        <w:t>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on Accounting and Reporting Considerations for Warrants Issued by Special Purpose Acquisition Companies (“SPACs”)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ind w:left="120"/>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4, 2021</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55"/>
        </w:trPr>
        <w:tc>
          <w:tcPr>
            <w:tcW w:w="8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(As Restated)</w:t>
            </w:r>
          </w:p>
        </w:tc>
        <w:tc>
          <w:tcPr>
            <w:tcW w:w="3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1,158,934</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10,762</w:t>
            </w:r>
          </w:p>
        </w:tc>
      </w:tr>
      <w:tr>
        <w:trPr>
          <w:trHeight w:val="210"/>
        </w:trPr>
        <w:tc>
          <w:tcPr>
            <w:tcW w:w="828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275,824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1,434,758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10,762</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Deferred offering costs associated with the proposed public offering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54,873</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marketable securities held in Trust Account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230,005,861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9"/>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231,440,619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65,635</w:t>
            </w:r>
          </w:p>
        </w:tc>
        <w:tc>
          <w:tcPr>
            <w:tcW w:w="12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792,983</w:t>
            </w:r>
          </w:p>
        </w:tc>
        <w:tc>
          <w:tcPr>
            <w:tcW w:w="280" w:type="dxa"/>
            <w:vAlign w:val="bottom"/>
          </w:tcPr>
          <w:p>
            <w:pPr>
              <w:spacing w:after="0"/>
              <w:rPr>
                <w:sz w:val="17"/>
                <w:szCs w:val="17"/>
                <w:color w:val="auto"/>
              </w:rPr>
            </w:pPr>
          </w:p>
        </w:tc>
        <w:tc>
          <w:tcPr>
            <w:tcW w:w="4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offering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41,612</w:t>
            </w:r>
          </w:p>
        </w:tc>
      </w:tr>
      <w:tr>
        <w:trPr>
          <w:trHeight w:val="209"/>
        </w:trPr>
        <w:tc>
          <w:tcPr>
            <w:tcW w:w="8280" w:type="dxa"/>
            <w:vAlign w:val="bottom"/>
          </w:tcPr>
          <w:p>
            <w:pPr>
              <w:spacing w:after="0" w:line="202" w:lineRule="exact"/>
              <w:rPr>
                <w:sz w:val="20"/>
                <w:szCs w:val="20"/>
                <w:color w:val="auto"/>
              </w:rPr>
            </w:pPr>
            <w:r>
              <w:rPr>
                <w:rFonts w:ascii="Arial" w:cs="Arial" w:eastAsia="Arial" w:hAnsi="Arial"/>
                <w:sz w:val="18"/>
                <w:szCs w:val="18"/>
                <w:color w:val="auto"/>
              </w:rPr>
              <w:t>Promissory note – related party</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792,983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42,931</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17,365,433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underwriting fee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9,800,000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7"/>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27,958,416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42,931</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rPr>
              <w:t>Class A common stock subject to possible redemption, 19,848,220 and no shares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8280" w:type="dxa"/>
            <w:vAlign w:val="bottom"/>
          </w:tcPr>
          <w:p>
            <w:pPr>
              <w:ind w:left="180"/>
              <w:spacing w:after="0"/>
              <w:rPr>
                <w:sz w:val="20"/>
                <w:szCs w:val="20"/>
                <w:color w:val="auto"/>
              </w:rPr>
            </w:pPr>
            <w:r>
              <w:rPr>
                <w:rFonts w:ascii="Arial" w:cs="Arial" w:eastAsia="Arial" w:hAnsi="Arial"/>
                <w:sz w:val="18"/>
                <w:szCs w:val="18"/>
                <w:color w:val="auto"/>
              </w:rPr>
              <w:t>December 31, 2020 and 2019, respectively (at $10.00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198,482,200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94"/>
        </w:trPr>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100,000,000 shares authorized; 3,761,780 and none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and outstanding (excluding 19,848,220 and no shares subject to possible redemption) as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of December 31, 2020 and 2019, respectively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376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10,000,000 shares authorized; 7,870,000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80" w:type="dxa"/>
            <w:vAlign w:val="bottom"/>
          </w:tcPr>
          <w:p>
            <w:pPr>
              <w:ind w:left="180"/>
              <w:spacing w:after="0" w:line="203" w:lineRule="exact"/>
              <w:rPr>
                <w:sz w:val="20"/>
                <w:szCs w:val="20"/>
                <w:color w:val="auto"/>
              </w:rPr>
            </w:pPr>
            <w:r>
              <w:rPr>
                <w:rFonts w:ascii="Arial" w:cs="Arial" w:eastAsia="Arial" w:hAnsi="Arial"/>
                <w:sz w:val="18"/>
                <w:szCs w:val="18"/>
                <w:color w:val="auto"/>
              </w:rPr>
              <w:t>issued and outstanding at December 31, 2020 and 2019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787</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10,105,739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24,213</w:t>
            </w:r>
          </w:p>
        </w:tc>
      </w:tr>
      <w:tr>
        <w:trPr>
          <w:trHeight w:val="209"/>
        </w:trPr>
        <w:tc>
          <w:tcPr>
            <w:tcW w:w="828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(5,106,899)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(2,296)</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22,704</w:t>
            </w:r>
          </w:p>
        </w:tc>
        <w:tc>
          <w:tcPr>
            <w:tcW w:w="120" w:type="dxa"/>
            <w:vAlign w:val="bottom"/>
            <w:shd w:val="clear" w:color="auto" w:fill="CCEEFF"/>
          </w:tcPr>
          <w:p>
            <w:pPr>
              <w:spacing w:after="0"/>
              <w:rPr>
                <w:sz w:val="17"/>
                <w:szCs w:val="17"/>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231,440,619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65,635</w:t>
            </w:r>
          </w:p>
        </w:tc>
        <w:tc>
          <w:tcPr>
            <w:tcW w:w="12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69"/>
        </w:trPr>
        <w:tc>
          <w:tcPr>
            <w:tcW w:w="8420" w:type="dxa"/>
            <w:vAlign w:val="bottom"/>
          </w:tcPr>
          <w:p>
            <w:pPr>
              <w:spacing w:after="0"/>
              <w:rPr>
                <w:sz w:val="14"/>
                <w:szCs w:val="14"/>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(As Restated)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Formation and operating costs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1,025,138</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842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(1,025,138)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5,861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Offering costs associated with warrants recorded as liabilities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(849,893)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(3,235,433)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(5,104,603)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(1,319)</w:t>
            </w:r>
          </w:p>
        </w:tc>
      </w:tr>
      <w:tr>
        <w:trPr>
          <w:trHeight w:val="209"/>
        </w:trPr>
        <w:tc>
          <w:tcPr>
            <w:tcW w:w="84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(5,104,603)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(1,319)</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of Class A redeemable common stock</w:t>
            </w: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w w:val="99"/>
              </w:rPr>
              <w:t>23,000,000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share, Class A redeemable common stock</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2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7,280,219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6,870,000</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share, Class A and Class B non-redeemable common stock</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(0.70)</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(0.00)</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Class A</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vMerge w:val="restart"/>
          </w:tcPr>
          <w:p>
            <w:pPr>
              <w:jc w:val="center"/>
              <w:ind w:left="230"/>
              <w:spacing w:after="0"/>
              <w:rPr>
                <w:sz w:val="20"/>
                <w:szCs w:val="20"/>
                <w:color w:val="auto"/>
              </w:rPr>
            </w:pPr>
            <w:r>
              <w:rPr>
                <w:rFonts w:ascii="Arial" w:cs="Arial" w:eastAsia="Arial" w:hAnsi="Arial"/>
                <w:sz w:val="13"/>
                <w:szCs w:val="13"/>
                <w:b w:val="1"/>
                <w:bCs w:val="1"/>
                <w:color w:val="auto"/>
                <w:w w:val="96"/>
              </w:rPr>
              <w:t>Class B</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restart"/>
          </w:tcPr>
          <w:p>
            <w:pPr>
              <w:jc w:val="right"/>
              <w:ind w:right="280"/>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restart"/>
          </w:tcPr>
          <w:p>
            <w:pPr>
              <w:jc w:val="right"/>
              <w:ind w:right="420"/>
              <w:spacing w:after="0" w:line="135"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8"/>
              </w:rPr>
              <w:t>Stockholder’</w:t>
            </w: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1720" w:type="dxa"/>
            <w:vAlign w:val="bottom"/>
            <w:gridSpan w:val="5"/>
            <w:vMerge w:val="restart"/>
          </w:tcPr>
          <w:p>
            <w:pPr>
              <w:jc w:val="right"/>
              <w:ind w:right="500"/>
              <w:spacing w:after="0"/>
              <w:rPr>
                <w:sz w:val="20"/>
                <w:szCs w:val="20"/>
                <w:color w:val="auto"/>
              </w:rPr>
            </w:pPr>
            <w:r>
              <w:rPr>
                <w:rFonts w:ascii="Arial" w:cs="Arial" w:eastAsia="Arial" w:hAnsi="Arial"/>
                <w:sz w:val="13"/>
                <w:szCs w:val="13"/>
                <w:b w:val="1"/>
                <w:bCs w:val="1"/>
                <w:color w:val="auto"/>
              </w:rPr>
              <w:t>Common Stock</w:t>
            </w:r>
          </w:p>
        </w:tc>
        <w:tc>
          <w:tcPr>
            <w:tcW w:w="14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96"/>
              </w:rPr>
              <w:t>Common Stock</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vMerge w:val="restart"/>
          </w:tcPr>
          <w:p>
            <w:pPr>
              <w:jc w:val="right"/>
              <w:ind w:right="380"/>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7"/>
                <w:szCs w:val="7"/>
                <w:color w:val="auto"/>
              </w:rPr>
            </w:pPr>
          </w:p>
        </w:tc>
        <w:tc>
          <w:tcPr>
            <w:tcW w:w="98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Subscription</w:t>
            </w: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7"/>
                <w:szCs w:val="7"/>
                <w:color w:val="auto"/>
              </w:rPr>
            </w:pPr>
          </w:p>
        </w:tc>
        <w:tc>
          <w:tcPr>
            <w:tcW w:w="9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Receivable</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9"/>
        </w:trPr>
        <w:tc>
          <w:tcPr>
            <w:tcW w:w="3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 January 1,</w:t>
            </w: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7,870,000</w:t>
            </w: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24,213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(977)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(977)</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Collection of stock subscription receivable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25,000</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(1,319)</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2019</w:t>
            </w: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7,870,000</w:t>
            </w:r>
          </w:p>
        </w:tc>
        <w:tc>
          <w:tcPr>
            <w:tcW w:w="16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787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24,213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(2,296)</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22,704</w:t>
            </w:r>
          </w:p>
        </w:tc>
        <w:tc>
          <w:tcPr>
            <w:tcW w:w="0" w:type="dxa"/>
            <w:vAlign w:val="bottom"/>
          </w:tcPr>
          <w:p>
            <w:pPr>
              <w:spacing w:after="0"/>
              <w:rPr>
                <w:sz w:val="1"/>
                <w:szCs w:val="1"/>
                <w:color w:val="auto"/>
              </w:rPr>
            </w:pPr>
          </w:p>
        </w:tc>
      </w:tr>
      <w:tr>
        <w:trPr>
          <w:trHeight w:val="167"/>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Sale of 23,610,000 Units, net of underwriting discount</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and offering costs</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23,610,000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2,361</w:t>
            </w: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208,561,741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208,564,102</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20"/>
                <w:szCs w:val="20"/>
                <w:color w:val="auto"/>
              </w:rPr>
            </w:pPr>
            <w:r>
              <w:rPr>
                <w:rFonts w:ascii="Arial" w:cs="Arial" w:eastAsia="Arial" w:hAnsi="Arial"/>
                <w:sz w:val="14"/>
                <w:szCs w:val="14"/>
                <w:color w:val="auto"/>
              </w:rPr>
              <w:t>Value of Class A common stock subject to possible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line="157" w:lineRule="exact"/>
              <w:rPr>
                <w:sz w:val="20"/>
                <w:szCs w:val="20"/>
                <w:color w:val="auto"/>
              </w:rPr>
            </w:pPr>
            <w:r>
              <w:rPr>
                <w:rFonts w:ascii="Arial" w:cs="Arial" w:eastAsia="Arial" w:hAnsi="Arial"/>
                <w:sz w:val="14"/>
                <w:szCs w:val="14"/>
                <w:color w:val="auto"/>
              </w:rPr>
              <w:t>redemption</w:t>
            </w: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(19,848,220)</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w w:val="99"/>
              </w:rPr>
              <w:t>(1,985)</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(198,480,215)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(198,482,200)</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(5,104,603)</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(5,104,603)</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2020 (As Restated)</w:t>
            </w: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3,761,780</w:t>
            </w: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7,870,000</w:t>
            </w: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787</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10,105,739</w:t>
            </w:r>
          </w:p>
        </w:tc>
        <w:tc>
          <w:tcPr>
            <w:tcW w:w="2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(5,106,899)</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5,000,003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(As restated)</w:t>
            </w: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(5,104,603)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7"/>
                <w:szCs w:val="17"/>
                <w:color w:val="auto"/>
              </w:rPr>
            </w:pP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(5,861)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3,235,433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849,893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Formation costs and expense paid by Sponsor</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3"/>
        </w:trPr>
        <w:tc>
          <w:tcPr>
            <w:tcW w:w="854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(275,824)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792,533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(508,429)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(977)</w:t>
            </w:r>
          </w:p>
        </w:tc>
        <w:tc>
          <w:tcPr>
            <w:tcW w:w="0" w:type="dxa"/>
            <w:vAlign w:val="bottom"/>
          </w:tcPr>
          <w:p>
            <w:pPr>
              <w:spacing w:after="0"/>
              <w:rPr>
                <w:sz w:val="1"/>
                <w:szCs w:val="1"/>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of cash into Trust Account</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9"/>
              </w:rPr>
              <w:t>(230,000,000)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540" w:type="dxa"/>
            <w:vAlign w:val="bottom"/>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(230,000,000</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Proceeds from the collection of the stock subscription receivable</w:t>
            </w:r>
          </w:p>
        </w:tc>
        <w:tc>
          <w:tcPr>
            <w:tcW w:w="100" w:type="dxa"/>
            <w:vAlign w:val="bottom"/>
          </w:tcPr>
          <w:p>
            <w:pPr>
              <w:spacing w:after="0"/>
              <w:rPr>
                <w:sz w:val="17"/>
                <w:szCs w:val="17"/>
                <w:color w:val="auto"/>
              </w:rPr>
            </w:pP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226,000,000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Proceeds from sale of Private Placement Units</w:t>
            </w:r>
          </w:p>
        </w:tc>
        <w:tc>
          <w:tcPr>
            <w:tcW w:w="100" w:type="dxa"/>
            <w:vAlign w:val="bottom"/>
          </w:tcPr>
          <w:p>
            <w:pPr>
              <w:spacing w:after="0"/>
              <w:rPr>
                <w:sz w:val="17"/>
                <w:szCs w:val="17"/>
                <w:color w:val="auto"/>
              </w:rPr>
            </w:pP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6,100,000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promissory note – related party</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90,000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Repayment of promissory note – related party</w:t>
            </w:r>
          </w:p>
        </w:tc>
        <w:tc>
          <w:tcPr>
            <w:tcW w:w="100" w:type="dxa"/>
            <w:vAlign w:val="bottom"/>
          </w:tcPr>
          <w:p>
            <w:pPr>
              <w:spacing w:after="0"/>
              <w:rPr>
                <w:sz w:val="17"/>
                <w:szCs w:val="17"/>
                <w:color w:val="auto"/>
              </w:rPr>
            </w:pP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(90,869)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offering costs</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(442,530)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(13,261)</w:t>
            </w:r>
          </w:p>
        </w:tc>
        <w:tc>
          <w:tcPr>
            <w:tcW w:w="0" w:type="dxa"/>
            <w:vAlign w:val="bottom"/>
          </w:tcPr>
          <w:p>
            <w:pPr>
              <w:spacing w:after="0"/>
              <w:rPr>
                <w:sz w:val="1"/>
                <w:szCs w:val="1"/>
                <w:color w:val="auto"/>
              </w:rPr>
            </w:pPr>
          </w:p>
        </w:tc>
      </w:tr>
      <w:tr>
        <w:trPr>
          <w:trHeight w:val="217"/>
        </w:trPr>
        <w:tc>
          <w:tcPr>
            <w:tcW w:w="854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231,656,601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1,148,172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10,762</w:t>
            </w:r>
          </w:p>
        </w:tc>
        <w:tc>
          <w:tcPr>
            <w:tcW w:w="0" w:type="dxa"/>
            <w:vAlign w:val="bottom"/>
          </w:tcPr>
          <w:p>
            <w:pPr>
              <w:spacing w:after="0"/>
              <w:rPr>
                <w:sz w:val="1"/>
                <w:szCs w:val="1"/>
                <w:color w:val="auto"/>
              </w:rPr>
            </w:pPr>
          </w:p>
        </w:tc>
      </w:tr>
      <w:tr>
        <w:trPr>
          <w:trHeight w:val="210"/>
        </w:trPr>
        <w:tc>
          <w:tcPr>
            <w:tcW w:w="8540" w:type="dxa"/>
            <w:vAlign w:val="bottom"/>
          </w:tcPr>
          <w:p>
            <w:pPr>
              <w:spacing w:after="0" w:line="202" w:lineRule="exact"/>
              <w:rPr>
                <w:sz w:val="20"/>
                <w:szCs w:val="20"/>
                <w:color w:val="auto"/>
              </w:rPr>
            </w:pPr>
            <w:r>
              <w:rPr>
                <w:rFonts w:ascii="Arial" w:cs="Arial" w:eastAsia="Arial" w:hAnsi="Arial"/>
                <w:sz w:val="18"/>
                <w:szCs w:val="18"/>
                <w:color w:val="auto"/>
              </w:rPr>
              <w:t>Cash – Beginning of year</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10,762</w:t>
            </w: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 End of year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1,158,934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10,762</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Offering costs included in accrued offering costs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41,440</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classification of Class A common stock subject to possible redemption</w:t>
            </w: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202,734,940</w:t>
            </w:r>
          </w:p>
        </w:tc>
        <w:tc>
          <w:tcPr>
            <w:tcW w:w="2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tcPr>
          <w:p>
            <w:pPr>
              <w:spacing w:after="0" w:line="196" w:lineRule="exact"/>
              <w:rPr>
                <w:sz w:val="20"/>
                <w:szCs w:val="20"/>
                <w:color w:val="auto"/>
              </w:rPr>
            </w:pPr>
            <w:r>
              <w:rPr>
                <w:rFonts w:ascii="Arial" w:cs="Arial" w:eastAsia="Arial" w:hAnsi="Arial"/>
                <w:sz w:val="18"/>
                <w:szCs w:val="18"/>
                <w:color w:val="auto"/>
              </w:rPr>
              <w:t>Change in value of Class A common stock subject to possible redemption</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(4,252,740)</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9,800,000</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Initial classification of warrant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14,130,000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205"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As of December 31, 2020, the Company had not commenced operations. All activity through December 31, 2020 relates to the Company’s formation, the Initial Public Offering (as defined below), and, subsequent to the Initial Public Offering, identifying a target company for a Business Combination, activities in connection with the proposed acquisition of PWP Holdings LP, a Delaware limited partnership (“PWP”) (see Note 7).</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statement for the Company’s Initial Public Offering was declared effective on September 24, 2020. On</w:t>
      </w:r>
    </w:p>
    <w:p>
      <w:pPr>
        <w:ind w:left="120"/>
        <w:spacing w:after="0"/>
        <w:rPr>
          <w:sz w:val="20"/>
          <w:szCs w:val="20"/>
          <w:color w:val="auto"/>
        </w:rPr>
      </w:pPr>
      <w:r>
        <w:rPr>
          <w:rFonts w:ascii="Arial" w:cs="Arial" w:eastAsia="Arial" w:hAnsi="Arial"/>
          <w:sz w:val="17"/>
          <w:szCs w:val="17"/>
          <w:color w:val="auto"/>
        </w:rPr>
        <w:t>September 29, 2020, the Company consummated the Initial Public Offering of 23,000,000 units (the “Units” and, with respect to the shares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Class A common stock included in the Units sold, the “Public Shares”), which includes the full exercise by the underwriters of their over-</w:t>
      </w:r>
    </w:p>
    <w:p>
      <w:pPr>
        <w:ind w:left="120"/>
        <w:spacing w:after="0" w:line="234" w:lineRule="auto"/>
        <w:rPr>
          <w:sz w:val="20"/>
          <w:szCs w:val="20"/>
          <w:color w:val="auto"/>
        </w:rPr>
      </w:pPr>
      <w:r>
        <w:rPr>
          <w:rFonts w:ascii="Arial" w:cs="Arial" w:eastAsia="Arial" w:hAnsi="Arial"/>
          <w:sz w:val="18"/>
          <w:szCs w:val="18"/>
          <w:color w:val="auto"/>
        </w:rPr>
        <w:t>allotment option in the amount of 3,000,000 Units, at $10.00 per Unit, generating gross proceeds of $230,000,000 which is described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4.</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5. The manager of each entity of the Sponsor is Cohen Sponsor Interests IV, LLC.</w:t>
      </w:r>
    </w:p>
    <w:p>
      <w:pPr>
        <w:spacing w:after="0" w:line="205"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Transaction costs amounted to $14,255,791, consisting of $4,000,000 of underwriting fees, $9,800,000 of deferred underwriting fees and $455,791 of other offering costs. In addition, at December 31, 2020, cash of $1,158,934 was held outside of the Trust Account (as defined below) and is available for working capital purposes.</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the Company’s tax obligations, if the Company is unable to complete an initial Business Combination within the Combination Period or upon any earlier liquidation of the Company.</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of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7). There will be no redemption rights upon the completion of a Business Combination with respect to the Company’s warrants.</w:t>
      </w:r>
    </w:p>
    <w:p>
      <w:pPr>
        <w:spacing w:after="0" w:line="207"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The Company will proceed with a Business Combination only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6), the shares of Class A common stock included in the Private Placement Units (the “Private Placement Shares”) and any Public Shares held by them in favor of approving a Business Combination.</w:t>
      </w:r>
    </w:p>
    <w:p>
      <w:pPr>
        <w:spacing w:after="0" w:line="204"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Company will have until the expiration of the Combination Period to consummate its initial Business Combination. If the Company is unable to consummate a Business Combination within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Combination Period, the Company will (i) cease all operations except for the purposes of winding up of its affairs; (ii) distribute the aggregate amount then on deposit in the Trust Account, including any amounts representing interest earned on the Trust Account not previously released to the Company to pay its franchise and income taxes and up to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7).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$ 5,000,001. The Insiders have agreed to vote any Founder Shares, Private Placement Shares and any Public Shares held by them in favor of any such amendment.</w:t>
      </w:r>
    </w:p>
    <w:p>
      <w:pPr>
        <w:spacing w:after="0" w:line="204"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 has agreed to waive its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assets remaining available for distribution (including Trust Account assets) will be less than the initial 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20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26" w:lineRule="exact"/>
        <w:rPr>
          <w:sz w:val="20"/>
          <w:szCs w:val="20"/>
          <w:color w:val="auto"/>
        </w:rPr>
      </w:pPr>
    </w:p>
    <w:p>
      <w:pPr>
        <w:ind w:left="120" w:right="400" w:firstLine="551"/>
        <w:spacing w:after="0" w:line="237" w:lineRule="auto"/>
        <w:rPr>
          <w:sz w:val="20"/>
          <w:szCs w:val="20"/>
          <w:color w:val="auto"/>
        </w:rPr>
      </w:pPr>
      <w:r>
        <w:rPr>
          <w:rFonts w:ascii="Arial" w:cs="Arial" w:eastAsia="Arial" w:hAnsi="Arial"/>
          <w:sz w:val="18"/>
          <w:szCs w:val="18"/>
          <w:color w:val="auto"/>
        </w:rPr>
        <w:t>The Company previously accounted for its outstanding Public Warrants (as defined in Note 5)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205" w:lineRule="exact"/>
        <w:rPr>
          <w:sz w:val="20"/>
          <w:szCs w:val="20"/>
          <w:color w:val="auto"/>
        </w:rPr>
      </w:pPr>
    </w:p>
    <w:p>
      <w:pPr>
        <w:ind w:left="120" w:right="40" w:firstLine="551"/>
        <w:spacing w:after="0" w:line="251" w:lineRule="auto"/>
        <w:rPr>
          <w:sz w:val="20"/>
          <w:szCs w:val="20"/>
          <w:color w:val="auto"/>
        </w:rPr>
      </w:pPr>
      <w:r>
        <w:rPr>
          <w:rFonts w:ascii="Arial" w:cs="Arial" w:eastAsia="Arial" w:hAnsi="Arial"/>
          <w:sz w:val="17"/>
          <w:szCs w:val="17"/>
          <w:color w:val="auto"/>
        </w:rPr>
        <w:t>In connection with the audit of the Company’s financial statements for the year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concluded the tender offer provision included in the warrant agreement fails the “classified in stockholders’ equity” criteria as contemplated by ASC Section 815-40-25.</w:t>
      </w:r>
    </w:p>
    <w:p>
      <w:pPr>
        <w:spacing w:after="0" w:line="197" w:lineRule="exact"/>
        <w:rPr>
          <w:sz w:val="20"/>
          <w:szCs w:val="20"/>
          <w:color w:val="auto"/>
        </w:rPr>
      </w:pPr>
    </w:p>
    <w:p>
      <w:pPr>
        <w:ind w:left="120" w:right="220" w:firstLine="551"/>
        <w:spacing w:after="0" w:line="261"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86"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Previously</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w:t>
            </w:r>
          </w:p>
        </w:tc>
      </w:tr>
      <w:tr>
        <w:trPr>
          <w:trHeight w:val="175"/>
        </w:trPr>
        <w:tc>
          <w:tcPr>
            <w:tcW w:w="4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Reported</w:t>
            </w:r>
          </w:p>
        </w:tc>
        <w:tc>
          <w:tcPr>
            <w:tcW w:w="320" w:type="dxa"/>
            <w:vAlign w:val="bottom"/>
          </w:tcPr>
          <w:p>
            <w:pPr>
              <w:spacing w:after="0"/>
              <w:rPr>
                <w:sz w:val="15"/>
                <w:szCs w:val="15"/>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Restated</w:t>
            </w:r>
          </w:p>
        </w:tc>
      </w:tr>
      <w:tr>
        <w:trPr>
          <w:trHeight w:val="183"/>
        </w:trPr>
        <w:tc>
          <w:tcPr>
            <w:tcW w:w="4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sheet as of September 29, 2020 (audited)</w:t>
            </w: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$ 14,130,000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14,130,000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9,801,361</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14,130,000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23,931,361</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Common Shares Subject to Possible Redemption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216,864,940</w:t>
            </w:r>
          </w:p>
        </w:tc>
        <w:tc>
          <w:tcPr>
            <w:tcW w:w="208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(14,130,000)</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202,734,940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Shares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192</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334</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5,003,290</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849,751</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5,853,041</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(4,262)</w:t>
            </w:r>
          </w:p>
        </w:tc>
        <w:tc>
          <w:tcPr>
            <w:tcW w:w="208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(849,893)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(854,155)</w:t>
            </w: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5,000,007</w:t>
            </w:r>
          </w:p>
        </w:tc>
        <w:tc>
          <w:tcPr>
            <w:tcW w:w="32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5,000,007</w:t>
            </w:r>
          </w:p>
        </w:tc>
      </w:tr>
      <w:tr>
        <w:trPr>
          <w:trHeight w:val="53"/>
        </w:trPr>
        <w:tc>
          <w:tcPr>
            <w:tcW w:w="4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as of September 30, 2020 (unaudited)</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$ 13,974,634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13,974,634</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9,820,896</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13,974,634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23,795,530</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Common Shares Subject to Possible Redemption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216,845,470</w:t>
            </w:r>
          </w:p>
        </w:tc>
        <w:tc>
          <w:tcPr>
            <w:tcW w:w="208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(13,974,630)</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202,870,840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Shares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193</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332</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5,022,759</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694,384</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5,717,143</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(23,734)</w:t>
            </w:r>
          </w:p>
        </w:tc>
        <w:tc>
          <w:tcPr>
            <w:tcW w:w="208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(694,527)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(718,261)</w:t>
            </w: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5,000,005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5,000,001</w:t>
            </w:r>
          </w:p>
        </w:tc>
      </w:tr>
      <w:tr>
        <w:trPr>
          <w:trHeight w:val="53"/>
        </w:trPr>
        <w:tc>
          <w:tcPr>
            <w:tcW w:w="4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as of December 31, 2020 (audited)</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$ 17,365,433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17,365,433</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10,592,983</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17,365,433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27,958,416</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Common Shares Subject to Possible Redemption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215,847,631</w:t>
            </w:r>
          </w:p>
        </w:tc>
        <w:tc>
          <w:tcPr>
            <w:tcW w:w="208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(17,365,431)</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198,482,200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Shares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203</w:t>
            </w:r>
          </w:p>
        </w:tc>
        <w:tc>
          <w:tcPr>
            <w:tcW w:w="20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376</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6,020,588</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4,085,151</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10,105,739</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(1,021,573)</w:t>
            </w:r>
          </w:p>
        </w:tc>
        <w:tc>
          <w:tcPr>
            <w:tcW w:w="208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(4,085,326)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(5,106,899)</w:t>
            </w: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5,000,005</w:t>
            </w:r>
          </w:p>
        </w:tc>
        <w:tc>
          <w:tcPr>
            <w:tcW w:w="2080" w:type="dxa"/>
            <w:vAlign w:val="bottom"/>
            <w:gridSpan w:val="3"/>
          </w:tcPr>
          <w:p>
            <w:pPr>
              <w:jc w:val="right"/>
              <w:ind w:right="6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5,000,003</w:t>
            </w:r>
          </w:p>
        </w:tc>
      </w:tr>
      <w:tr>
        <w:trPr>
          <w:trHeight w:val="53"/>
        </w:trPr>
        <w:tc>
          <w:tcPr>
            <w:tcW w:w="4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Three months ended September 30, 2020 (unaudited)</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155,366</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155,366</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allocable to warrant 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(849,893)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(849,893)</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(19,845)</w:t>
            </w:r>
          </w:p>
        </w:tc>
        <w:tc>
          <w:tcPr>
            <w:tcW w:w="208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(694,527)</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(714,372)</w:t>
            </w: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Class A and Class B</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non-redeemable common stock</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(0.00)</w:t>
            </w:r>
          </w:p>
        </w:tc>
        <w:tc>
          <w:tcPr>
            <w:tcW w:w="2080" w:type="dxa"/>
            <w:vAlign w:val="bottom"/>
            <w:gridSpan w:val="3"/>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(0.08)</w:t>
            </w:r>
          </w:p>
        </w:tc>
      </w:tr>
      <w:tr>
        <w:trPr>
          <w:trHeight w:val="365"/>
        </w:trPr>
        <w:tc>
          <w:tcPr>
            <w:tcW w:w="494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F-11</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Previously</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w:t>
            </w:r>
          </w:p>
        </w:tc>
      </w:tr>
      <w:tr>
        <w:trPr>
          <w:trHeight w:val="175"/>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Reported</w:t>
            </w:r>
          </w:p>
        </w:tc>
        <w:tc>
          <w:tcPr>
            <w:tcW w:w="340" w:type="dxa"/>
            <w:vAlign w:val="bottom"/>
          </w:tcPr>
          <w:p>
            <w:pPr>
              <w:spacing w:after="0"/>
              <w:rPr>
                <w:sz w:val="15"/>
                <w:szCs w:val="15"/>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Restated</w:t>
            </w:r>
          </w:p>
        </w:tc>
      </w:tr>
      <w:tr>
        <w:trPr>
          <w:trHeight w:val="48"/>
        </w:trPr>
        <w:tc>
          <w:tcPr>
            <w:tcW w:w="6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Nine months ended September 30, 2020 (unaudited)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155,366</w:t>
            </w:r>
          </w:p>
        </w:tc>
        <w:tc>
          <w:tcPr>
            <w:tcW w:w="14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155,366</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allocable to warrant liabilities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(849,893)</w:t>
            </w:r>
          </w:p>
        </w:tc>
        <w:tc>
          <w:tcPr>
            <w:tcW w:w="1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(849,893)</w:t>
            </w:r>
          </w:p>
        </w:tc>
      </w:tr>
      <w:tr>
        <w:trPr>
          <w:trHeight w:val="202"/>
        </w:trPr>
        <w:tc>
          <w:tcPr>
            <w:tcW w:w="65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(19,845)</w:t>
            </w:r>
          </w:p>
        </w:tc>
        <w:tc>
          <w:tcPr>
            <w:tcW w:w="17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(694,527)</w:t>
            </w: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(714,372)</w:t>
            </w:r>
          </w:p>
        </w:tc>
      </w:tr>
      <w:tr>
        <w:trPr>
          <w:trHeight w:val="202"/>
        </w:trPr>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Class A and Class B</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non-redeemable common stock</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(0.00)</w:t>
            </w:r>
          </w:p>
        </w:tc>
        <w:tc>
          <w:tcPr>
            <w:tcW w:w="1700" w:type="dxa"/>
            <w:vAlign w:val="bottom"/>
            <w:gridSpan w:val="3"/>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(0.08)</w:t>
            </w:r>
          </w:p>
        </w:tc>
        <w:tc>
          <w:tcPr>
            <w:tcW w:w="144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(0.08)</w:t>
            </w:r>
          </w:p>
        </w:tc>
      </w:tr>
      <w:tr>
        <w:trPr>
          <w:trHeight w:val="270"/>
        </w:trPr>
        <w:tc>
          <w:tcPr>
            <w:tcW w:w="6520" w:type="dxa"/>
            <w:vAlign w:val="bottom"/>
          </w:tcPr>
          <w:p>
            <w:pPr>
              <w:spacing w:after="0"/>
              <w:rPr>
                <w:sz w:val="20"/>
                <w:szCs w:val="20"/>
                <w:color w:val="auto"/>
              </w:rPr>
            </w:pPr>
            <w:r>
              <w:rPr>
                <w:rFonts w:ascii="Arial" w:cs="Arial" w:eastAsia="Arial" w:hAnsi="Arial"/>
                <w:sz w:val="18"/>
                <w:szCs w:val="18"/>
                <w:b w:val="1"/>
                <w:bCs w:val="1"/>
                <w:color w:val="auto"/>
              </w:rPr>
              <w:t>Year-ended December 31, 2020 (audited)</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$(3,235,433)</w:t>
            </w:r>
          </w:p>
        </w:tc>
        <w:tc>
          <w:tcPr>
            <w:tcW w:w="1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$(3,235,433)</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Transaction costs allocable to warrant liabilities</w:t>
            </w: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(849,893)</w:t>
            </w: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(849,893)</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(1,019,277)</w:t>
            </w:r>
          </w:p>
        </w:tc>
        <w:tc>
          <w:tcPr>
            <w:tcW w:w="17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(4,085,326)</w:t>
            </w:r>
          </w:p>
        </w:tc>
        <w:tc>
          <w:tcPr>
            <w:tcW w:w="1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(5,104,603)</w:t>
            </w: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Class A and Class B</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520" w:type="dxa"/>
            <w:vAlign w:val="bottom"/>
          </w:tcPr>
          <w:p>
            <w:pPr>
              <w:ind w:left="180"/>
              <w:spacing w:after="0"/>
              <w:rPr>
                <w:sz w:val="20"/>
                <w:szCs w:val="20"/>
                <w:color w:val="auto"/>
              </w:rPr>
            </w:pPr>
            <w:r>
              <w:rPr>
                <w:rFonts w:ascii="Arial" w:cs="Arial" w:eastAsia="Arial" w:hAnsi="Arial"/>
                <w:sz w:val="18"/>
                <w:szCs w:val="18"/>
                <w:color w:val="auto"/>
              </w:rPr>
              <w:t>non-redeemable common stock</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(0.56)</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(0.70)</w:t>
            </w:r>
          </w:p>
        </w:tc>
      </w:tr>
      <w:tr>
        <w:trPr>
          <w:trHeight w:val="54"/>
        </w:trPr>
        <w:tc>
          <w:tcPr>
            <w:tcW w:w="6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0"/>
        </w:trPr>
        <w:tc>
          <w:tcPr>
            <w:tcW w:w="65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Cash Flow Statement for the nine months ended September 30,020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(21,438)</w:t>
            </w:r>
          </w:p>
        </w:tc>
        <w:tc>
          <w:tcPr>
            <w:tcW w:w="17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(694,527)</w:t>
            </w: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(715,965)</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(155,366)</w:t>
            </w:r>
          </w:p>
        </w:tc>
        <w:tc>
          <w:tcPr>
            <w:tcW w:w="1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(155,366)</w:t>
            </w:r>
          </w:p>
        </w:tc>
      </w:tr>
      <w:tr>
        <w:trPr>
          <w:trHeight w:val="217"/>
        </w:trPr>
        <w:tc>
          <w:tcPr>
            <w:tcW w:w="652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849,893</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849,893</w:t>
            </w:r>
          </w:p>
        </w:tc>
      </w:tr>
      <w:tr>
        <w:trPr>
          <w:trHeight w:val="53"/>
        </w:trPr>
        <w:tc>
          <w:tcPr>
            <w:tcW w:w="6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0"/>
        </w:trPr>
        <w:tc>
          <w:tcPr>
            <w:tcW w:w="65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Cash Flow Statement for the year ended</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2020 (audited)</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(1,019,277)</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(4,085,326)</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(5,104,603)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3,235,433</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3,235,433</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1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849,893</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849,893</w:t>
            </w: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2019.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2020, substantially all of the assets held in the Trust Account were held in U.S. Treasury Securities Money Market</w:t>
      </w:r>
    </w:p>
    <w:p>
      <w:pPr>
        <w:ind w:left="120"/>
        <w:spacing w:after="0"/>
        <w:rPr>
          <w:sz w:val="20"/>
          <w:szCs w:val="20"/>
          <w:color w:val="auto"/>
        </w:rPr>
      </w:pPr>
      <w:r>
        <w:rPr>
          <w:rFonts w:ascii="Arial" w:cs="Arial" w:eastAsia="Arial" w:hAnsi="Arial"/>
          <w:sz w:val="18"/>
          <w:szCs w:val="18"/>
          <w:color w:val="auto"/>
        </w:rPr>
        <w:t>Funds.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December 31, 2020, 19,848,220 shares of Class A common stock subject to possible redemption is presented as temporary equity, outside of the stockholders’ equity section of the Company’s balance sheet.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Offering costs consist of underwriting, legal, accounting and other expenses that were directly related to the Initial Public Offering. Offering costs were allocated on a relative fair value basis between stockholders’ equity and expense. The portion of offering costs allocated to the public shares has been charged to stockholders’ equity. Offering costs totaled $ 14,255,791 (consisting of $4,000,000 of underwriting fees, $9,800,000 of deferred underwriting fees and $455,791 of other offering costs), of which $849,893 was charged to expense and $13,405,898 was charged to stockholders’ equity upon completion of the Initial Public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26"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a non-cash gain or loss on the statements of operations. The fair value of the Public Warrants was initially measured using a binomial / lattice model with subsequent periods measured at the trading price, whereas the Private Placement Warrants were initially and subsequently measured using the Black-Scholes Option Pricing Model. (see Note 11).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Net loss per common share is computed by dividing net income (loss) by the weighted average number of common shares outstanding for the period. The Company has not considered the effect of warrants sold in the Initial Public Offering and private placement to purchase 7,870,000 shares of Class A common stock in the calculation of diluted income (loss) per share, since the exercise of the warrants are contingent upon the occurrence of future events and the inclusion of such warrants would be anti-dilutive.</w:t>
      </w:r>
    </w:p>
    <w:p>
      <w:pPr>
        <w:spacing w:after="0" w:line="205"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by the weighted average number of Class A redeemable common stock outstanding since original issuance. Net loss per share, basic and diluted, for Class A and Class B non-redeemable common stock is calculated by dividing the net loss, adjusted for income attributable to Class A redeemable common stock, net of applicable franchise and income taxes, by 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8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Redeemable Class A Common Stock</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5,861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9"/>
              </w:rPr>
              <w:t>23,000,000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Earnings/Basic and Diluted Redeemable Class A Common Stock</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Non-Redeemable Class A and B Common Stock</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Numerator: Net loss minus Redeemable Net Earnings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(5,104,603)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(1,319)</w:t>
            </w:r>
          </w:p>
        </w:tc>
      </w:tr>
      <w:tr>
        <w:trPr>
          <w:trHeight w:val="209"/>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Redeemable Net Earnings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Non-Redeemable 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(5,104,603)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(1,319)</w:t>
            </w: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Non-Redeemable Class A and B Common Stock, Basic and Diluted (1)</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7,280,219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6,870,000</w:t>
            </w:r>
          </w:p>
        </w:tc>
      </w:tr>
      <w:tr>
        <w:trPr>
          <w:trHeight w:val="217"/>
        </w:trPr>
        <w:tc>
          <w:tcPr>
            <w:tcW w:w="8420" w:type="dxa"/>
            <w:vAlign w:val="bottom"/>
          </w:tcPr>
          <w:p>
            <w:pPr>
              <w:spacing w:after="0"/>
              <w:rPr>
                <w:sz w:val="20"/>
                <w:szCs w:val="20"/>
                <w:color w:val="auto"/>
              </w:rPr>
            </w:pPr>
            <w:r>
              <w:rPr>
                <w:rFonts w:ascii="Arial" w:cs="Arial" w:eastAsia="Arial" w:hAnsi="Arial"/>
                <w:sz w:val="18"/>
                <w:szCs w:val="18"/>
                <w:color w:val="auto"/>
              </w:rPr>
              <w:t>Loss/Basic and Diluted Non-Redeemable Class A and B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Note: As of December 31, 2020 and 2019, basic and diluted common shares are the same as there are no non-redeemable securities that are dilutive to the Company’s stockholders.</w:t>
      </w:r>
    </w:p>
    <w:p>
      <w:pPr>
        <w:spacing w:after="0" w:line="102" w:lineRule="exact"/>
        <w:rPr>
          <w:sz w:val="20"/>
          <w:szCs w:val="20"/>
          <w:color w:val="auto"/>
        </w:rPr>
      </w:pPr>
    </w:p>
    <w:p>
      <w:pPr>
        <w:ind w:left="660" w:right="600" w:hanging="544"/>
        <w:spacing w:after="0" w:line="24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weighted average non-redeemable common stock for the year ended December 31, 2020 includes the effect of 610,000 Private Units, which were issued in conjunction with the initial public offering on September 29,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and Disclosures,” approximates the carrying amounts represented in the accompanying balance sheet, primarily due to their short-term nature.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As of December 31, 2020, the carrying values of cash, accounts payable and accrued expenses approximate their fair values primarily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INITIAL PUBLIC OFFERING</w:t>
      </w:r>
    </w:p>
    <w:p>
      <w:pPr>
        <w:spacing w:after="0" w:line="126"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 -third of one warrant (“Public Warrant”). Each whole Public Warrant entitles the holder to purchase one share of Class A common stock at an exercise price of $11.50, subject to adjustment (see Note 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PRIVATE PLACEMENT</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RELATED PARTY TRANSACTIONS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26" w:lineRule="exact"/>
        <w:rPr>
          <w:sz w:val="20"/>
          <w:szCs w:val="20"/>
          <w:color w:val="auto"/>
        </w:rPr>
      </w:pPr>
    </w:p>
    <w:p>
      <w:pPr>
        <w:ind w:left="120" w:right="720" w:firstLine="551"/>
        <w:spacing w:after="0" w:line="274" w:lineRule="auto"/>
        <w:rPr>
          <w:sz w:val="20"/>
          <w:szCs w:val="20"/>
          <w:color w:val="auto"/>
        </w:rPr>
      </w:pPr>
      <w:r>
        <w:rPr>
          <w:rFonts w:ascii="Arial" w:cs="Arial" w:eastAsia="Arial" w:hAnsi="Arial"/>
          <w:sz w:val="17"/>
          <w:szCs w:val="17"/>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7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8. Additionally, on June 13, 2019,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Company completed an approximate 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2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w:t>
      </w:r>
    </w:p>
    <w:p>
      <w:pPr>
        <w:spacing w:after="0" w:line="3" w:lineRule="exact"/>
        <w:rPr>
          <w:sz w:val="20"/>
          <w:szCs w:val="20"/>
          <w:color w:val="auto"/>
        </w:rPr>
      </w:pPr>
    </w:p>
    <w:p>
      <w:pPr>
        <w:ind w:left="120" w:right="20" w:hanging="4"/>
        <w:spacing w:after="0" w:line="238" w:lineRule="auto"/>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entered into an agreement, commencing on September 25, 2020 through the earlier of the Company’s consummation of a Business Combination and its liquidation, to pay the Sponsor or an affiliate of the Sponsor $20,000 per month for office space, administrative and shared personnel support services. For the year ended December 31, 2020, the Company incurred and paid $60,000 in fees for these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On June 12, 2019, as amended on August 5, 2020, the Company issued a promissory note to the Sponsor, pursuant to which the Sponsor agreed to loan the Company up to an aggregate of $500,000 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26"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00"/>
          </w:cols>
          <w:pgMar w:left="320" w:top="459" w:right="5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205"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02" w:lineRule="exact"/>
        <w:rPr>
          <w:sz w:val="20"/>
          <w:szCs w:val="20"/>
          <w:color w:val="auto"/>
        </w:rPr>
      </w:pPr>
    </w:p>
    <w:p>
      <w:pPr>
        <w:ind w:left="1300" w:hanging="644"/>
        <w:spacing w:after="0" w:line="238"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117" w:lineRule="exact"/>
        <w:rPr>
          <w:rFonts w:ascii="Arial" w:cs="Arial" w:eastAsia="Arial" w:hAnsi="Arial"/>
          <w:sz w:val="18"/>
          <w:szCs w:val="18"/>
          <w:color w:val="auto"/>
        </w:rPr>
      </w:pPr>
    </w:p>
    <w:p>
      <w:pPr>
        <w:ind w:left="1300" w:right="180" w:hanging="644"/>
        <w:spacing w:after="0" w:line="248" w:lineRule="auto"/>
        <w:tabs>
          <w:tab w:leader="none" w:pos="13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w:t>
      </w:r>
    </w:p>
    <w:p>
      <w:pPr>
        <w:spacing w:after="0" w:line="1" w:lineRule="exact"/>
        <w:rPr>
          <w:rFonts w:ascii="Arial" w:cs="Arial" w:eastAsia="Arial" w:hAnsi="Arial"/>
          <w:sz w:val="17"/>
          <w:szCs w:val="17"/>
          <w:color w:val="auto"/>
        </w:rPr>
      </w:pPr>
    </w:p>
    <w:p>
      <w:pPr>
        <w:ind w:left="1300" w:right="40"/>
        <w:spacing w:after="0"/>
        <w:rPr>
          <w:rFonts w:ascii="Arial" w:cs="Arial" w:eastAsia="Arial" w:hAnsi="Arial"/>
          <w:sz w:val="17"/>
          <w:szCs w:val="17"/>
          <w:color w:val="auto"/>
        </w:rPr>
      </w:pPr>
      <w:r>
        <w:rPr>
          <w:rFonts w:ascii="Arial" w:cs="Arial" w:eastAsia="Arial" w:hAnsi="Arial"/>
          <w:sz w:val="18"/>
          <w:szCs w:val="18"/>
          <w:color w:val="auto"/>
        </w:rPr>
        <w:t>(B)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08" w:lineRule="exact"/>
        <w:rPr>
          <w:rFonts w:ascii="Arial" w:cs="Arial" w:eastAsia="Arial" w:hAnsi="Arial"/>
          <w:sz w:val="17"/>
          <w:szCs w:val="17"/>
          <w:color w:val="auto"/>
        </w:rPr>
      </w:pPr>
    </w:p>
    <w:p>
      <w:pPr>
        <w:ind w:left="1300" w:right="100" w:hanging="644"/>
        <w:spacing w:after="0" w:line="238"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Subscription Agreements</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STOCKHOLDERS’ EQUITY</w:t>
      </w:r>
    </w:p>
    <w:p>
      <w:pPr>
        <w:spacing w:after="0" w:line="104"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such designations, rights and preferences as may be determined from time to time by the Company’s Board of Directors. At December 31, 2020 and, 2019 there were no shares of preferred stock issued or outstanding.</w:t>
      </w:r>
    </w:p>
    <w:p>
      <w:pPr>
        <w:spacing w:after="0" w:line="169"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—The Company is authorized to issue 100,000,000 shares of Class A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A common stock are entitled to one vote for each share. At December 31, 2020, there were 3,761,780 shares of Class A common stock issued and outstanding, excluding 19,848,220 shares of Class A common stock subject to possible redemption. At December 31, 2019, there were no shares of Class A common stock issued or outstanding.</w:t>
      </w:r>
    </w:p>
    <w:p>
      <w:pPr>
        <w:spacing w:after="0" w:line="174"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—On June 13, 2019, the Company filed an amendment to its Certificate of Incorporation.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to issue 10,000,000 shares of Class B common stock with a par value of $0.0001 per share. Holders of the Company’s Class B common stock are entitled to one vote for each common share. At December 31, 2020 and 2019 there were 7,870,000 shares of Class B common stock issued and outstanding.</w:t>
      </w:r>
    </w:p>
    <w:p>
      <w:pPr>
        <w:spacing w:after="0" w:line="19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 and equity-linked securities issued or deemed issued in connection with a Business Combination (excluding any shares or equity-linked securities issued, or to be issued, to any seller in a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WARRANT LIABILITIES</w:t>
      </w:r>
    </w:p>
    <w:p>
      <w:pPr>
        <w:spacing w:after="0" w:line="10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Public 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Warrants for Cash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redeem the Public Warrants:</w:t>
      </w:r>
    </w:p>
    <w:p>
      <w:pPr>
        <w:spacing w:after="0" w:line="139" w:lineRule="exact"/>
        <w:rPr>
          <w:sz w:val="20"/>
          <w:szCs w:val="20"/>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880" w:right="500" w:hanging="224"/>
        <w:spacing w:after="0" w:line="248" w:lineRule="auto"/>
        <w:tabs>
          <w:tab w:leader="none" w:pos="8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w:t>
      </w:r>
    </w:p>
    <w:p>
      <w:pPr>
        <w:spacing w:after="0" w:line="1" w:lineRule="exact"/>
        <w:rPr>
          <w:rFonts w:ascii="Arial" w:cs="Arial" w:eastAsia="Arial" w:hAnsi="Arial"/>
          <w:sz w:val="17"/>
          <w:szCs w:val="17"/>
          <w:color w:val="auto"/>
        </w:rPr>
      </w:pPr>
    </w:p>
    <w:p>
      <w:pPr>
        <w:ind w:left="880" w:right="120"/>
        <w:spacing w:after="0" w:line="246" w:lineRule="auto"/>
        <w:rPr>
          <w:rFonts w:ascii="Arial" w:cs="Arial" w:eastAsia="Arial" w:hAnsi="Arial"/>
          <w:sz w:val="17"/>
          <w:szCs w:val="17"/>
          <w:color w:val="auto"/>
        </w:rPr>
      </w:pPr>
      <w:r>
        <w:rPr>
          <w:rFonts w:ascii="Arial" w:cs="Arial" w:eastAsia="Arial" w:hAnsi="Arial"/>
          <w:sz w:val="18"/>
          <w:szCs w:val="18"/>
          <w:color w:val="auto"/>
        </w:rPr>
        <w:t>30-trading day period ending three business days prior to the date on which the Company sends the notice of redemption to the warrant holders.</w:t>
      </w:r>
    </w:p>
    <w:p>
      <w:pPr>
        <w:spacing w:after="0" w:line="197"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97" w:lineRule="exact"/>
        <w:rPr>
          <w:sz w:val="20"/>
          <w:szCs w:val="20"/>
          <w:color w:val="auto"/>
        </w:rPr>
      </w:pPr>
    </w:p>
    <w:p>
      <w:pPr>
        <w:jc w:val="both"/>
        <w:ind w:left="120" w:right="160" w:firstLine="551"/>
        <w:spacing w:after="0" w:line="238"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20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INCOME TAX</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net deferred tax assets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3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Deferred tax asset</w:t>
            </w:r>
          </w:p>
        </w:tc>
        <w:tc>
          <w:tcPr>
            <w:tcW w:w="4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38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w:t>
            </w:r>
          </w:p>
        </w:tc>
        <w:tc>
          <w:tcPr>
            <w:tcW w:w="4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10,459</w:t>
            </w:r>
          </w:p>
        </w:tc>
        <w:tc>
          <w:tcPr>
            <w:tcW w:w="7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Organizational costs/Startup expenses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203,589</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214,048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(214,048)</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Deferred tax asset, net</w:t>
            </w:r>
          </w:p>
        </w:tc>
        <w:tc>
          <w:tcPr>
            <w:tcW w:w="4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4720" w:type="dxa"/>
            <w:vAlign w:val="bottom"/>
            <w:gridSpan w:val="2"/>
          </w:tcPr>
          <w:p>
            <w:pPr>
              <w:jc w:val="right"/>
              <w:ind w:right="333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8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Federal</w:t>
            </w: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(214,048)</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214,048</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7"/>
                <w:szCs w:val="17"/>
                <w:color w:val="auto"/>
              </w:rPr>
            </w:pPr>
          </w:p>
        </w:tc>
      </w:tr>
      <w:tr>
        <w:trPr>
          <w:trHeight w:val="210"/>
        </w:trPr>
        <w:tc>
          <w:tcPr>
            <w:tcW w:w="872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As of December 31, 2020 and 2019, the Company had $49,805 and $0, respectively, of U.S. federal net operating loss carryovers available to offset future taxable income.</w:t>
      </w:r>
    </w:p>
    <w:p>
      <w:pPr>
        <w:spacing w:after="0" w:line="197"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2020 and 2019, the change in the valuation allowance was $214,048 and $0, respectively.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20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8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Statutory federal income tax rate</w:t>
            </w:r>
          </w:p>
        </w:tc>
        <w:tc>
          <w:tcPr>
            <w:tcW w:w="1820" w:type="dxa"/>
            <w:vAlign w:val="bottom"/>
            <w:gridSpan w:val="2"/>
            <w:shd w:val="clear" w:color="auto" w:fill="CCEEFF"/>
          </w:tcPr>
          <w:p>
            <w:pPr>
              <w:jc w:val="right"/>
              <w:ind w:right="840"/>
              <w:spacing w:after="0" w:line="196"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r>
      <w:tr>
        <w:trPr>
          <w:trHeight w:val="203"/>
        </w:trPr>
        <w:tc>
          <w:tcPr>
            <w:tcW w:w="816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82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16.3%</w:t>
            </w:r>
          </w:p>
        </w:tc>
        <w:tc>
          <w:tcPr>
            <w:tcW w:w="200" w:type="dxa"/>
            <w:vAlign w:val="bottom"/>
          </w:tcPr>
          <w:p>
            <w:pPr>
              <w:spacing w:after="0"/>
              <w:rPr>
                <w:sz w:val="17"/>
                <w:szCs w:val="17"/>
                <w:color w:val="auto"/>
              </w:rPr>
            </w:pPr>
          </w:p>
        </w:tc>
        <w:tc>
          <w:tcPr>
            <w:tcW w:w="8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r>
      <w:tr>
        <w:trPr>
          <w:trHeight w:val="203"/>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8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r>
      <w:tr>
        <w:trPr>
          <w:trHeight w:val="20"/>
        </w:trPr>
        <w:tc>
          <w:tcPr>
            <w:tcW w:w="8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8"/>
                <w:szCs w:val="18"/>
                <w:color w:val="auto"/>
              </w:rPr>
              <w:t>Income tax provision</w:t>
            </w:r>
          </w:p>
        </w:tc>
        <w:tc>
          <w:tcPr>
            <w:tcW w:w="20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0"/>
        </w:trPr>
        <w:tc>
          <w:tcPr>
            <w:tcW w:w="8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FAIR VALUE MEASUREMENTS</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30" w:lineRule="exact"/>
        <w:rPr>
          <w:sz w:val="20"/>
          <w:szCs w:val="20"/>
          <w:color w:val="auto"/>
        </w:rPr>
      </w:pPr>
    </w:p>
    <w:p>
      <w:pPr>
        <w:jc w:val="both"/>
        <w:ind w:left="1640" w:right="140" w:hanging="984"/>
        <w:spacing w:after="0"/>
        <w:tabs>
          <w:tab w:leader="none" w:pos="16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08" w:lineRule="exact"/>
        <w:rPr>
          <w:sz w:val="20"/>
          <w:szCs w:val="20"/>
          <w:color w:val="auto"/>
        </w:rPr>
      </w:pPr>
    </w:p>
    <w:p>
      <w:pPr>
        <w:ind w:left="1640" w:right="360" w:hanging="984"/>
        <w:spacing w:after="0" w:line="246" w:lineRule="auto"/>
        <w:tabs>
          <w:tab w:leader="none" w:pos="16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02" w:lineRule="exact"/>
        <w:rPr>
          <w:sz w:val="20"/>
          <w:szCs w:val="20"/>
          <w:color w:val="auto"/>
        </w:rPr>
      </w:pPr>
    </w:p>
    <w:p>
      <w:pPr>
        <w:ind w:left="1640" w:right="280" w:hanging="984"/>
        <w:spacing w:after="0" w:line="246" w:lineRule="auto"/>
        <w:tabs>
          <w:tab w:leader="none" w:pos="16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the Company’s assessment of the assumptions that market participants would use in pricing the asset or liability.</w:t>
      </w:r>
    </w:p>
    <w:p>
      <w:pPr>
        <w:spacing w:after="0" w:line="197"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At December 31, 2020, assets held in the Trust Account were comprised of $ 230,005,861 in U.S. Treasury securities. During the year ended December 31, 2020, the Company did not withdraw any interest income from the Trust Account.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w:t>
      </w:r>
    </w:p>
    <w:p>
      <w:pPr>
        <w:ind w:left="120"/>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8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00" w:type="dxa"/>
            <w:vAlign w:val="bottom"/>
            <w:tcBorders>
              <w:bottom w:val="single" w:sz="8" w:color="auto"/>
            </w:tcBorders>
            <w:vMerge w:val="continue"/>
          </w:tcPr>
          <w:p>
            <w:pPr>
              <w:spacing w:after="0"/>
              <w:rPr>
                <w:sz w:val="15"/>
                <w:szCs w:val="15"/>
                <w:color w:val="auto"/>
              </w:rPr>
            </w:pPr>
          </w:p>
        </w:tc>
        <w:tc>
          <w:tcPr>
            <w:tcW w:w="8280" w:type="dxa"/>
            <w:vAlign w:val="bottom"/>
            <w:vMerge w:val="continue"/>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Level</w:t>
            </w:r>
          </w:p>
        </w:tc>
        <w:tc>
          <w:tcPr>
            <w:tcW w:w="13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0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$ 230,005,861</w:t>
            </w: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8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Liability – Public Warrants</w:t>
            </w: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16,790,001</w:t>
            </w:r>
          </w:p>
        </w:tc>
        <w:tc>
          <w:tcPr>
            <w:tcW w:w="0" w:type="dxa"/>
            <w:vAlign w:val="bottom"/>
          </w:tcPr>
          <w:p>
            <w:pPr>
              <w:spacing w:after="0"/>
              <w:rPr>
                <w:sz w:val="1"/>
                <w:szCs w:val="1"/>
                <w:color w:val="auto"/>
              </w:rPr>
            </w:pPr>
          </w:p>
        </w:tc>
      </w:tr>
      <w:tr>
        <w:trPr>
          <w:trHeight w:val="203"/>
        </w:trPr>
        <w:tc>
          <w:tcPr>
            <w:tcW w:w="9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Liability – Private Placement Warrants</w:t>
            </w:r>
          </w:p>
        </w:tc>
        <w:tc>
          <w:tcPr>
            <w:tcW w:w="5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575,432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year ended December 31, 2020 other than the transfer of the Public Warrants from Level 3 to Level 1.</w:t>
      </w:r>
    </w:p>
    <w:p>
      <w:pPr>
        <w:spacing w:after="0" w:line="19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Measurement – Public Warrants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Company established the initial fair value for the Warrants on September 29, 2020, the date of the Company’s Initial Public Offering, using a binomial / lattice model for the Public Warrants. The Company allocated the proceeds received from (i) the sale of Units (which is inclusive of one share of Class A common stock and one-third of one Public Warrant) and (ii) the sale of Private Placement Warrants, first to the Warrants based on their fair values as determined at initial measurement, with the remaining proceeds allocated to Class A common shares subject to possible redemption, Class A common shares and Class B common shares based on their relative fair values at the initial measurement date. The Warrants were classified as Level 3 at the initial measurement date due to the use of unobservable inputs.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inputs into the binomial / lattice model for the Public Warrants were as follows at initial measurement: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29,</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Input</w:t>
            </w:r>
          </w:p>
        </w:tc>
        <w:tc>
          <w:tcPr>
            <w:tcW w:w="54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Measurement)</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gridSpan w:val="2"/>
            <w:vMerge w:val="continue"/>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Call Price</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 price</w:t>
            </w:r>
          </w:p>
        </w:tc>
        <w:tc>
          <w:tcPr>
            <w:tcW w:w="4220" w:type="dxa"/>
            <w:vAlign w:val="bottom"/>
            <w:gridSpan w:val="2"/>
            <w:shd w:val="clear" w:color="auto" w:fill="CCEEFF"/>
          </w:tcPr>
          <w:p>
            <w:pPr>
              <w:ind w:left="40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Asset Price</w:t>
            </w:r>
          </w:p>
        </w:tc>
        <w:tc>
          <w:tcPr>
            <w:tcW w:w="42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September 29, 2020, the Public Warrants were determined to be $1.79 per warrant for aggregate value of $13.7 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Measurement – Public Warrants</w:t>
      </w:r>
    </w:p>
    <w:p>
      <w:pPr>
        <w:spacing w:after="0" w:line="126"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aggregate value of the Public Warrants was $16.8 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and Subsequent Measurement – Private Placement Warrants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fair value of the Private Placement Warrants was estimated using a Black-Scholes option pricing model. The underlying assumptions in the Black-Scholes option pricing model include the underlying share price, risk-free interest rate, estimated volatility and the expected term. The underlying share price is based on the trading common share price or implied from the unit price (before the common shares are trading separately), which consists of one common share and one-third public warrant. The expected stock price volatility is based on (i) the observed volatility of a group of comparable publicly traded companies observed over a historical period equal to the expected remaining life of the warrants and (ii) the implied volatility of the Public Warrants calculated using publicly observable prices. The risk-free interest rate is based on the U.S. Treasury yield curve in effect</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on the date of valuation equal to the remaining expected life of the warrants. The dividend yield percentage is zero because the Company does not currently pay dividends, nor does it intend to do so during the expected term of the warrants. The expected life of the warrants is assumed to be equivalent to their remaining contractual term. Inputs are re-evaluated each quarterly reporting period to estimate the fair market value of the Private Placement Warrants as of the reporting period.</w:t>
      </w:r>
    </w:p>
    <w:p>
      <w:pPr>
        <w:spacing w:after="0" w:line="205"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The fair value of the Private Placement Warrants was estimated at December 31, 2020 using the Black-Scholes option pricing model and the following assumptions: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29,</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Input</w:t>
            </w:r>
          </w:p>
        </w:tc>
        <w:tc>
          <w:tcPr>
            <w:tcW w:w="54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Measurement)</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80" w:type="dxa"/>
            <w:vAlign w:val="bottom"/>
            <w:gridSpan w:val="2"/>
            <w:vMerge w:val="continue"/>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Dividend yield</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 price</w:t>
            </w:r>
          </w:p>
        </w:tc>
        <w:tc>
          <w:tcPr>
            <w:tcW w:w="4220" w:type="dxa"/>
            <w:vAlign w:val="bottom"/>
            <w:gridSpan w:val="2"/>
            <w:shd w:val="clear" w:color="auto" w:fill="CCEEFF"/>
          </w:tcPr>
          <w:p>
            <w:pPr>
              <w:ind w:left="40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Asset Price</w:t>
            </w:r>
          </w:p>
        </w:tc>
        <w:tc>
          <w:tcPr>
            <w:tcW w:w="42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On September 29, 2020, the Private Warrants were determined to be $2.00 per warrant for aggregate value of $0.4 million. As of December 31, 2020, the aggregate value of the Private Warrants was $0.6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Private</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Warrant</w:t>
            </w:r>
          </w:p>
        </w:tc>
      </w:tr>
      <w:tr>
        <w:trPr>
          <w:trHeight w:val="175"/>
        </w:trPr>
        <w:tc>
          <w:tcPr>
            <w:tcW w:w="726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Placement</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Public</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Liabilities</w:t>
            </w:r>
          </w:p>
        </w:tc>
      </w:tr>
      <w:tr>
        <w:trPr>
          <w:trHeight w:val="196"/>
        </w:trPr>
        <w:tc>
          <w:tcPr>
            <w:tcW w:w="726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Initial measurement on September 29, 2020</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$ 406,666</w:t>
            </w:r>
          </w:p>
        </w:tc>
        <w:tc>
          <w:tcPr>
            <w:tcW w:w="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13,723,334</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14,130,000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72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recognized in earnings</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168,766</w:t>
            </w:r>
          </w:p>
        </w:tc>
        <w:tc>
          <w:tcPr>
            <w:tcW w:w="14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3,066,667</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3,235,433</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as of December 31, 2020</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575,432</w:t>
            </w:r>
          </w:p>
        </w:tc>
        <w:tc>
          <w:tcPr>
            <w:tcW w:w="280" w:type="dxa"/>
            <w:vAlign w:val="bottom"/>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16,790,001</w:t>
            </w:r>
          </w:p>
        </w:tc>
        <w:tc>
          <w:tcPr>
            <w:tcW w:w="280" w:type="dxa"/>
            <w:vAlign w:val="bottom"/>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17,365,433</w:t>
            </w:r>
          </w:p>
        </w:tc>
        <w:tc>
          <w:tcPr>
            <w:tcW w:w="80" w:type="dxa"/>
            <w:vAlign w:val="bottom"/>
            <w:shd w:val="clear" w:color="auto" w:fill="CCEEFF"/>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Due to the use of quoted prices in an active market (Level 1) to measure the fair value of the Public Warrants, subsequent to initial measurement, the Company had transfers out of Level 3 totaling $16,790,001 during the period from September 29, 2020 through December 31, 2020.</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SUBSEQUENT EVENTS</w:t>
      </w:r>
    </w:p>
    <w:p>
      <w:pPr>
        <w:spacing w:after="0" w:line="126"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except as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noted below and in Note 2, the Company did not identify any subsequent events that would have required adjustment or disclosure in the financial statements.</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In March 2021, the underwriters and the Company entered into an agreement that modified the existing September 24, 2020 Underwriting Agreement (see Note 7) by and among the Company and its underwriters. The agreement specifies that, upon the successful completion of the Business Combination Agreement (see Note 7), the deferred underwriter’s commission owed to Cantor Fitzgerald &amp; Co. will be reduced by $2,000,000 and that the deferred underwriter’s commission owed to Wells Fargo Securities, LLC will be reduced by $1,000,000.</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00"/>
          </w:cols>
          <w:pgMar w:left="320" w:top="459" w:right="5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FINTECH ACQUISITION CORP. IV</w:t>
      </w:r>
    </w:p>
    <w:p>
      <w:pPr>
        <w:spacing w:after="0" w:line="1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BALANCE SHEETS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824,082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1,158,934</w:t>
            </w:r>
          </w:p>
        </w:tc>
        <w:tc>
          <w:tcPr>
            <w:tcW w:w="0" w:type="dxa"/>
            <w:vAlign w:val="bottom"/>
          </w:tcPr>
          <w:p>
            <w:pPr>
              <w:spacing w:after="0"/>
              <w:rPr>
                <w:sz w:val="1"/>
                <w:szCs w:val="1"/>
                <w:color w:val="auto"/>
              </w:rPr>
            </w:pPr>
          </w:p>
        </w:tc>
      </w:tr>
      <w:tr>
        <w:trPr>
          <w:trHeight w:val="210"/>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277,772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275,824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1,101,854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1,434,758</w:t>
            </w:r>
          </w:p>
        </w:tc>
        <w:tc>
          <w:tcPr>
            <w:tcW w:w="0" w:type="dxa"/>
            <w:vAlign w:val="bottom"/>
          </w:tcPr>
          <w:p>
            <w:pPr>
              <w:spacing w:after="0"/>
              <w:rPr>
                <w:sz w:val="1"/>
                <w:szCs w:val="1"/>
                <w:color w:val="auto"/>
              </w:rPr>
            </w:pPr>
          </w:p>
        </w:tc>
      </w:tr>
      <w:tr>
        <w:trPr>
          <w:trHeight w:val="210"/>
        </w:trPr>
        <w:tc>
          <w:tcPr>
            <w:tcW w:w="814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 held in Trust Account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230,011,533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230,005,861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231,113,387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231,440,619</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1,318,971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792,983</w:t>
            </w:r>
          </w:p>
        </w:tc>
        <w:tc>
          <w:tcPr>
            <w:tcW w:w="0" w:type="dxa"/>
            <w:vAlign w:val="bottom"/>
          </w:tcPr>
          <w:p>
            <w:pPr>
              <w:spacing w:after="0"/>
              <w:rPr>
                <w:sz w:val="1"/>
                <w:szCs w:val="1"/>
                <w:color w:val="auto"/>
              </w:rPr>
            </w:pPr>
          </w:p>
        </w:tc>
      </w:tr>
      <w:tr>
        <w:trPr>
          <w:trHeight w:val="209"/>
        </w:trPr>
        <w:tc>
          <w:tcPr>
            <w:tcW w:w="8140" w:type="dxa"/>
            <w:vAlign w:val="bottom"/>
          </w:tcPr>
          <w:p>
            <w:pPr>
              <w:spacing w:after="0" w:line="202" w:lineRule="exact"/>
              <w:rPr>
                <w:sz w:val="20"/>
                <w:szCs w:val="20"/>
                <w:color w:val="auto"/>
              </w:rPr>
            </w:pPr>
            <w:r>
              <w:rPr>
                <w:rFonts w:ascii="Arial" w:cs="Arial" w:eastAsia="Arial" w:hAnsi="Arial"/>
                <w:sz w:val="18"/>
                <w:szCs w:val="18"/>
                <w:color w:val="auto"/>
              </w:rPr>
              <w:t>Accrued offering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1,318,971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792,983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Warrant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11,608,733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17,365,433</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underwriting fee payable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9,800,000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9,800,000</w:t>
            </w:r>
          </w:p>
        </w:tc>
        <w:tc>
          <w:tcPr>
            <w:tcW w:w="0" w:type="dxa"/>
            <w:vAlign w:val="bottom"/>
          </w:tcPr>
          <w:p>
            <w:pPr>
              <w:spacing w:after="0"/>
              <w:rPr>
                <w:sz w:val="1"/>
                <w:szCs w:val="1"/>
                <w:color w:val="auto"/>
              </w:rPr>
            </w:pPr>
          </w:p>
        </w:tc>
      </w:tr>
      <w:tr>
        <w:trPr>
          <w:trHeight w:val="217"/>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22,727,704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27,958,416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Class A common stock subject to possible redemption, 20,338,568 and 19,848,220 shares as of</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40" w:type="dxa"/>
            <w:vAlign w:val="bottom"/>
          </w:tcPr>
          <w:p>
            <w:pPr>
              <w:ind w:left="180"/>
              <w:spacing w:after="0"/>
              <w:rPr>
                <w:sz w:val="20"/>
                <w:szCs w:val="20"/>
                <w:color w:val="auto"/>
              </w:rPr>
            </w:pPr>
            <w:r>
              <w:rPr>
                <w:rFonts w:ascii="Arial" w:cs="Arial" w:eastAsia="Arial" w:hAnsi="Arial"/>
                <w:sz w:val="18"/>
                <w:szCs w:val="18"/>
                <w:color w:val="auto"/>
              </w:rPr>
              <w:t>March 31, 2021 and December 31, 2020, respectively (at $10.00 per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203,385,680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198,482,200</w:t>
            </w:r>
          </w:p>
        </w:tc>
        <w:tc>
          <w:tcPr>
            <w:tcW w:w="0" w:type="dxa"/>
            <w:vAlign w:val="bottom"/>
          </w:tcPr>
          <w:p>
            <w:pPr>
              <w:spacing w:after="0"/>
              <w:rPr>
                <w:sz w:val="1"/>
                <w:szCs w:val="1"/>
                <w:color w:val="auto"/>
              </w:rPr>
            </w:pPr>
          </w:p>
        </w:tc>
      </w:tr>
      <w:tr>
        <w:trPr>
          <w:trHeight w:val="94"/>
        </w:trPr>
        <w:tc>
          <w:tcPr>
            <w:tcW w:w="8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Preferred stock, $0.0001 par value; 1,000,000 shares authorized; shares issued and outstanding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100,000,000 shares authorized; 3,271,432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3,761,780 shares issued and outstanding (excluding 20,338,568 and 19,848,220 shares subject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to possible redemption) as of March 31, 2021 and December 31, 2020, respectively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10,000,000 shares authorized; 7,870,000 shares issued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80"/>
              <w:spacing w:after="0" w:line="203" w:lineRule="exact"/>
              <w:rPr>
                <w:sz w:val="20"/>
                <w:szCs w:val="20"/>
                <w:color w:val="auto"/>
              </w:rPr>
            </w:pPr>
            <w:r>
              <w:rPr>
                <w:rFonts w:ascii="Arial" w:cs="Arial" w:eastAsia="Arial" w:hAnsi="Arial"/>
                <w:sz w:val="18"/>
                <w:szCs w:val="18"/>
                <w:color w:val="auto"/>
              </w:rPr>
              <w:t>and outstanding as of March 31, 2021 and December 31, 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787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5,202,308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10,105,739</w:t>
            </w:r>
          </w:p>
        </w:tc>
        <w:tc>
          <w:tcPr>
            <w:tcW w:w="0" w:type="dxa"/>
            <w:vAlign w:val="bottom"/>
          </w:tcPr>
          <w:p>
            <w:pPr>
              <w:spacing w:after="0"/>
              <w:rPr>
                <w:sz w:val="1"/>
                <w:szCs w:val="1"/>
                <w:color w:val="auto"/>
              </w:rPr>
            </w:pPr>
          </w:p>
        </w:tc>
      </w:tr>
      <w:tr>
        <w:trPr>
          <w:trHeight w:val="210"/>
        </w:trPr>
        <w:tc>
          <w:tcPr>
            <w:tcW w:w="81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(203,419)</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(5,106,899)</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5,000,003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231,113,387</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231,440,619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Formation and operating costs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858,892</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(858,892)</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7"/>
                <w:szCs w:val="17"/>
                <w:color w:val="auto"/>
              </w:rPr>
            </w:pPr>
          </w:p>
        </w:tc>
        <w:tc>
          <w:tcPr>
            <w:tcW w:w="16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5,672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5,756,700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4,903,480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4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4,903,480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of Class A redeemable common stock</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w w:val="97"/>
              </w:rPr>
              <w:t>23,000,000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of Class A and B non-redeemable common stock</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8,480,000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6,870,000</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A and Class B non-redeemable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(0.58)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THREE MONTHS ENDED MARCH 31, 2021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80" w:type="dxa"/>
            <w:vAlign w:val="bottom"/>
            <w:gridSpan w:val="5"/>
          </w:tcPr>
          <w:p>
            <w:pPr>
              <w:ind w:left="460"/>
              <w:spacing w:after="0"/>
              <w:rPr>
                <w:sz w:val="20"/>
                <w:szCs w:val="20"/>
                <w:color w:val="auto"/>
              </w:rPr>
            </w:pPr>
            <w:r>
              <w:rPr>
                <w:rFonts w:ascii="Arial" w:cs="Arial" w:eastAsia="Arial" w:hAnsi="Arial"/>
                <w:sz w:val="14"/>
                <w:szCs w:val="14"/>
                <w:b w:val="1"/>
                <w:bCs w:val="1"/>
                <w:color w:val="auto"/>
              </w:rPr>
              <w:t>Class A</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rPr>
              <w:t>Class B</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6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800" w:type="dxa"/>
            <w:vAlign w:val="bottom"/>
            <w:tcBorders>
              <w:top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760" w:type="dxa"/>
            <w:vAlign w:val="bottom"/>
            <w:tcBorders>
              <w:top w:val="single" w:sz="8" w:color="auto"/>
            </w:tcBorders>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9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46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 January 1, 2021</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3,761,780</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376</w:t>
            </w: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7,870,000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787</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9"/>
              </w:rPr>
              <w:t>10,105,739</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(5,106,899)</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5,000,003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Arial" w:cs="Arial" w:eastAsia="Arial" w:hAnsi="Arial"/>
                <w:sz w:val="14"/>
                <w:szCs w:val="14"/>
                <w:color w:val="auto"/>
              </w:rPr>
              <w:t>Change in value of common stock subject to possible redemption</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(490,348)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(49)</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(4,903,431)</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(4,903,480)</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4,903,480</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4,903,480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Balance – March 31, 2021 (unaudited)</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3,271,432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327</w:t>
            </w: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7,870,000</w:t>
            </w:r>
          </w:p>
        </w:tc>
        <w:tc>
          <w:tcPr>
            <w:tcW w:w="3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787</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5,202,308</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(203,419)</w:t>
            </w: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5,000,003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THREE MONTHS ENDED MARCH 31, 2020</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2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Class A</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4"/>
            <w:vMerge w:val="restart"/>
          </w:tcPr>
          <w:p>
            <w:pPr>
              <w:jc w:val="center"/>
              <w:ind w:left="188"/>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gridSpan w:val="4"/>
            <w:vMerge w:val="restart"/>
          </w:tcPr>
          <w:p>
            <w:pPr>
              <w:jc w:val="center"/>
              <w:ind w:left="1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9"/>
                <w:szCs w:val="9"/>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34"/>
        </w:trPr>
        <w:tc>
          <w:tcPr>
            <w:tcW w:w="4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Shares</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40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 January 1, 2020</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68"/>
              <w:spacing w:after="0" w:line="155" w:lineRule="exact"/>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85"/>
              </w:rPr>
              <w:t>—</w:t>
            </w:r>
          </w:p>
        </w:tc>
        <w:tc>
          <w:tcPr>
            <w:tcW w:w="3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7,870,000</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787</w:t>
            </w: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24,213</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(2,296)</w:t>
            </w: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22,704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Net loss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(993)</w:t>
            </w:r>
          </w:p>
        </w:tc>
        <w:tc>
          <w:tcPr>
            <w:tcW w:w="14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 March 31, 2020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7,870,000</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787</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24,213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(3,289)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21,711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66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4,903,480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(loss) to net cash used in operating activities: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(5,756,700)</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earned on marketable securities held in Trust Account</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(5,672)</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525,988</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b w:val="1"/>
                <w:bCs w:val="1"/>
                <w:color w:val="auto"/>
              </w:rPr>
              <w:t>Net cash provided used in operating activities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(334,852)</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(866)</w:t>
            </w:r>
          </w:p>
        </w:tc>
        <w:tc>
          <w:tcPr>
            <w:tcW w:w="0" w:type="dxa"/>
            <w:vAlign w:val="bottom"/>
          </w:tcPr>
          <w:p>
            <w:pPr>
              <w:spacing w:after="0"/>
              <w:rPr>
                <w:sz w:val="1"/>
                <w:szCs w:val="1"/>
                <w:color w:val="auto"/>
              </w:rPr>
            </w:pPr>
          </w:p>
        </w:tc>
      </w:tr>
      <w:tr>
        <w:trPr>
          <w:trHeight w:val="209"/>
        </w:trPr>
        <w:tc>
          <w:tcPr>
            <w:tcW w:w="76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offering costs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7"/>
        </w:trPr>
        <w:tc>
          <w:tcPr>
            <w:tcW w:w="7660" w:type="dxa"/>
            <w:vAlign w:val="bottom"/>
          </w:tcPr>
          <w:p>
            <w:pPr>
              <w:ind w:left="108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Cash</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(334,852)</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(1,636)</w:t>
            </w:r>
          </w:p>
        </w:tc>
        <w:tc>
          <w:tcPr>
            <w:tcW w:w="0" w:type="dxa"/>
            <w:vAlign w:val="bottom"/>
          </w:tcPr>
          <w:p>
            <w:pPr>
              <w:spacing w:after="0"/>
              <w:rPr>
                <w:sz w:val="1"/>
                <w:szCs w:val="1"/>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Cash – Beginning</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1,158,934</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10,762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 Ending</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824,082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9,126</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classification of Class A common stock subject to possible redemption</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4,903,480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As of March 31, 2021, the Company had not yet commenced operations. All activity through March 31, 2021 relates to the Company’s formation, the Initial Public Offering (as defined below), and, subsequent to the Initial Public Offering, identifying a target company for a Business Combination and activities in connection with the proposed acquisition of PWP Holdings LP, a Delaware limited partnership (“PWP”) (see Note 6).</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statement for the Company’s Initial Public Offering was declared effective on September 24, 2020. On</w:t>
      </w:r>
    </w:p>
    <w:p>
      <w:pPr>
        <w:ind w:left="120"/>
        <w:spacing w:after="0"/>
        <w:rPr>
          <w:sz w:val="20"/>
          <w:szCs w:val="20"/>
          <w:color w:val="auto"/>
        </w:rPr>
      </w:pPr>
      <w:r>
        <w:rPr>
          <w:rFonts w:ascii="Arial" w:cs="Arial" w:eastAsia="Arial" w:hAnsi="Arial"/>
          <w:sz w:val="17"/>
          <w:szCs w:val="17"/>
          <w:color w:val="auto"/>
        </w:rPr>
        <w:t>September 29, 2020, the Company consummated the Initial Public Offering of 23,000,000 units (the “Units” and, with respect to the shares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Class A common stock included in the Units sold, the “Public Shares”), which includes the full exercise by the underwriters of their over-</w:t>
      </w:r>
    </w:p>
    <w:p>
      <w:pPr>
        <w:ind w:left="120"/>
        <w:spacing w:after="0" w:line="234" w:lineRule="auto"/>
        <w:rPr>
          <w:sz w:val="20"/>
          <w:szCs w:val="20"/>
          <w:color w:val="auto"/>
        </w:rPr>
      </w:pPr>
      <w:r>
        <w:rPr>
          <w:rFonts w:ascii="Arial" w:cs="Arial" w:eastAsia="Arial" w:hAnsi="Arial"/>
          <w:sz w:val="18"/>
          <w:szCs w:val="18"/>
          <w:color w:val="auto"/>
        </w:rPr>
        <w:t>allotment option in the amount of 3,000,000 Units, at $10.00 per Unit, generating gross proceeds of $230,000,000 which is described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3.</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4. The manager of each entity of the Sponsor is Cohen Sponsor Interests IV, LLC.</w:t>
      </w:r>
    </w:p>
    <w:p>
      <w:pPr>
        <w:spacing w:after="0" w:line="205"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Transaction costs amounted to $14,255,791, consisting of $4,000,000 of underwriting fees, $9,800,000 of deferred underwriting fees and $455,791 of other offering costs.</w:t>
      </w:r>
    </w:p>
    <w:p>
      <w:pPr>
        <w:spacing w:after="0" w:line="197"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 the Company’s tax obligations, if the Company is unable to complete an initial Business Combination within the Combination Period or upon any earlier liquidation of the Company.</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0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6). There will be no redemption rights upon the completion of a Business Combination with respect to the Company’s warrants.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will proceed with a Business Combination only if the Company has net tangible assets of at least $5,000,001 upon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5), the shares of Class A common stock included in the Private Placement Units (the “Private Placement Shares”) and any Public Shares held by them in favor of approving a Business Combination.</w:t>
      </w:r>
    </w:p>
    <w:p>
      <w:pPr>
        <w:spacing w:after="0" w:line="205" w:lineRule="exact"/>
        <w:rPr>
          <w:sz w:val="20"/>
          <w:szCs w:val="20"/>
          <w:color w:val="auto"/>
        </w:rPr>
      </w:pPr>
    </w:p>
    <w:p>
      <w:pPr>
        <w:ind w:left="120" w:right="80" w:firstLine="551"/>
        <w:spacing w:after="0" w:line="261" w:lineRule="auto"/>
        <w:rPr>
          <w:sz w:val="20"/>
          <w:szCs w:val="20"/>
          <w:color w:val="auto"/>
        </w:rPr>
      </w:pPr>
      <w:r>
        <w:rPr>
          <w:rFonts w:ascii="Arial" w:cs="Arial" w:eastAsia="Arial" w:hAnsi="Arial"/>
          <w:sz w:val="17"/>
          <w:szCs w:val="17"/>
          <w:color w:val="auto"/>
        </w:rPr>
        <w:t>The Company will have until the expiration of the Combination Period to consummate its initial Business Combination. If the Company is unable to consummate a Business Combination within the Combination Period, the Company will (i) cease all operations except for the purposes of winding up of its affairs; (ii) distribute the aggregate amount then on deposit in the Trust Account, including any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amounts representing interest earned on the Trust Account not previously released to the Company to pay its franchise and income taxes and up to $ 100,000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6).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$ 5,000,001. The Insiders have agreed to vote any Founder Shares, Private Placement Shares and any Public Shares held by them in favor of any such amendment.</w:t>
      </w:r>
    </w:p>
    <w:p>
      <w:pPr>
        <w:spacing w:after="0" w:line="204"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representatives have agreed to waive their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 assets remaining available for distribution (including Trust Account assets) will be less than the initial</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2021</w:t>
      </w: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and the three months ended March 31, 2020 have not been included in the unaudited financial statements and footnotes as they are immaterial.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the notes thereto included in the Company’s Annual Report on Form 10-K/A as filed with the SEC on May 4, 2021. The interim results for the three ended March 31, 2021 are not necessarily indicative of the results to be expected for the year ending December 31, 2021 or for any future interim periods.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26"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periods.</w:t>
      </w:r>
    </w:p>
    <w:p>
      <w:pPr>
        <w:spacing w:after="0" w:line="203"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One of the more significant accounting estimates included in these unaudited condensed financial statements is the determination of the value of the warrant liability. Such estimates may be subject to change as more current information becomes available and accordingly, the actual results could differ significantly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26"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At March 31, 2021 and December 31, 2020, substantially all of the assets held in the Trust Account were held in U.S. Treasury Securities Money Market Funds.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March 31, 2021 and December 31, 2020, 20,338,568 and 21,584,763 shares of Class A common stock subject to possible redemption is presented as temporary equity, outside of the stockholders’ equity section of the Company’s condensed balance sheets, respectively.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Offering costs consist of underwriting, legal, accounting and other expenses that were directly related to the Initial Public Offering. Offering costs were allocated on a relative fair value basis between stockholders’ equity and expense. The portion of offering costs allocated to the public shares has been charged to stockholders’ equity. Offering costs totaled $14,255,791 (consisting of $4,000,000 of underwriting fees, $9,800,000 of deferred underwriting fees and $455,791 of other offering costs), of which $849,893 was charged to expense and $13,405,898 was charged to stockholders’ equity upon completion of the Initial Public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20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a non-cash gain or loss on the statements of operations. The fair value of the Public Warrants was initially measured using a binomial / lattice model with subsequent periods measured at the trading price, whereas the Private Placement Warrants were initially and subsequently measured using the Black-Scholes Option Pricing Model. (see Note 9).</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2021</w:t>
      </w: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The Company is currently not aware of any issues under review that could result in significant payments, accruals or material deviation from its position.</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Net income per common share is computed by dividing net income by the weighted average number of common shares outstanding for the period. The Company has not considered the effect of warrants sold in the Initial Public Offering and private placement to purchase 7,870,000 shares of Class A common stock in the calculation of diluted income per share, since the exercise of the warrants are contingent upon the occurrence of future events and the inclusion of such warrants would be anti-dilutive.</w:t>
      </w:r>
    </w:p>
    <w:p>
      <w:pPr>
        <w:spacing w:after="0" w:line="205"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 Company’s statements of operations includes a presentation of income per share for common shares subject to possible redemption in a manner similar to the two-class method of income per share. Net income per common share, basic and diluted, for Class A redeemable common stock is calculated by dividing the interest income earned on the Trust Account, by the weighted average number of Class A redeemable common stock outstanding since original issuance. Net income per share, basic and diluted, for Class A and Class B non-redeemable common stock is calculated by dividing the net income, adjusted for income attributable to Class A redeemable common stock, net of applicable franchise and income taxes, by 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800" w:firstLine="551"/>
        <w:spacing w:after="0" w:line="246" w:lineRule="auto"/>
        <w:rPr>
          <w:sz w:val="20"/>
          <w:szCs w:val="20"/>
          <w:color w:val="auto"/>
        </w:rPr>
      </w:pPr>
      <w:r>
        <w:rPr>
          <w:rFonts w:ascii="Arial" w:cs="Arial" w:eastAsia="Arial" w:hAnsi="Arial"/>
          <w:sz w:val="18"/>
          <w:szCs w:val="18"/>
          <w:color w:val="auto"/>
        </w:rPr>
        <w:t>The following table reflects the calculation of basic and diluted net income per common share (in dollars, except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8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Redeemable Class A Common Stock</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5,672</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tcPr>
          <w:p>
            <w:pPr>
              <w:ind w:left="720"/>
              <w:spacing w:after="0" w:line="202" w:lineRule="exact"/>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7"/>
                <w:szCs w:val="17"/>
                <w:color w:val="auto"/>
              </w:rPr>
            </w:pPr>
          </w:p>
        </w:tc>
        <w:tc>
          <w:tcPr>
            <w:tcW w:w="158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(5,672)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w w:val="97"/>
              </w:rPr>
              <w:t>23,000,000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Earnings/Basic and Diluted Redeemable Class A Common Stock</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Non-Redeemable Class A and B Common Stock</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Numerator: Net Income minus Redeemable Net Earnings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4,903,480)</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(993)</w:t>
            </w:r>
          </w:p>
        </w:tc>
      </w:tr>
      <w:tr>
        <w:trPr>
          <w:trHeight w:val="203"/>
        </w:trPr>
        <w:tc>
          <w:tcPr>
            <w:tcW w:w="8240" w:type="dxa"/>
            <w:vAlign w:val="bottom"/>
          </w:tcPr>
          <w:p>
            <w:pPr>
              <w:ind w:left="720"/>
              <w:spacing w:after="0" w:line="202" w:lineRule="exact"/>
              <w:rPr>
                <w:sz w:val="20"/>
                <w:szCs w:val="20"/>
                <w:color w:val="auto"/>
              </w:rPr>
            </w:pPr>
            <w:r>
              <w:rPr>
                <w:rFonts w:ascii="Arial" w:cs="Arial" w:eastAsia="Arial" w:hAnsi="Arial"/>
                <w:sz w:val="18"/>
                <w:szCs w:val="18"/>
                <w:color w:val="auto"/>
              </w:rPr>
              <w:t>Redeemable Net Earnings (Loss)</w:t>
            </w:r>
          </w:p>
        </w:tc>
        <w:tc>
          <w:tcPr>
            <w:tcW w:w="100" w:type="dxa"/>
            <w:vAlign w:val="bottom"/>
          </w:tcPr>
          <w:p>
            <w:pPr>
              <w:spacing w:after="0"/>
              <w:rPr>
                <w:sz w:val="17"/>
                <w:szCs w:val="17"/>
                <w:color w:val="auto"/>
              </w:rPr>
            </w:pPr>
          </w:p>
        </w:tc>
        <w:tc>
          <w:tcPr>
            <w:tcW w:w="158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Non-Redeemable Net Earnings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4,903,480)</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(993)</w:t>
            </w: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Non-Redeemable Class A and B Common Stock, Basic and Diluted (1)</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8,480,000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6,870,000</w:t>
            </w:r>
          </w:p>
        </w:tc>
      </w:tr>
      <w:tr>
        <w:trPr>
          <w:trHeight w:val="217"/>
        </w:trPr>
        <w:tc>
          <w:tcPr>
            <w:tcW w:w="8240" w:type="dxa"/>
            <w:vAlign w:val="bottom"/>
          </w:tcPr>
          <w:p>
            <w:pPr>
              <w:spacing w:after="0"/>
              <w:rPr>
                <w:sz w:val="20"/>
                <w:szCs w:val="20"/>
                <w:color w:val="auto"/>
              </w:rPr>
            </w:pPr>
            <w:r>
              <w:rPr>
                <w:rFonts w:ascii="Arial" w:cs="Arial" w:eastAsia="Arial" w:hAnsi="Arial"/>
                <w:sz w:val="18"/>
                <w:szCs w:val="18"/>
                <w:color w:val="auto"/>
              </w:rPr>
              <w:t>Loss/Basic and Diluted Non-Redeemable Class A and B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(0.58)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left="120" w:right="60"/>
        <w:spacing w:after="0" w:line="246" w:lineRule="auto"/>
        <w:rPr>
          <w:sz w:val="20"/>
          <w:szCs w:val="20"/>
          <w:color w:val="auto"/>
        </w:rPr>
      </w:pPr>
      <w:r>
        <w:rPr>
          <w:rFonts w:ascii="Arial" w:cs="Arial" w:eastAsia="Arial" w:hAnsi="Arial"/>
          <w:sz w:val="18"/>
          <w:szCs w:val="18"/>
          <w:color w:val="auto"/>
        </w:rPr>
        <w:t>Note: As of March 31, 2021 and 2020, basic and diluted common shares are the same as there are no non-redeemable securities that are dilutive to the Company’s stockholders.</w:t>
      </w:r>
    </w:p>
    <w:p>
      <w:pPr>
        <w:spacing w:after="0" w:line="224" w:lineRule="exact"/>
        <w:rPr>
          <w:sz w:val="20"/>
          <w:szCs w:val="20"/>
          <w:color w:val="auto"/>
        </w:rPr>
      </w:pPr>
    </w:p>
    <w:p>
      <w:pPr>
        <w:ind w:left="660" w:right="220" w:hanging="544"/>
        <w:spacing w:after="0" w:line="24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weighted average non-redeemable common stock for the three months ended March 31, 2021 includes the effect of 610,000 Private Placement Units, which were issued in conjunction with the initial public offering on September 24,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limit of $ 250,000. The Company has not experienced losses on this account and management believes the Company is not exposed to significant risks on such account.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As of March 31, 2021, the carrying values of cash, accounts payable and accrued expenses approximate their fair values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26"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Hedging-Contracts in Entity’s Own Equity (Subtopic: 815-40) and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95"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unaudited condensed financial statements.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INITIAL PUBLIC OFFERING</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 -third of one warrant (“Public Warrant”). Each whole Public Warrant entitles the holder to purchase one share of Class A common stock at an exercise price of $11.50, subject to adjustment (see Note 7).</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26" w:lineRule="exact"/>
        <w:rPr>
          <w:sz w:val="20"/>
          <w:szCs w:val="20"/>
          <w:color w:val="auto"/>
        </w:rPr>
      </w:pPr>
    </w:p>
    <w:p>
      <w:pPr>
        <w:ind w:left="120" w:right="720" w:firstLine="551"/>
        <w:spacing w:after="0" w:line="274" w:lineRule="auto"/>
        <w:rPr>
          <w:sz w:val="20"/>
          <w:szCs w:val="20"/>
          <w:color w:val="auto"/>
        </w:rPr>
      </w:pPr>
      <w:r>
        <w:rPr>
          <w:rFonts w:ascii="Arial" w:cs="Arial" w:eastAsia="Arial" w:hAnsi="Arial"/>
          <w:sz w:val="17"/>
          <w:szCs w:val="17"/>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7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7"/>
          <w:szCs w:val="17"/>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7. Additionally, on June 13, 2019, the Company completed an approximate</w:t>
      </w:r>
    </w:p>
    <w:p>
      <w:pPr>
        <w:spacing w:after="0" w:line="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2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w:t>
      </w:r>
    </w:p>
    <w:p>
      <w:pPr>
        <w:spacing w:after="0" w:line="3" w:lineRule="exact"/>
        <w:rPr>
          <w:sz w:val="20"/>
          <w:szCs w:val="20"/>
          <w:color w:val="auto"/>
        </w:rPr>
      </w:pPr>
    </w:p>
    <w:p>
      <w:pPr>
        <w:ind w:left="120" w:right="20" w:hanging="4"/>
        <w:spacing w:after="0" w:line="238" w:lineRule="auto"/>
        <w:tabs>
          <w:tab w:leader="none" w:pos="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entered into an agreement, commencing on September 25, 2020 through the earlier of the Company’s consummation of a Business Combination and its liquidation, to pay the Sponsor or an affiliate of the Sponsor $ 20,000 per month for office space, administrative and shared personnel support services. For the three months ended March 31, 2021, the Company incurred and paid $60,000 in fees for these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26"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On June 12, 2019, as amended on August 5, 2020, the Company issued a promissory note to the Sponsor, pursuant to which the Sponsor agreed to loan the Company up to an aggregate of $500,000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$ 10.00 per unit at the option of the holder. The units would be identical to the Private Placement Units. As of March 31, 2021 and December 31, 2020, there were no amounts outstanding under the Working Capital Loans.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jc w:val="both"/>
        <w:ind w:left="120" w:right="180" w:firstLine="551"/>
        <w:spacing w:after="0" w:line="238"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right="160" w:firstLine="551"/>
        <w:spacing w:after="0" w:line="236" w:lineRule="auto"/>
        <w:rPr>
          <w:sz w:val="20"/>
          <w:szCs w:val="20"/>
          <w:color w:val="auto"/>
        </w:rPr>
      </w:pPr>
      <w:r>
        <w:rPr>
          <w:rFonts w:ascii="Arial" w:cs="Arial" w:eastAsia="Arial" w:hAnsi="Arial"/>
          <w:sz w:val="18"/>
          <w:szCs w:val="18"/>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26"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203" w:lineRule="exact"/>
        <w:rPr>
          <w:sz w:val="20"/>
          <w:szCs w:val="20"/>
          <w:color w:val="auto"/>
        </w:rPr>
      </w:pPr>
    </w:p>
    <w:p>
      <w:pPr>
        <w:ind w:left="120" w:right="100" w:firstLine="551"/>
        <w:spacing w:after="0" w:line="257" w:lineRule="auto"/>
        <w:rPr>
          <w:sz w:val="20"/>
          <w:szCs w:val="20"/>
          <w:color w:val="auto"/>
        </w:rPr>
      </w:pPr>
      <w:r>
        <w:rPr>
          <w:rFonts w:ascii="Arial" w:cs="Arial" w:eastAsia="Arial" w:hAnsi="Arial"/>
          <w:sz w:val="17"/>
          <w:szCs w:val="17"/>
          <w:color w:val="auto"/>
        </w:rPr>
        <w:t>In March 2021, the underwriters and the Company entered into an agreement that modified the existing September 24, 2020 Underwriting Agreement by and among the Company and its underwriters. The agreement specifies that, upon the successful completion of the Business Combination Agreement, the deferred underwriter’s commission owed to Cantor Fitzgerald &amp; Co. will be reduced by $2,000,000 and that the deferred underwriter’s commission owed to Wells Fargo Securities, LLC will be reduced by $1,000,000.</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208"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02" w:lineRule="exact"/>
        <w:rPr>
          <w:sz w:val="20"/>
          <w:szCs w:val="20"/>
          <w:color w:val="auto"/>
        </w:rPr>
      </w:pPr>
    </w:p>
    <w:p>
      <w:pPr>
        <w:ind w:left="1300" w:hanging="644"/>
        <w:spacing w:after="0" w:line="238" w:lineRule="auto"/>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117" w:lineRule="exact"/>
        <w:rPr>
          <w:rFonts w:ascii="Arial" w:cs="Arial" w:eastAsia="Arial" w:hAnsi="Arial"/>
          <w:sz w:val="18"/>
          <w:szCs w:val="18"/>
          <w:color w:val="auto"/>
        </w:rPr>
      </w:pPr>
    </w:p>
    <w:p>
      <w:pPr>
        <w:ind w:left="1300" w:right="180" w:hanging="644"/>
        <w:spacing w:after="0" w:line="248" w:lineRule="auto"/>
        <w:tabs>
          <w:tab w:leader="none" w:pos="13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w:t>
      </w:r>
    </w:p>
    <w:p>
      <w:pPr>
        <w:spacing w:after="0" w:line="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(B) to investor limited partners of PWP, new shares of Class B-2 common stock, which will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MARCH 31, 2021</w:t>
      </w: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320" w:right="100"/>
        <w:spacing w:after="0" w:line="274" w:lineRule="auto"/>
        <w:rPr>
          <w:sz w:val="20"/>
          <w:szCs w:val="20"/>
          <w:color w:val="auto"/>
        </w:rPr>
      </w:pPr>
      <w:r>
        <w:rPr>
          <w:rFonts w:ascii="Arial" w:cs="Arial" w:eastAsia="Arial" w:hAnsi="Arial"/>
          <w:sz w:val="17"/>
          <w:szCs w:val="17"/>
          <w:color w:val="auto"/>
        </w:rPr>
        <w:t>have one vote per share, with the number of shares of such common stock to be issued to equal the number of common units of PWP that will be held by Professionals and such investor limited partners, respectively, following the Closing; and</w:t>
      </w:r>
    </w:p>
    <w:p>
      <w:pPr>
        <w:spacing w:after="0" w:line="80" w:lineRule="exact"/>
        <w:rPr>
          <w:sz w:val="20"/>
          <w:szCs w:val="20"/>
          <w:color w:val="auto"/>
        </w:rPr>
      </w:pPr>
    </w:p>
    <w:p>
      <w:pPr>
        <w:ind w:left="1300" w:right="20" w:hanging="644"/>
        <w:spacing w:after="0" w:line="238"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Subscription Agreements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0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such designations, rights and preferences as may be determined from time to time by the Company’s Board of Directors. At March 31, 2021 and December 31, 2020, there were no shares of preferred stock issued or outstanding.</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—The Company is authorized to issue 100,000,000 shares of Class A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A common stock are entitled to one vote for each share. At March 31, 2021 and December 31, 2020, there were 3,271,432 and 3,761,780 shares of Class A common stock issued and outstanding, excluding 20,338,568 and 21,584,763 shares of Class A common stock subject to possible redemption.</w:t>
      </w:r>
    </w:p>
    <w:p>
      <w:pPr>
        <w:spacing w:after="0" w:line="174"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—The Company is authorized to issue 10,000,000 shares of Class B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the Company’s Class B common stock are entitled to one vote for each common share. At March 31, 2021 and December 31, 2020, there were 7,870,000 shares of Class B common stock issued and outstanding.</w:t>
      </w:r>
    </w:p>
    <w:p>
      <w:pPr>
        <w:spacing w:after="0" w:line="19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40"/>
          </w:cols>
          <w:pgMar w:left="320" w:top="459" w:right="5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 and equity-linked securities issued or deemed issued in connection with a Business Combination (excluding any shares or equity-linked securities issued, or to be issued, to any seller in a Business Combination).</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WARRANTS</w:t>
      </w:r>
    </w:p>
    <w:p>
      <w:pPr>
        <w:spacing w:after="0" w:line="10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Public 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9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 or qualify the shares under applicable blue sky laws to the extent an exemption is not available.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Redemption of Warrants for Cash. </w:t>
      </w:r>
      <w:r>
        <w:rPr>
          <w:rFonts w:ascii="Arial" w:cs="Arial" w:eastAsia="Arial" w:hAnsi="Arial"/>
          <w:sz w:val="18"/>
          <w:szCs w:val="18"/>
          <w:color w:val="auto"/>
        </w:rPr>
        <w:t>The Company may redeem the Public Warrants:</w:t>
      </w:r>
    </w:p>
    <w:p>
      <w:pPr>
        <w:spacing w:after="0" w:line="135" w:lineRule="exact"/>
        <w:rPr>
          <w:sz w:val="20"/>
          <w:szCs w:val="20"/>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880" w:right="460" w:hanging="224"/>
        <w:spacing w:after="0" w:line="248" w:lineRule="auto"/>
        <w:tabs>
          <w:tab w:leader="none" w:pos="8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w:t>
      </w:r>
    </w:p>
    <w:p>
      <w:pPr>
        <w:spacing w:after="0" w:line="1" w:lineRule="exact"/>
        <w:rPr>
          <w:rFonts w:ascii="Arial" w:cs="Arial" w:eastAsia="Arial" w:hAnsi="Arial"/>
          <w:sz w:val="17"/>
          <w:szCs w:val="17"/>
          <w:color w:val="auto"/>
        </w:rPr>
      </w:pPr>
    </w:p>
    <w:p>
      <w:pPr>
        <w:ind w:left="880" w:right="80"/>
        <w:spacing w:after="0" w:line="246" w:lineRule="auto"/>
        <w:rPr>
          <w:rFonts w:ascii="Arial" w:cs="Arial" w:eastAsia="Arial" w:hAnsi="Arial"/>
          <w:sz w:val="17"/>
          <w:szCs w:val="17"/>
          <w:color w:val="auto"/>
        </w:rPr>
      </w:pPr>
      <w:r>
        <w:rPr>
          <w:rFonts w:ascii="Arial" w:cs="Arial" w:eastAsia="Arial" w:hAnsi="Arial"/>
          <w:sz w:val="18"/>
          <w:szCs w:val="18"/>
          <w:color w:val="auto"/>
        </w:rPr>
        <w:t>30-trading day period ending three business days prior to the date on which the Company sends the notice of redemption to the warrant holders.</w:t>
      </w:r>
    </w:p>
    <w:p>
      <w:pPr>
        <w:spacing w:after="0" w:line="197"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97" w:lineRule="exact"/>
        <w:rPr>
          <w:sz w:val="20"/>
          <w:szCs w:val="20"/>
          <w:color w:val="auto"/>
        </w:rPr>
      </w:pPr>
    </w:p>
    <w:p>
      <w:pPr>
        <w:jc w:val="both"/>
        <w:ind w:left="120" w:right="120" w:firstLine="551"/>
        <w:spacing w:after="0" w:line="238"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100"/>
        <w:spacing w:after="0" w:line="261" w:lineRule="auto"/>
        <w:rPr>
          <w:sz w:val="20"/>
          <w:szCs w:val="20"/>
          <w:color w:val="auto"/>
        </w:rPr>
      </w:pPr>
      <w:r>
        <w:rPr>
          <w:rFonts w:ascii="Arial" w:cs="Arial" w:eastAsia="Arial" w:hAnsi="Arial"/>
          <w:sz w:val="17"/>
          <w:szCs w:val="17"/>
          <w:color w:val="auto"/>
        </w:rPr>
        <w:t>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FAIR VALUE MEASUREMENTS</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30" w:lineRule="exact"/>
        <w:rPr>
          <w:sz w:val="20"/>
          <w:szCs w:val="20"/>
          <w:color w:val="auto"/>
        </w:rPr>
      </w:pPr>
    </w:p>
    <w:p>
      <w:pPr>
        <w:jc w:val="both"/>
        <w:ind w:left="1640" w:right="80" w:hanging="984"/>
        <w:spacing w:after="0"/>
        <w:tabs>
          <w:tab w:leader="none" w:pos="16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08" w:lineRule="exact"/>
        <w:rPr>
          <w:sz w:val="20"/>
          <w:szCs w:val="20"/>
          <w:color w:val="auto"/>
        </w:rPr>
      </w:pPr>
    </w:p>
    <w:p>
      <w:pPr>
        <w:ind w:left="1640" w:right="300" w:hanging="984"/>
        <w:spacing w:after="0" w:line="246" w:lineRule="auto"/>
        <w:tabs>
          <w:tab w:leader="none" w:pos="16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02" w:lineRule="exact"/>
        <w:rPr>
          <w:sz w:val="20"/>
          <w:szCs w:val="20"/>
          <w:color w:val="auto"/>
        </w:rPr>
      </w:pPr>
    </w:p>
    <w:p>
      <w:pPr>
        <w:ind w:left="1640" w:right="280" w:hanging="984"/>
        <w:spacing w:after="0" w:line="246" w:lineRule="auto"/>
        <w:tabs>
          <w:tab w:leader="none" w:pos="16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our assessment of the assumptions that market participants would use in pricing the asset or liability.</w:t>
      </w:r>
    </w:p>
    <w:p>
      <w:pPr>
        <w:spacing w:after="0" w:line="197" w:lineRule="exact"/>
        <w:rPr>
          <w:sz w:val="20"/>
          <w:szCs w:val="20"/>
          <w:color w:val="auto"/>
        </w:rPr>
      </w:pPr>
    </w:p>
    <w:p>
      <w:pPr>
        <w:jc w:val="both"/>
        <w:ind w:left="120" w:right="100" w:firstLine="551"/>
        <w:spacing w:after="0"/>
        <w:rPr>
          <w:sz w:val="20"/>
          <w:szCs w:val="20"/>
          <w:color w:val="auto"/>
        </w:rPr>
      </w:pPr>
      <w:r>
        <w:rPr>
          <w:rFonts w:ascii="Arial" w:cs="Arial" w:eastAsia="Arial" w:hAnsi="Arial"/>
          <w:sz w:val="18"/>
          <w:szCs w:val="18"/>
          <w:color w:val="auto"/>
        </w:rPr>
        <w:t>At March 31, 2021 and December 31, 2020, assets held in the Trust Account were comprised of $230,011,533 and $230,005,861 in money market funds, which are invested in U.S. Treasury Securities, respectively. During the three months ended March 31, 2021 and the year ended December 31, 2020, the Company did not withdraw any interest income from the Trust Account.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80"/>
          </w:cols>
          <w:pgMar w:left="320" w:top="459" w:right="4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w:t>
      </w:r>
    </w:p>
    <w:p>
      <w:pPr>
        <w:ind w:left="120"/>
        <w:spacing w:after="0"/>
        <w:rPr>
          <w:sz w:val="20"/>
          <w:szCs w:val="20"/>
          <w:color w:val="auto"/>
        </w:rPr>
      </w:pPr>
      <w:r>
        <w:rPr>
          <w:rFonts w:ascii="Arial" w:cs="Arial" w:eastAsia="Arial" w:hAnsi="Arial"/>
          <w:sz w:val="18"/>
          <w:szCs w:val="18"/>
          <w:color w:val="auto"/>
        </w:rPr>
        <w:t>March 31, 2021 and indicates the fair value hierarchy of the valuation inputs the Company utilized to determine such fair value: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78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00" w:type="dxa"/>
            <w:vAlign w:val="bottom"/>
            <w:tcBorders>
              <w:bottom w:val="single" w:sz="8" w:color="auto"/>
            </w:tcBorders>
            <w:vMerge w:val="continue"/>
          </w:tcPr>
          <w:p>
            <w:pPr>
              <w:spacing w:after="0"/>
              <w:rPr>
                <w:sz w:val="15"/>
                <w:szCs w:val="15"/>
                <w:color w:val="auto"/>
              </w:rPr>
            </w:pPr>
          </w:p>
        </w:tc>
        <w:tc>
          <w:tcPr>
            <w:tcW w:w="6780" w:type="dxa"/>
            <w:vAlign w:val="bottom"/>
            <w:vMerge w:val="continue"/>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5"/>
                <w:szCs w:val="15"/>
                <w:color w:val="auto"/>
              </w:rPr>
            </w:pPr>
          </w:p>
        </w:tc>
        <w:tc>
          <w:tcPr>
            <w:tcW w:w="102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5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230,011,533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230,005,861</w:t>
            </w: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liabilities – Public Warrants</w:t>
            </w:r>
          </w:p>
        </w:tc>
        <w:tc>
          <w:tcPr>
            <w:tcW w:w="7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11,116,667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16,790,001</w:t>
            </w:r>
          </w:p>
        </w:tc>
        <w:tc>
          <w:tcPr>
            <w:tcW w:w="0" w:type="dxa"/>
            <w:vAlign w:val="bottom"/>
          </w:tcPr>
          <w:p>
            <w:pPr>
              <w:spacing w:after="0"/>
              <w:rPr>
                <w:sz w:val="1"/>
                <w:szCs w:val="1"/>
                <w:color w:val="auto"/>
              </w:rPr>
            </w:pPr>
          </w:p>
        </w:tc>
      </w:tr>
      <w:tr>
        <w:trPr>
          <w:trHeight w:val="203"/>
        </w:trPr>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liabilities – Placement Warrants</w:t>
            </w:r>
          </w:p>
        </w:tc>
        <w:tc>
          <w:tcPr>
            <w:tcW w:w="7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492,066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575,432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March 31, 2021 and the year-ended December 31, 2020 other than, with respect to the year ended December 31, 2020, the transfer of Public Warrants from Level 3 to Level 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Measurement – Public Warrants</w:t>
      </w:r>
    </w:p>
    <w:p>
      <w:pPr>
        <w:spacing w:after="0" w:line="126"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7"/>
          <w:szCs w:val="17"/>
          <w:color w:val="auto"/>
        </w:rPr>
        <w:t>The Company established the initial fair value for the Warrants on September 29, 2020, the date of the Company’s Initial Public Offering, using a binomial / lattice model for the Public Warrants. The Company allocated the proceeds received from (i) the sale of Units (which is inclusive of one share of Class A common stock and one-third of one Public Warrant) and (ii) the sale of Private Placement Warrants, first to the Warrants based on their fair values as determined at initial measurement, with the remaining proceeds allocated to Class A common shares subject to possible redemption and Class A common shares based on their relative fair values at the initial measurement date. The Warrants were classified as Level 3 at the initial measurement date due to the use of unobservable inputs.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September 29, 2020, the Public Warrants were determined to be $1.79 per warrant for aggregate value of $13.7 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Measurement – Public Warrants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The Public Warrants are measured at fair value on a recurring basis. The subsequent measurement of the Public Warrants as of March 31, 2021 and December 31, 2020 is classified as Level 1 due to the use of an observable market quote in an active market.</w:t>
      </w:r>
    </w:p>
    <w:p>
      <w:pPr>
        <w:spacing w:after="0" w:line="197"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As of March 31, 2021 and December 31, 2020, the aggregate value of the Public Warrants was $11.1 million and $16.8 million, respectively.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and Subsequent Measurement– Private Placement Warrants</w:t>
      </w:r>
    </w:p>
    <w:p>
      <w:pPr>
        <w:spacing w:after="0" w:line="126"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The fair value of the Private Placement Warrants was estimated using a Black-Scholes option pricing model. The underlying assumptions in the Black-Scholes option pricing model include the underlying share price, risk-free interest rate, estimated volatility and the expected term. The underlying share price is based on the trading common share price or implied from the unit price (before the common shares are trading separately), which consists of one common share and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FINTECH ACQUISITION CORP. IV</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one-third public warrant. The expected stock price volatility is based on (i) the observed volatility of a group of comparable publicly traded companies observed over a historical period equal to the expected remaining life of the warrants and (ii) the implied volatility of the Public Warrants calculated using publicly observable prices. The risk-free interest rate is based on the U.S. Treasury yield curve in effect on the date of valuation equal to the remaining expected life of the warrants. The dividend yield percentage is zero because the Company does not currently pay dividends, nor does it intend to do so during the expected term of the warrants. The expected life of the warrants is assumed to be equivalent to their remaining contractual term. Inputs are re-evaluated each quarterly reporting period to estimate the fair market value of the Private Placement Warrants as of the reporting period.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Private Placement Warrants was estimated at March 31, 2021 and December 31, 2020 using the Black-</w:t>
      </w:r>
    </w:p>
    <w:p>
      <w:pPr>
        <w:ind w:left="120"/>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Input</w:t>
            </w:r>
          </w:p>
        </w:tc>
        <w:tc>
          <w:tcPr>
            <w:tcW w:w="8000" w:type="dxa"/>
            <w:vAlign w:val="bottom"/>
            <w:vMerge w:val="restart"/>
          </w:tcPr>
          <w:p>
            <w:pPr>
              <w:spacing w:after="0"/>
              <w:rPr>
                <w:sz w:val="14"/>
                <w:szCs w:val="14"/>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8000" w:type="dxa"/>
            <w:vAlign w:val="bottom"/>
            <w:vMerge w:val="continue"/>
          </w:tcPr>
          <w:p>
            <w:pPr>
              <w:spacing w:after="0"/>
              <w:rPr>
                <w:sz w:val="14"/>
                <w:szCs w:val="14"/>
                <w:color w:val="auto"/>
              </w:rPr>
            </w:pPr>
          </w:p>
        </w:tc>
        <w:tc>
          <w:tcPr>
            <w:tcW w:w="9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4"/>
                <w:szCs w:val="14"/>
                <w:color w:val="auto"/>
              </w:rPr>
            </w:pPr>
          </w:p>
        </w:tc>
        <w:tc>
          <w:tcPr>
            <w:tcW w:w="680" w:type="dxa"/>
            <w:vAlign w:val="bottom"/>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gridSpan w:val="2"/>
            <w:vMerge w:val="continue"/>
            <w:shd w:val="clear" w:color="auto" w:fill="CCEEFF"/>
          </w:tcPr>
          <w:p>
            <w:pPr>
              <w:spacing w:after="0"/>
              <w:rPr>
                <w:sz w:val="16"/>
                <w:szCs w:val="16"/>
                <w:color w:val="auto"/>
              </w:rPr>
            </w:pPr>
          </w:p>
        </w:tc>
        <w:tc>
          <w:tcPr>
            <w:tcW w:w="17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8"/>
                <w:szCs w:val="18"/>
                <w:color w:val="auto"/>
              </w:rPr>
              <w:t>0.3%</w:t>
            </w: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5.4</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7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35.0%</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Dividend yield</w:t>
            </w:r>
          </w:p>
        </w:tc>
        <w:tc>
          <w:tcPr>
            <w:tcW w:w="17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0.0%</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 price</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11.50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color w:val="auto"/>
              </w:rPr>
              <w:t>Asset price</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11.30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As of March 31, 2021 and December 31, 2020, the aggregate value of the Private Warrants was determined to be $0.5 million and $0.6 million,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Private</w:t>
            </w: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Warrant</w:t>
            </w:r>
          </w:p>
        </w:tc>
      </w:tr>
      <w:tr>
        <w:trPr>
          <w:trHeight w:val="175"/>
        </w:trPr>
        <w:tc>
          <w:tcPr>
            <w:tcW w:w="726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Placement</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Public</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Liabilities</w:t>
            </w: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as of December 31, 2020</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$ 575,432</w:t>
            </w:r>
          </w:p>
        </w:tc>
        <w:tc>
          <w:tcPr>
            <w:tcW w:w="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$ 16,790,001</w:t>
            </w: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$ 17,365,433</w:t>
            </w:r>
          </w:p>
        </w:tc>
        <w:tc>
          <w:tcPr>
            <w:tcW w:w="140" w:type="dxa"/>
            <w:vAlign w:val="bottom"/>
            <w:tcBorders>
              <w:top w:val="single" w:sz="8" w:color="CCEEFF"/>
            </w:tcBorders>
            <w:shd w:val="clear" w:color="auto" w:fill="CCEEFF"/>
          </w:tcPr>
          <w:p>
            <w:pPr>
              <w:spacing w:after="0"/>
              <w:rPr>
                <w:sz w:val="17"/>
                <w:szCs w:val="17"/>
                <w:color w:val="auto"/>
              </w:rPr>
            </w:pPr>
          </w:p>
        </w:tc>
      </w:tr>
      <w:tr>
        <w:trPr>
          <w:trHeight w:val="210"/>
        </w:trPr>
        <w:tc>
          <w:tcPr>
            <w:tcW w:w="7260" w:type="dxa"/>
            <w:vAlign w:val="bottom"/>
          </w:tcPr>
          <w:p>
            <w:pPr>
              <w:spacing w:after="0" w:line="202" w:lineRule="exact"/>
              <w:rPr>
                <w:sz w:val="20"/>
                <w:szCs w:val="20"/>
                <w:color w:val="auto"/>
              </w:rPr>
            </w:pPr>
            <w:r>
              <w:rPr>
                <w:rFonts w:ascii="Arial" w:cs="Arial" w:eastAsia="Arial" w:hAnsi="Arial"/>
                <w:sz w:val="18"/>
                <w:szCs w:val="18"/>
                <w:color w:val="auto"/>
              </w:rPr>
              <w:t>Change in valuation inputs or other assumptions</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(83,366)</w:t>
            </w:r>
          </w:p>
        </w:tc>
        <w:tc>
          <w:tcPr>
            <w:tcW w:w="14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(5,673,334)</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(5,756,700)</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as of March 31, 2021</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$ 492,066</w:t>
            </w:r>
          </w:p>
        </w:tc>
        <w:tc>
          <w:tcPr>
            <w:tcW w:w="34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$ 11,116,667</w:t>
            </w:r>
          </w:p>
        </w:tc>
        <w:tc>
          <w:tcPr>
            <w:tcW w:w="340" w:type="dxa"/>
            <w:vAlign w:val="bottom"/>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$ 11,608,733</w:t>
            </w:r>
          </w:p>
        </w:tc>
        <w:tc>
          <w:tcPr>
            <w:tcW w:w="140" w:type="dxa"/>
            <w:vAlign w:val="bottom"/>
            <w:shd w:val="clear" w:color="auto" w:fill="CCEEFF"/>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December 31, 2020 through March 31, 2021.</w:t>
      </w:r>
    </w:p>
    <w:p>
      <w:pPr>
        <w:spacing w:after="0" w:line="197"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SUBSEQUENT EVENTS</w:t>
      </w:r>
    </w:p>
    <w:p>
      <w:pPr>
        <w:spacing w:after="0" w:line="126" w:lineRule="exact"/>
        <w:rPr>
          <w:sz w:val="20"/>
          <w:szCs w:val="20"/>
          <w:color w:val="auto"/>
        </w:rPr>
      </w:pPr>
    </w:p>
    <w:p>
      <w:pPr>
        <w:jc w:val="both"/>
        <w:ind w:left="120" w:right="400" w:firstLine="551"/>
        <w:spacing w:after="0"/>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General Partner of PWP Holdings LP and Subsidiaries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audited the accompanying consolidated statements of financial condition of PWP Holdings LP and Subsidiaries (the Company) as of December 31, 2020 and 2019, the related consolidated statements of operations and comprehensive loss,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2007.</w:t>
      </w:r>
    </w:p>
    <w:p>
      <w:pPr>
        <w:ind w:left="120"/>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10, 2021</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329,063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264,479</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1,845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2,103</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Accounts receivable, net of allowance</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40,802</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71,048</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1,826</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Fixed assets, net of accumulated depreciation and amortization</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17,189</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20,662</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 of accumulated amortization</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38,932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45,512</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34,383</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34,383</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25,792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28,818</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Right-of-use lease assets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53,444</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56,014</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0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542,953</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524,845</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Partners’ Capital</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Accrued compensation and benefits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213,524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191,851</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compensation programs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17,208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14,329</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22,246</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18,829</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10,598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1,679</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58,229</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63,251</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Debt, net of unamortized debt discounts and issuance costs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146,965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153,001</w:t>
            </w: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468,770</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442,940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13)</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Partners’ capital</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76,509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87,725</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(2,326)</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(5,820)</w:t>
            </w: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020" w:type="dxa"/>
            <w:vAlign w:val="bottom"/>
          </w:tcPr>
          <w:p>
            <w:pPr>
              <w:ind w:left="720"/>
              <w:spacing w:after="0"/>
              <w:rPr>
                <w:sz w:val="20"/>
                <w:szCs w:val="20"/>
                <w:color w:val="auto"/>
              </w:rPr>
            </w:pPr>
            <w:r>
              <w:rPr>
                <w:rFonts w:ascii="Arial" w:cs="Arial" w:eastAsia="Arial" w:hAnsi="Arial"/>
                <w:sz w:val="18"/>
                <w:szCs w:val="18"/>
                <w:color w:val="auto"/>
              </w:rPr>
              <w:t>Total Partners’ capital</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74,183</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81,905</w:t>
            </w: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liabilities and Partners’ capital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542,953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524,845</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$ 518,986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533,297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701,989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and benefits</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374,332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349,819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477,606</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24,815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193,299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compensation and benefits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399,147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543,118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676,658</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Professional fees</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42,880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39,265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infrastructure</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27,281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27,070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22,977</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Rent and occupancy</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27,958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27,802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Travel and related expenses</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5,725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19,656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19,286</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General, administrative and other expenses</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15,060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15,653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15,531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15,852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1080"/>
              <w:spacing w:after="0"/>
              <w:rPr>
                <w:sz w:val="20"/>
                <w:szCs w:val="20"/>
                <w:color w:val="auto"/>
              </w:rPr>
            </w:pPr>
            <w:r>
              <w:rPr>
                <w:rFonts w:ascii="Arial" w:cs="Arial" w:eastAsia="Arial" w:hAnsi="Arial"/>
                <w:sz w:val="18"/>
                <w:szCs w:val="18"/>
                <w:color w:val="auto"/>
              </w:rPr>
              <w:t>Total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533,582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688,416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809,406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(14,596)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(155,119)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(107,417)</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Related party revenues</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9,263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8,810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(15,741)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(15,395)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(15,164)</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Total non-operating income (expenses)</w:t>
            </w: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vMerge w:val="continue"/>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(6,293)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(6,477)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(15,798)</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(20,889)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(161,596)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(123,215)</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 (expense)</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(24,342)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(164,019)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(125,757)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(loss)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currency translation gain (loss)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 (20,848)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(163,182)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(127,314)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Partners’</w:t>
            </w:r>
          </w:p>
        </w:tc>
        <w:tc>
          <w:tcPr>
            <w:tcW w:w="2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5"/>
                <w:szCs w:val="15"/>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2017</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50,488</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(5,100)</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change in Partners’ capital</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(24,607)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Equity-based compensation</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199,052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(125,757)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2018</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99,176</w:t>
            </w:r>
          </w:p>
        </w:tc>
        <w:tc>
          <w:tcPr>
            <w:tcW w:w="32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(6,657)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92,519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Partners’ capital</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(2,355)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193,299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(38,376)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(164,019)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18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837</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87,725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(5,820)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81,905</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accounting pronouncement adoption</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24,815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(11,989)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(24,342)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9"/>
        </w:trPr>
        <w:tc>
          <w:tcPr>
            <w:tcW w:w="51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3,494</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2020</w:t>
            </w:r>
          </w:p>
        </w:tc>
        <w:tc>
          <w:tcPr>
            <w:tcW w:w="1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76,509</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5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5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(24,342)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(164,019)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24,815</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193,299</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15,531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15,852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Amortization of debt discounts and deferred financing costs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3,964</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3,386</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Non-cash operating lease expense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17,069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14,462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3,010</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2,123</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Decrease (increase) in operating assets: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Accounts receivable, net of allowance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27,527</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(2,684)</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Due from related parties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3,089</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(1,267)</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tax asset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3"/>
        </w:trPr>
        <w:tc>
          <w:tcPr>
            <w:tcW w:w="7580" w:type="dxa"/>
            <w:vAlign w:val="bottom"/>
          </w:tcPr>
          <w:p>
            <w:pPr>
              <w:ind w:left="360"/>
              <w:spacing w:after="0" w:line="202" w:lineRule="exact"/>
              <w:rPr>
                <w:sz w:val="20"/>
                <w:szCs w:val="20"/>
                <w:color w:val="auto"/>
              </w:rPr>
            </w:pPr>
            <w:r>
              <w:rPr>
                <w:rFonts w:ascii="Arial" w:cs="Arial" w:eastAsia="Arial" w:hAnsi="Arial"/>
                <w:sz w:val="18"/>
                <w:szCs w:val="18"/>
                <w:color w:val="auto"/>
              </w:rPr>
              <w:t>Increase (decrease) in operating liabilities: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(148,421)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175,444</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Deferred compensation programs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2,756</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2,667</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(5,555)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8,717</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(19,516)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(15,416)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85,907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(106,107)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270,877</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Distributions from company-owned life insurance policies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Purchases of fixed assets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(5,522)</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(7,417)</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(5,522)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(7,267)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change in Partners’ capital</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(24,541)</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Draw down of Revolving Credit Facility</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22,000</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20,000</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Principal payment on Revolving Credit Facility</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(32,000)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tcPr>
          <w:p>
            <w:pPr>
              <w:ind w:left="720"/>
              <w:spacing w:after="0" w:line="202" w:lineRule="exact"/>
              <w:rPr>
                <w:sz w:val="20"/>
                <w:szCs w:val="20"/>
                <w:color w:val="auto"/>
              </w:rPr>
            </w:pPr>
            <w:r>
              <w:rPr>
                <w:rFonts w:ascii="Arial" w:cs="Arial" w:eastAsia="Arial" w:hAnsi="Arial"/>
                <w:sz w:val="18"/>
                <w:szCs w:val="18"/>
                <w:color w:val="auto"/>
              </w:rPr>
              <w:t>Distributions to Partners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(11,989)</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(38,376)</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(21,989)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(30,213)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(24,541)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58,396</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(143,587)</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243,556</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5,930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266,582</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408,531</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169,248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330,908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266,582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408,531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liabilities arising from obtaining right-of-use lease assets</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14,192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paid for income taxes</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2,242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7"/>
        </w:trPr>
        <w:tc>
          <w:tcPr>
            <w:tcW w:w="7580" w:type="dxa"/>
            <w:vAlign w:val="bottom"/>
          </w:tcPr>
          <w:p>
            <w:pPr>
              <w:ind w:left="720"/>
              <w:spacing w:after="0"/>
              <w:rPr>
                <w:sz w:val="20"/>
                <w:szCs w:val="20"/>
                <w:color w:val="auto"/>
              </w:rPr>
            </w:pPr>
            <w:r>
              <w:rPr>
                <w:rFonts w:ascii="Arial" w:cs="Arial" w:eastAsia="Arial" w:hAnsi="Arial"/>
                <w:sz w:val="18"/>
                <w:szCs w:val="18"/>
                <w:color w:val="auto"/>
              </w:rPr>
              <w:t>Cash paid for interest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11,777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11,758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Business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20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and PWP Capital Holdings LP.</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202"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In 2018, the Company opened offices in Paris, France and Chicago, Illinois. Lease agreements were entered into for the various offices opened. In 2019, the Company entered into a lease agreement in Munich, Germany and officially opened the office on January 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 with FinTech Acquisition Corp. IV</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80"/>
          </w:cols>
          <w:pgMar w:left="320" w:top="459"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transaction reflects an implied equity value for the combined company of approximately $ 975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20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PWP equity holders. Any remaining net proceeds will be used for general corporate purposes. At closing of the transaction, PWP expects to have a debt-free balance sheet with access to additional liquidity under an undrawn revolving credit facility.</w:t>
      </w:r>
    </w:p>
    <w:p>
      <w:pPr>
        <w:spacing w:after="0" w:line="20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203"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The business combination is expected to close in the first half of 2021, pending FinTech IV stockholder approval, regulatory approval and other customary closing conditions.</w:t>
      </w:r>
    </w:p>
    <w:p>
      <w:pPr>
        <w:spacing w:after="0" w:line="323" w:lineRule="exact"/>
        <w:rPr>
          <w:sz w:val="20"/>
          <w:szCs w:val="20"/>
          <w:color w:val="auto"/>
        </w:rPr>
      </w:pPr>
    </w:p>
    <w:p>
      <w:pPr>
        <w:ind w:left="120" w:right="6680" w:hanging="4"/>
        <w:spacing w:after="0" w:line="396" w:lineRule="auto"/>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Accounting</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The consolidated financial statements reflect the financial condition, results of operations and cash flows of the Company and have been prepared in accordance with generally accepted accounting principles in the United States (“U.S. GAAP”). Based on an evaluation of the guidance under SAB Topic 5.z.7, </w:t>
      </w:r>
      <w:r>
        <w:rPr>
          <w:rFonts w:ascii="Arial" w:cs="Arial" w:eastAsia="Arial" w:hAnsi="Arial"/>
          <w:sz w:val="18"/>
          <w:szCs w:val="18"/>
          <w:i w:val="1"/>
          <w:iCs w:val="1"/>
          <w:color w:val="auto"/>
        </w:rPr>
        <w:t>Accounting for the spin-off of a subsidiary</w:t>
      </w:r>
      <w:r>
        <w:rPr>
          <w:rFonts w:ascii="Arial" w:cs="Arial" w:eastAsia="Arial" w:hAnsi="Arial"/>
          <w:sz w:val="18"/>
          <w:szCs w:val="18"/>
          <w:color w:val="auto"/>
        </w:rPr>
        <w:t>,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all periods presented.</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Prior to the Separation, assets and liabilities held by PWP Group were for both the Advisory and Asset Management businesses. 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Comprehensive Loss reflect the Advisory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12—Related Party Transactions for further information.</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consolidated financial statements. Intercompany transactions between the Company and the Asset Management business that are settled for cash have been included within Due from related parties on the Consolidated Statements of Financial Condition. Refer to Note 12—Related Party Transactions for further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17" w:lineRule="exact"/>
        <w:rPr>
          <w:sz w:val="20"/>
          <w:szCs w:val="20"/>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Cash and cash equivalents are highly liquid investments with original maturities of three months or less from the date of purchase. As of December 31, 2020 and 2019 the Company had no cash equivalents. The Company maintains cash with banks and brokerage firms, which from time to time may exceed federally insured limits.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Restricted cash represents cash that is not readily available for general purpose cash needs. As of December 31, 2020 and 2019, the Company had restricted cash of $1.8 million and $2.1 million,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respectively. For each period, $1.8 million is maintained as collateral for letters of credit related to the Company’s New York City and Paris office leases and the remainder of the balance as of December 31, 2019 was restricted due to French law.</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2020 and 2019, $5.1 million and $36.2 million of accrued revenue, respectively, was included in Accounts receivable, net of allowance for credit losses on the Consolidated Statements of Financial Condition. These amounts represent amounts due from customers and recognized as revenue in accordance with the Company’s revenue recognition policies but unbilled at the end of the period.</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2020 no accounts receivable were individually greater than 10% of the Company’s total accounts receivable. As of December 31, 2019, certain accounts receivable in the aggregate amount of $43.4 million, were individually greater than 10% of the Company’s total accounts receivable and were concentrated with three clients. Of that amount, all balances were subsequently received after year end.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08" w:lineRule="exact"/>
        <w:rPr>
          <w:sz w:val="20"/>
          <w:szCs w:val="20"/>
          <w:color w:val="auto"/>
        </w:rPr>
      </w:pPr>
    </w:p>
    <w:p>
      <w:pPr>
        <w:jc w:val="both"/>
        <w:ind w:left="120" w:right="120" w:firstLine="551"/>
        <w:spacing w:after="0" w:line="250"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9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customer and the current economic conditions that may affect a customer’s ability to pay such amounts owed to the Company and as a result may recognize a specific credit loss reserve. Changes to expected credit losses during the period are included in General, administrative and other expenses in the Consolidated Statements of Operations and Comprehensive Loss. After concluding that a reserved accounts receivable is no longer collectible, the Company reduces both the gross receivable and the allowance for credit losses.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carrying values of the Company’s financial instruments approximate their fair value as of December 31, 2020 and 2019 due to their short-term nature or the bearing of market interest rates.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 xml:space="preserve">Refer to Note 11—Fair Value Measurements for discussion on the fair value of the Company’s assets and liabilities that qualify as financial instruments under Accounting Standards Codification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Fixed Assets</w:t>
      </w:r>
    </w:p>
    <w:p>
      <w:pPr>
        <w:spacing w:after="0" w:line="126"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Prepaid expenses and other assets consists of certain assets such as prepaid amounts for various services, including subscriptions, software licenses, and insurance, which are amortized over the life, related service period or policy. Also included in Prepaid expenses and other assets are deferred offering costs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As of December 31, 2019, cumulative offering costs of $14.8 million for the IPO were deferred within Prepaid expenses and other assets on the Consolidated Statements of Financial Condition. In May 2020, the Company abandoned pursuit of the IPO transaction and as a result expensed all previously deferred offering costs totaling $14.8 million to Professional fees on the Consolidated Statements of Operations and Comprehensive Loss. Once the Company reinitiated efforts of becoming a publicly traded company via the reorganization and business combination with FinTech IV, it again began deferring these costs which totaled $9.1 million as of December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purchase price of assets acquired and liabilities assumed are based on estimates of the fair value of tangible and intangible assets acquired and liabilities assumed. The Company utilizes various valuation techniques, including the income and market approaches, to determine fair value. Management makes estimates and assumptions in determining purchase price allocations and valuation analyses, which may involve significant unobservable inputs. The excess of the purchase price over the estimated fair values of the underlying assets acquired and liabilities assumed is allocated to goodwill.</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Assets acquired and liabilities assumed in a business combination are recorded in the Company’s Consolidated Statements of Financial Condition based on their respective fair values as of the acquisition date. The results of operations of businesses acquired by the Company are included in the Company’s Consolidated Statements of Operations and Comprehensive Loss from their respective acquisition dates.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2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84"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 (i) 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20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10—Compensation and Benefits for further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Rent</w:t>
      </w:r>
    </w:p>
    <w:p>
      <w:pPr>
        <w:spacing w:after="0" w:line="108"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Prior to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the Company recognized rent expense for scheduled rent increases and rent holidays by amortizing the aggregate lease payments on a straight-line basis over the lease term. The difference between actual operating lease payments due and straight-line rent expense, which was recorded over the term of the lease, was recorded as deferred rent in the early years of the lease, when cash payments are generally lower than straight-line rent expense, and reduced in the later years of the lease when payments begin to exceed the straight-line expense. Also included in deferred rent are tenant improvement allowances received by the Company from its landlords. These allowances were amortized over the remaining lease term as a reduction to rent expense. Upon adoption of ASU 2016-02, Deferred rent was reclassified to Right-of-use lease assets on the Consolidated Statements of Financial Condition.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internationally, where various subsidiaries are treated as corporations in their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respective foreign jurisdictions. For the nine months ended September 30, 2019 and the year ended December 31, 2018, Tudor, Pickering, Holt &amp; So. Securities, LLC (“TPH Securities”), a wholly-owned subsidiary,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 The limited partners of the Company are individually liable for taxes on their distributable share of the Company’s taxable income or loss.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 xml:space="preserve">Income tax benefit (expense) on the Consolidated Statements of Operations and Comprehensive Loss represents the income tax provision related to current and deferred federal, state, local, and foreign income taxes. The Company utilizes the asset and liability method of accounting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w:t>
      </w:r>
    </w:p>
    <w:p>
      <w:pPr>
        <w:spacing w:after="0" w:line="20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purposes of the Company’s consolidated financial statements, the provision for income taxes has been calculated as if the Company completed its tax returns on a stand-alone basis separate from the Asset Management business (the “Separate Return Basis”) prior to the Separation. The Separate Return Basis applies the accounting guidance for income taxes to the consolidated financial statements as if the Company were a separate taxpayer and a stand-alone company from the Asset Management business for the periods presented prior to the Separation.</w:t>
      </w:r>
    </w:p>
    <w:p>
      <w:pPr>
        <w:spacing w:after="0" w:line="202"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Penalties and interest related to income taxes, if any, are included in General, administrative and other expenses and Interest expense, respectively, on the Consolidated Statements of Operations and Comprehensive Loss. Valuation allowances are established to reduce deferred tax benefits to the probable amount expected to be realized in a future period. Refer to Note 8—Income Taxes for further information.</w:t>
      </w:r>
    </w:p>
    <w:p>
      <w:pPr>
        <w:spacing w:after="0" w:line="20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26"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normal course of business, the Company may enter into transactions not denominated in U.S. dollars. Foreign exchange gains and losses arising from such transactions are included in Other income (expense) in the Consolidated Statements of Operations and Comprehensive Loss. In addition, the Company combines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Partners’ Capital.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08"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Effective January 1, 2018, the Company adopted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(“ASU 2014-09”) and all related amendments using the modified retrospective method for all contracts, which requires a</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effect adjustment upon adoption. The Company concluded that there was no material impact to the recognition and measurement of its existing contracts with its customers upon adoption, and therefore, no adjustment to beginning retained earnings as of January 1, 2018, was recorded.</w:t>
      </w:r>
    </w:p>
    <w:p>
      <w:pPr>
        <w:spacing w:after="0" w:line="20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impact of adoption on the Consolidated Statements of Operations and Comprehensive Loss during the year ended December 31, 2018 was a $0.5 million decrease to Revenues and a $0.6 million increase to Total expenses, resulting in a $1.1 million increase to Net loss, as compared to the Consolidated Statements of Operations and Comprehensive Loss without the adoption of ASU 2014-09.</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change between the balances as reported under new and previous accounting guidance is related to the accounting for</w:t>
      </w:r>
    </w:p>
    <w:p>
      <w:pPr>
        <w:ind w:left="120" w:right="60" w:hanging="4"/>
        <w:spacing w:after="0" w:line="238" w:lineRule="auto"/>
        <w:tabs>
          <w:tab w:leader="none" w:pos="33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fees, such as announcement fees, which were previously recognized upon the occurrence of an event, and now are partially deferred to the extent the corresponding performance obligations are not satisfied, and (ii) underwriting related non-compensation expenses, which were previously reported on a net basis and are now reported on a gross basis in both Revenues and Total expenses on the Consolidated Statements of Operations and Comprehensive Loss.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3—Revenue from Contracts with Customers for further information on contracts within the scope of ASU 2014-09.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Compensation and benefits expense consists of salaries, bonuses (discretionary awards and guaranteed amounts), severance, deferred compensation and equity-based compensation, as well as payroll and related taxes and benefits for the Company’s employees. Equity-based compensation is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80"/>
        <w:spacing w:after="0" w:line="274" w:lineRule="auto"/>
        <w:rPr>
          <w:sz w:val="20"/>
          <w:szCs w:val="20"/>
          <w:color w:val="auto"/>
        </w:rPr>
      </w:pPr>
      <w:r>
        <w:rPr>
          <w:rFonts w:ascii="Arial" w:cs="Arial" w:eastAsia="Arial" w:hAnsi="Arial"/>
          <w:sz w:val="17"/>
          <w:szCs w:val="17"/>
          <w:color w:val="auto"/>
        </w:rPr>
        <w:t>associated with the grants of equity-based awards to certain Partners providing services to the Company. In all instances, compensation expense is accrued over the requisite service period. Refer to Note 10—Compensation and Benefits for further information.</w:t>
      </w:r>
    </w:p>
    <w:p>
      <w:pPr>
        <w:spacing w:after="0" w:line="17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Company accounts for equity-based compensation awards by expensing the estimated grant date fair value of the award on a straight-line basis over the requisite service period. The Company made an accounting policy election to account for forfeitures as they occur rather than by applying an estimated forfeiture rate at the time of grant.</w:t>
      </w:r>
    </w:p>
    <w:p>
      <w:pPr>
        <w:spacing w:after="0" w:line="203" w:lineRule="exact"/>
        <w:rPr>
          <w:sz w:val="20"/>
          <w:szCs w:val="20"/>
          <w:color w:val="auto"/>
        </w:rPr>
      </w:pPr>
    </w:p>
    <w:p>
      <w:pPr>
        <w:ind w:left="120" w:right="500" w:firstLine="551"/>
        <w:spacing w:after="0" w:line="274" w:lineRule="auto"/>
        <w:rPr>
          <w:sz w:val="20"/>
          <w:szCs w:val="20"/>
          <w:color w:val="auto"/>
        </w:rPr>
      </w:pPr>
      <w:r>
        <w:rPr>
          <w:rFonts w:ascii="Arial" w:cs="Arial" w:eastAsia="Arial" w:hAnsi="Arial"/>
          <w:sz w:val="17"/>
          <w:szCs w:val="17"/>
          <w:color w:val="auto"/>
        </w:rPr>
        <w:t>Equity-based compensation costs are included in Compensation and benefits expense in the Consolidated Statements of Operations and Comprehensive Loss and within Partners’ Capital on the Consolidated Statements of Changes in Partners’ Capital.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 and Comprehensive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Comprehensive loss consists of Net loss and Other comprehensive income (loss). The Company’s Other comprehensive income (loss) is comprised of foreign currency cumulative translation adjustments.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The Company has elected to adopt new or revised financial accounting standards at the time public companies are required to comply with the new or revised financial accounting standards.</w:t>
      </w:r>
    </w:p>
    <w:p>
      <w:pPr>
        <w:spacing w:after="0" w:line="17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i w:val="1"/>
          <w:iCs w:val="1"/>
          <w:color w:val="auto"/>
        </w:rPr>
        <w:t>Revenue Recognition—Revenue from Contracts with Customers</w:t>
      </w:r>
      <w:r>
        <w:rPr>
          <w:rFonts w:ascii="Arial" w:cs="Arial" w:eastAsia="Arial" w:hAnsi="Arial"/>
          <w:sz w:val="18"/>
          <w:szCs w:val="18"/>
          <w:color w:val="auto"/>
        </w:rPr>
        <w:t>—In May 2014,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issued ASU 2014-09. ASU 2014-09 updated the accounting standards for revenue from contracts with customers. The update provides a five step revenue recognition model for all revenue arising from contracts with customers and affects all entities that enter into contracts to provide goods or services to their customers. ASU 2014-09 also updates the accounting for certain costs associated with obtaining and fulfilling a customer contract and requires disclosure of quantitative and qualitative information that enables users of financial statements to understand the nature, amount, timing, and uncertainty of revenues and cash flows arising from contracts with customers. Subsequent related updates provide clarification on certain revenue recognition guidance in the new standard. The standard was effective for the Company’s interim and annual periods beginning after December 15, 2017.</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020"/>
          </w:cols>
          <w:pgMar w:left="320" w:top="459" w:right="5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Company has adopted ASU 2014-09 using the modified retrospective approach as of January 1, 2018, which requires a cumulative effect adjustment upon adoption. The Company’s implementation efforts included the identification of revenue streams subject to the guidance and the review of the customer contracts to determine the Company’s performance obligation and the associated timing of each performance obligation. Upon adoption, the Company concluded there was no material impact to the recognition and measurement of existing contracts with customers and related incremental costs to obtain or fulfil such contracts. Therefore, adoption of the standard did not require an adjustment to beginning retained earnings as of January 1, 2018.</w:t>
      </w:r>
    </w:p>
    <w:p>
      <w:pPr>
        <w:spacing w:after="0" w:line="187" w:lineRule="exact"/>
        <w:rPr>
          <w:sz w:val="20"/>
          <w:szCs w:val="20"/>
          <w:color w:val="auto"/>
        </w:rPr>
      </w:pPr>
    </w:p>
    <w:p>
      <w:pPr>
        <w:ind w:left="120" w:right="60" w:firstLine="551"/>
        <w:spacing w:after="0" w:line="250"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2016-02”) which requires lessees to recognize on its Balance Sheet (Statement of Financial Condition), assets and liabilities for all leases, other than the leases that meet the definition of short-term leases, at the option of the lessee.</w:t>
      </w:r>
    </w:p>
    <w:p>
      <w:pPr>
        <w:spacing w:after="0" w:line="19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and Comprehensive Loss or Consolidated Statements of Cash Flows, but had the following impact on the Consolidated Statements of Financial Condition:</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Adoption</w:t>
            </w:r>
          </w:p>
        </w:tc>
        <w:tc>
          <w:tcPr>
            <w:tcW w:w="3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10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Right-of-use lease assets</w:t>
            </w: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70,199</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$ 70,199</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7"/>
                <w:szCs w:val="17"/>
                <w:color w:val="auto"/>
              </w:rPr>
            </w:pP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78,394</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78,394</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8,927</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(8,927)</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28,959</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(732)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28,227</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4—Leases for additional information regarding the Company’s leases.</w:t>
      </w:r>
    </w:p>
    <w:p>
      <w:pPr>
        <w:spacing w:after="0" w:line="19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(“ASU 2016-13”). ASU 2016-13 provides amendments to ASC 326, “Financial Instruments – Credit Losses,”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amend the guidance on the impairment of financial instruments and adds an impairment model (the current expected credit loss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84" w:lineRule="exact"/>
        <w:rPr>
          <w:sz w:val="20"/>
          <w:szCs w:val="20"/>
          <w:color w:val="auto"/>
        </w:rPr>
      </w:pPr>
    </w:p>
    <w:p>
      <w:pPr>
        <w:ind w:left="120" w:right="520" w:firstLine="551"/>
        <w:spacing w:after="0" w:line="267" w:lineRule="auto"/>
        <w:rPr>
          <w:sz w:val="20"/>
          <w:szCs w:val="20"/>
          <w:color w:val="auto"/>
        </w:rPr>
      </w:pPr>
      <w:r>
        <w:rPr>
          <w:rFonts w:ascii="Arial" w:cs="Arial" w:eastAsia="Arial" w:hAnsi="Arial"/>
          <w:sz w:val="18"/>
          <w:szCs w:val="18"/>
          <w:i w:val="1"/>
          <w:iCs w:val="1"/>
          <w:color w:val="auto"/>
        </w:rPr>
        <w:t>Reference Rate Reform—</w:t>
      </w:r>
      <w:r>
        <w:rPr>
          <w:rFonts w:ascii="Arial" w:cs="Arial" w:eastAsia="Arial" w:hAnsi="Arial"/>
          <w:sz w:val="18"/>
          <w:szCs w:val="18"/>
          <w:color w:val="auto"/>
        </w:rPr>
        <w:t>In March 2020, the FASB issued ASU No. 2020-04,</w:t>
      </w:r>
      <w:r>
        <w:rPr>
          <w:rFonts w:ascii="Arial" w:cs="Arial" w:eastAsia="Arial" w:hAnsi="Arial"/>
          <w:sz w:val="18"/>
          <w:szCs w:val="18"/>
          <w:i w:val="1"/>
          <w:iCs w:val="1"/>
          <w:color w:val="auto"/>
        </w:rPr>
        <w:t xml:space="preserve"> Reference Rate Reform (“ASU 2020-04”).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2020-04 provides optional guidance for entities that are impacted by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interest rate reform. Specifically, ASU 2020-04 allows for contracts under the scope of Topic 310 – Receivables to be accounted for prospectively with the updated interest rate, among other specifications for debt, derivative instruments and other contracts. ASU 2020-04 is effective for fiscal years, and interim periods within those fiscal years, beginning after December 15, 2022. Early application is permitted. The Company is evaluating the impact of this guidance on its condensed consolidated financial statements.</w:t>
      </w:r>
    </w:p>
    <w:p>
      <w:pPr>
        <w:spacing w:after="0" w:line="187" w:lineRule="exact"/>
        <w:rPr>
          <w:sz w:val="20"/>
          <w:szCs w:val="20"/>
          <w:color w:val="auto"/>
        </w:rPr>
      </w:pPr>
    </w:p>
    <w:p>
      <w:pPr>
        <w:ind w:left="120" w:right="220" w:firstLine="551"/>
        <w:spacing w:after="0" w:line="254" w:lineRule="auto"/>
        <w:rPr>
          <w:sz w:val="20"/>
          <w:szCs w:val="20"/>
          <w:color w:val="auto"/>
        </w:rPr>
      </w:pP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In August 2020, the FASB issued ASU No. 2020-06</w:t>
      </w:r>
      <w:r>
        <w:rPr>
          <w:rFonts w:ascii="Arial" w:cs="Arial" w:eastAsia="Arial" w:hAnsi="Arial"/>
          <w:sz w:val="17"/>
          <w:szCs w:val="17"/>
          <w:i w:val="1"/>
          <w:iCs w:val="1"/>
          <w:color w:val="auto"/>
        </w:rPr>
        <w:t xml:space="preserve"> Debt with Conversion and Other Options and Derivatives and Hedging – Contracts in Entity’s Own Equity </w:t>
      </w:r>
      <w:r>
        <w:rPr>
          <w:rFonts w:ascii="Arial" w:cs="Arial" w:eastAsia="Arial" w:hAnsi="Arial"/>
          <w:sz w:val="17"/>
          <w:szCs w:val="17"/>
          <w:color w:val="auto"/>
        </w:rPr>
        <w:t>(“ASU 2020-06”). ASU 2020-06 addresses the complexity</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applying guidance for certain financial instruments with characteristics of liabilities and equity by amending the guidance on convertible instruments and derivatives scope exceptions for contracts in an entity’s own equity. For convertible instruments ASU</w:t>
      </w:r>
    </w:p>
    <w:p>
      <w:pPr>
        <w:ind w:left="120" w:right="60"/>
        <w:spacing w:after="0" w:line="237" w:lineRule="auto"/>
        <w:rPr>
          <w:sz w:val="20"/>
          <w:szCs w:val="20"/>
          <w:color w:val="auto"/>
        </w:rPr>
      </w:pPr>
      <w:r>
        <w:rPr>
          <w:rFonts w:ascii="Arial" w:cs="Arial" w:eastAsia="Arial" w:hAnsi="Arial"/>
          <w:sz w:val="18"/>
          <w:szCs w:val="18"/>
          <w:color w:val="auto"/>
        </w:rPr>
        <w:t>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(EPS) guidance. ASU 2020-06 is effective for fiscal years and interim periods within those fiscal years, beginning after December 15, 2021 with early adoption permitted no earlier than fiscal years beginning after December 15, 2020. The Company is evaluating the impact of this guidance on its condensed consolidated financial statements.</w:t>
      </w:r>
    </w:p>
    <w:p>
      <w:pPr>
        <w:spacing w:after="0" w:line="329" w:lineRule="exact"/>
        <w:rPr>
          <w:sz w:val="20"/>
          <w:szCs w:val="20"/>
          <w:color w:val="auto"/>
        </w:rPr>
      </w:pPr>
    </w:p>
    <w:p>
      <w:pPr>
        <w:ind w:left="660" w:hanging="544"/>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6"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10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5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20" w:type="dxa"/>
            <w:vAlign w:val="bottom"/>
            <w:tcBorders>
              <w:top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Over time</w:t>
            </w:r>
          </w:p>
        </w:tc>
        <w:tc>
          <w:tcPr>
            <w:tcW w:w="3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$ 494,295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$ 503,052</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654,164</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Point in time</w:t>
            </w:r>
          </w:p>
        </w:tc>
        <w:tc>
          <w:tcPr>
            <w:tcW w:w="3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24,691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30,245</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47,825</w:t>
            </w:r>
          </w:p>
        </w:tc>
      </w:tr>
      <w:tr>
        <w:trPr>
          <w:trHeight w:val="27"/>
        </w:trPr>
        <w:tc>
          <w:tcPr>
            <w:tcW w:w="4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3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$ 518,986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9"/>
              </w:rPr>
              <w:t>$ 533,297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701,989</w:t>
            </w:r>
          </w:p>
        </w:tc>
      </w:tr>
    </w:tbl>
    <w:p>
      <w:pPr>
        <w:spacing w:after="0" w:line="21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 Reimbursable expenses billed to clients was $6.5 million, $6.7 million, and $7.3 million for the years ended December 31, 2020, 2019, and 2018,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Transaction-related Advisory Services</w:t>
      </w:r>
    </w:p>
    <w:p>
      <w:pPr>
        <w:spacing w:after="0" w:line="12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Company is contracted to provide different investment banking and advisory services that vary depending on the nature of the contract with each individual client. These transaction-related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80"/>
        <w:spacing w:after="0" w:line="251" w:lineRule="auto"/>
        <w:rPr>
          <w:sz w:val="20"/>
          <w:szCs w:val="20"/>
          <w:color w:val="auto"/>
        </w:rPr>
      </w:pPr>
      <w:r>
        <w:rPr>
          <w:rFonts w:ascii="Arial" w:cs="Arial" w:eastAsia="Arial" w:hAnsi="Arial"/>
          <w:sz w:val="17"/>
          <w:szCs w:val="17"/>
          <w:color w:val="auto"/>
        </w:rPr>
        <w:t>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19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205"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Fairness Opinion Services</w:t>
      </w:r>
    </w:p>
    <w:p>
      <w:pPr>
        <w:spacing w:after="0" w:line="12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Trading Services</w:t>
      </w:r>
    </w:p>
    <w:p>
      <w:pPr>
        <w:spacing w:after="0" w:line="230"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 Company in the normal course of business; rather, trade execution is used as a means to be compensated for research services).</w:t>
      </w:r>
    </w:p>
    <w:p>
      <w:pPr>
        <w:spacing w:after="0" w:line="204"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Services</w:t>
      </w:r>
    </w:p>
    <w:p>
      <w:pPr>
        <w:spacing w:after="0" w:line="12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Revenue associated with underwriting services includes management fees, selling concessions and underwriting fees attributable to public and private offerings of equity and debt securities.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w:t>
      </w:r>
    </w:p>
    <w:p>
      <w:pPr>
        <w:spacing w:after="0" w:line="122"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As of December 31, 2020, the aggregate amount of the transaction price allocated to performance obligations yet to be satisfied is $18.0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20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During the years ended December 31, 2020, 2019, and 2018, the Company recognized revenue of $177.4 million, $217.9 million, and $322.8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22"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97"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40"/>
        <w:spacing w:after="0" w:line="234" w:lineRule="auto"/>
        <w:rPr>
          <w:sz w:val="20"/>
          <w:szCs w:val="20"/>
          <w:color w:val="auto"/>
        </w:rPr>
      </w:pPr>
      <w:r>
        <w:rPr>
          <w:rFonts w:ascii="Arial" w:cs="Arial" w:eastAsia="Arial" w:hAnsi="Arial"/>
          <w:sz w:val="18"/>
          <w:szCs w:val="18"/>
          <w:color w:val="auto"/>
        </w:rPr>
        <w:t>consideration before all performance obligations are complete (e.g., receipt of certain announcement, retainer or upfront fees before the performance obligation has been fully satisfied). As of December 31, 2020 and 2019, the Company recorded $10.6 million and</w:t>
      </w:r>
    </w:p>
    <w:p>
      <w:pPr>
        <w:spacing w:after="0" w:line="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$1.7 million, respectively, for these contract liabilities which are presented as Deferred revenue within the Consolidated Statements of Financial Condition. For the years ended December 31, 2020, 2019, and 2018, $1.7 million, $1.6 million and $0.4 million, of the respective beginning deferred revenue balance was recognized as revenue and was primarily related to the Company’s transaction-related advisory services performance obligations, which are recognized over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activity for the years ended December 31, 2020, 2019, and 2018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360" w:type="dxa"/>
            <w:vAlign w:val="bottom"/>
          </w:tcPr>
          <w:p>
            <w:pPr>
              <w:spacing w:after="0"/>
              <w:rPr>
                <w:sz w:val="13"/>
                <w:szCs w:val="13"/>
                <w:color w:val="auto"/>
              </w:rPr>
            </w:pPr>
          </w:p>
        </w:tc>
        <w:tc>
          <w:tcPr>
            <w:tcW w:w="620" w:type="dxa"/>
            <w:vAlign w:val="bottom"/>
          </w:tcPr>
          <w:p>
            <w:pPr>
              <w:jc w:val="right"/>
              <w:ind w:right="55"/>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 (1)</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9"/>
              </w:rPr>
              <w:t>$ 1,924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Bad debt expense</w:t>
            </w: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2,991</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2,270</w:t>
            </w:r>
          </w:p>
        </w:tc>
        <w:tc>
          <w:tcPr>
            <w:tcW w:w="10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(3,588)</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(400)</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and other adjustments</w:t>
            </w: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(282)</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9"/>
              </w:rPr>
              <w:t>$ 1,045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1,736</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660" w:right="240" w:hanging="544"/>
        <w:spacing w:after="0" w:line="261"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Beginning balance for the year ended December 31, 2020 includes the cumulative adjustment of $0.2 million which reflects the increase in the Company’s Allowance for Credit Losses as a result of the use of the current expected credit loss model related to the adoption of ASU 2016-13 on January 1, 2020. See Note 2 Summary of Significant Accounting Policies for further information.</w:t>
      </w:r>
    </w:p>
    <w:p>
      <w:pPr>
        <w:spacing w:after="0" w:line="312" w:lineRule="exact"/>
        <w:rPr>
          <w:sz w:val="20"/>
          <w:szCs w:val="20"/>
          <w:color w:val="auto"/>
        </w:rPr>
      </w:pPr>
    </w:p>
    <w:p>
      <w:pPr>
        <w:ind w:left="660" w:hanging="544"/>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Company’s office lease terms range from 5 to 20 years while the office equipment leases range from 1 to 5 years.</w:t>
      </w:r>
    </w:p>
    <w:p>
      <w:pPr>
        <w:spacing w:after="0" w:line="197"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As allowed with practical expedient in ASC 842, the Company elected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206" w:lineRule="exact"/>
        <w:rPr>
          <w:sz w:val="20"/>
          <w:szCs w:val="20"/>
          <w:color w:val="auto"/>
        </w:rPr>
      </w:pPr>
    </w:p>
    <w:p>
      <w:pPr>
        <w:jc w:val="both"/>
        <w:ind w:left="120" w:right="20" w:firstLine="551"/>
        <w:spacing w:after="0" w:line="237" w:lineRule="auto"/>
        <w:rPr>
          <w:sz w:val="20"/>
          <w:szCs w:val="20"/>
          <w:color w:val="auto"/>
        </w:rPr>
      </w:pPr>
      <w:r>
        <w:rPr>
          <w:rFonts w:ascii="Arial" w:cs="Arial" w:eastAsia="Arial" w:hAnsi="Arial"/>
          <w:sz w:val="18"/>
          <w:szCs w:val="18"/>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As allowed with practical expedient in ASC 842, the Company elected not to separate lease components and non-lease components (electricity charges) for these subleases. See additional information regarding these subleases at Note 12—Related Party Transactions.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 as well as a $0.1 million gain which was recognized as Other income (expense) on the Condensed Consolidated Statements of Operations and Comprehensive Loss.</w:t>
      </w:r>
    </w:p>
    <w:p>
      <w:pPr>
        <w:spacing w:after="0" w:line="202"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In December 2020, the Company modified the terms of its Calgary office space lease extending the lease term, expanding the office space and amending the annual rent of the original space. The amendment also provided for a tenant incentive allowance to be used to build out the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jc w:val="right"/>
              <w:ind w:right="26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discount rate - operating leases</w:t>
            </w:r>
          </w:p>
        </w:tc>
        <w:tc>
          <w:tcPr>
            <w:tcW w:w="1000" w:type="dxa"/>
            <w:vAlign w:val="bottom"/>
            <w:gridSpan w:val="2"/>
            <w:shd w:val="clear" w:color="auto" w:fill="CCEEFF"/>
          </w:tcPr>
          <w:p>
            <w:pPr>
              <w:jc w:val="right"/>
              <w:ind w:right="161"/>
              <w:spacing w:after="0" w:line="196" w:lineRule="exact"/>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7"/>
                <w:szCs w:val="17"/>
                <w:color w:val="auto"/>
              </w:rPr>
            </w:pPr>
          </w:p>
        </w:tc>
      </w:tr>
      <w:tr>
        <w:trPr>
          <w:trHeight w:val="217"/>
        </w:trPr>
        <w:tc>
          <w:tcPr>
            <w:tcW w:w="890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220" w:type="dxa"/>
            <w:vAlign w:val="bottom"/>
            <w:gridSpan w:val="4"/>
          </w:tcPr>
          <w:p>
            <w:pPr>
              <w:jc w:val="right"/>
              <w:ind w:right="300"/>
              <w:spacing w:after="0"/>
              <w:rPr>
                <w:sz w:val="20"/>
                <w:szCs w:val="20"/>
                <w:color w:val="auto"/>
              </w:rPr>
            </w:pPr>
            <w:r>
              <w:rPr>
                <w:rFonts w:ascii="Arial" w:cs="Arial" w:eastAsia="Arial" w:hAnsi="Arial"/>
                <w:sz w:val="18"/>
                <w:szCs w:val="18"/>
                <w:color w:val="auto"/>
              </w:rPr>
              <w:t>3.99 years</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4.5 years</w:t>
            </w:r>
          </w:p>
        </w:tc>
      </w:tr>
      <w:tr>
        <w:trPr>
          <w:trHeight w:val="377"/>
        </w:trPr>
        <w:tc>
          <w:tcPr>
            <w:tcW w:w="8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96"/>
        </w:trPr>
        <w:tc>
          <w:tcPr>
            <w:tcW w:w="8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$19,486</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$19,657</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0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6,145</w:t>
            </w:r>
          </w:p>
        </w:tc>
        <w:tc>
          <w:tcPr>
            <w:tcW w:w="200" w:type="dxa"/>
            <w:vAlign w:val="bottom"/>
          </w:tcPr>
          <w:p>
            <w:pPr>
              <w:spacing w:after="0"/>
              <w:rPr>
                <w:sz w:val="17"/>
                <w:szCs w:val="17"/>
                <w:color w:val="auto"/>
              </w:rPr>
            </w:pPr>
          </w:p>
        </w:tc>
        <w:tc>
          <w:tcPr>
            <w:tcW w:w="9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5,592</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revenue - operating leases</w:t>
            </w:r>
          </w:p>
        </w:tc>
        <w:tc>
          <w:tcPr>
            <w:tcW w:w="3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(3,942)</w:t>
            </w: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(3,366)</w:t>
            </w:r>
          </w:p>
        </w:tc>
      </w:tr>
      <w:tr>
        <w:trPr>
          <w:trHeight w:val="209"/>
        </w:trPr>
        <w:tc>
          <w:tcPr>
            <w:tcW w:w="8900" w:type="dxa"/>
            <w:vAlign w:val="bottom"/>
          </w:tcPr>
          <w:p>
            <w:pPr>
              <w:spacing w:after="0"/>
              <w:rPr>
                <w:sz w:val="20"/>
                <w:szCs w:val="20"/>
                <w:color w:val="auto"/>
              </w:rPr>
            </w:pPr>
            <w:r>
              <w:rPr>
                <w:rFonts w:ascii="Arial" w:cs="Arial" w:eastAsia="Arial" w:hAnsi="Arial"/>
                <w:sz w:val="18"/>
                <w:szCs w:val="18"/>
                <w:color w:val="auto"/>
              </w:rPr>
              <w:t>Total net lease cost</w:t>
            </w:r>
          </w:p>
        </w:tc>
        <w:tc>
          <w:tcPr>
            <w:tcW w:w="3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21,883</w:t>
            </w:r>
          </w:p>
        </w:tc>
        <w:tc>
          <w:tcPr>
            <w:tcW w:w="12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lease obligation</w:t>
            </w:r>
          </w:p>
        </w:tc>
        <w:tc>
          <w:tcPr>
            <w:tcW w:w="102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$21,532</w:t>
            </w: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$21,545</w:t>
            </w:r>
          </w:p>
        </w:tc>
      </w:tr>
    </w:tbl>
    <w:p>
      <w:pPr>
        <w:spacing w:after="0" w:line="215" w:lineRule="exact"/>
        <w:rPr>
          <w:sz w:val="20"/>
          <w:szCs w:val="20"/>
          <w:color w:val="auto"/>
        </w:rPr>
      </w:pPr>
    </w:p>
    <w:p>
      <w:pPr>
        <w:jc w:val="both"/>
        <w:ind w:left="120" w:right="60" w:firstLine="551"/>
        <w:spacing w:after="0" w:line="246" w:lineRule="auto"/>
        <w:rPr>
          <w:sz w:val="20"/>
          <w:szCs w:val="20"/>
          <w:color w:val="auto"/>
        </w:rPr>
      </w:pPr>
      <w:r>
        <w:rPr>
          <w:rFonts w:ascii="Arial" w:cs="Arial" w:eastAsia="Arial" w:hAnsi="Arial"/>
          <w:sz w:val="18"/>
          <w:szCs w:val="18"/>
          <w:color w:val="auto"/>
        </w:rPr>
        <w:t>For the year ended December 31, 2018, aggregate rent expense was $17.3 million which is included in Rent and occupancy on the Consolidated Statements of Operations and Comprehensive Loss.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maturities of the undiscounted operating lease liabilities for which the Company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Operating</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Sublease</w:t>
            </w: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2"/>
        </w:trPr>
        <w:tc>
          <w:tcPr>
            <w:tcW w:w="8120" w:type="dxa"/>
            <w:vAlign w:val="bottom"/>
            <w:gridSpan w:val="2"/>
            <w:vMerge w:val="continue"/>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Leases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90"/>
        </w:trPr>
        <w:tc>
          <w:tcPr>
            <w:tcW w:w="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2021</w:t>
            </w:r>
          </w:p>
        </w:tc>
        <w:tc>
          <w:tcPr>
            <w:tcW w:w="7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$ 20,032</w:t>
            </w: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$ 2,509</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$ 17,523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7160" w:type="dxa"/>
            <w:vAlign w:val="bottom"/>
          </w:tcPr>
          <w:p>
            <w:pPr>
              <w:spacing w:after="0"/>
              <w:rPr>
                <w:sz w:val="17"/>
                <w:szCs w:val="17"/>
                <w:color w:val="auto"/>
              </w:rPr>
            </w:pP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19,635</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378</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03"/>
        </w:trPr>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7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9,155</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188</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7160" w:type="dxa"/>
            <w:vAlign w:val="bottom"/>
          </w:tcPr>
          <w:p>
            <w:pPr>
              <w:spacing w:after="0"/>
              <w:rPr>
                <w:sz w:val="17"/>
                <w:szCs w:val="17"/>
                <w:color w:val="auto"/>
              </w:rPr>
            </w:pP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4,960</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192</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03"/>
        </w:trPr>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7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3,462</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195</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5,966</w:t>
            </w:r>
          </w:p>
        </w:tc>
        <w:tc>
          <w:tcPr>
            <w:tcW w:w="44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minimum lease payments</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63,210</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$ 3,796</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$ 59,414</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Less: Imputed Interest</w:t>
            </w: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(4,981)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lease liabilities</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$ 58,229</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120" w:right="7820" w:hanging="4"/>
        <w:spacing w:after="0" w:line="372" w:lineRule="auto"/>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2020, 2019, and 2018.</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related to the TPH Business Combination were recognized at their estimated fair values in accordance with ASC</w:t>
      </w:r>
    </w:p>
    <w:p>
      <w:pPr>
        <w:jc w:val="both"/>
        <w:ind w:left="120" w:right="140" w:hanging="4"/>
        <w:spacing w:after="0"/>
        <w:tabs>
          <w:tab w:leader="none" w:pos="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determined the fair value of the intangible assets based on the related projected future revenues as of the date of the TPH Business Combination. The determination of fair value involved the use of significant judgment and estimation. Below is the detail of the intangible assets acquired: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79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79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$47,400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(19,355)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$28,045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(7,513)</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10,887</w:t>
            </w:r>
          </w:p>
        </w:tc>
      </w:tr>
      <w:tr>
        <w:trPr>
          <w:trHeight w:val="27"/>
        </w:trPr>
        <w:tc>
          <w:tcPr>
            <w:tcW w:w="7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65,800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(26,868)</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38,932</w:t>
            </w:r>
          </w:p>
        </w:tc>
      </w:tr>
      <w:tr>
        <w:trPr>
          <w:trHeight w:val="20"/>
        </w:trPr>
        <w:tc>
          <w:tcPr>
            <w:tcW w:w="7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79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79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79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$47,400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(14,615)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$32,785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(5,673)</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12,727</w:t>
            </w:r>
          </w:p>
        </w:tc>
      </w:tr>
      <w:tr>
        <w:trPr>
          <w:trHeight w:val="27"/>
        </w:trPr>
        <w:tc>
          <w:tcPr>
            <w:tcW w:w="7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65,800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(20,288)</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45,512</w:t>
            </w:r>
          </w:p>
        </w:tc>
      </w:tr>
      <w:tr>
        <w:trPr>
          <w:trHeight w:val="20"/>
        </w:trPr>
        <w:tc>
          <w:tcPr>
            <w:tcW w:w="7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intangible assets are amortized over an average useful life of 10 years. For each of the years ended December 31, 2020,</w:t>
      </w:r>
    </w:p>
    <w:p>
      <w:pPr>
        <w:ind w:left="120"/>
        <w:spacing w:after="0" w:line="234" w:lineRule="auto"/>
        <w:rPr>
          <w:sz w:val="20"/>
          <w:szCs w:val="20"/>
          <w:color w:val="auto"/>
        </w:rPr>
      </w:pPr>
      <w:r>
        <w:rPr>
          <w:rFonts w:ascii="Arial" w:cs="Arial" w:eastAsia="Arial" w:hAnsi="Arial"/>
          <w:sz w:val="18"/>
          <w:szCs w:val="18"/>
          <w:color w:val="auto"/>
        </w:rPr>
        <w:t>2019, and 2018, intangible amortization expense was $6.6 million, which is included in Depreciation and amortization in the Consolidated</w:t>
      </w:r>
    </w:p>
    <w:p>
      <w:pPr>
        <w:ind w:left="120"/>
        <w:spacing w:after="0" w:line="235" w:lineRule="auto"/>
        <w:rPr>
          <w:sz w:val="20"/>
          <w:szCs w:val="20"/>
          <w:color w:val="auto"/>
        </w:rPr>
      </w:pPr>
      <w:r>
        <w:rPr>
          <w:rFonts w:ascii="Arial" w:cs="Arial" w:eastAsia="Arial" w:hAnsi="Arial"/>
          <w:sz w:val="18"/>
          <w:szCs w:val="18"/>
          <w:color w:val="auto"/>
        </w:rPr>
        <w:t>Statements of Operations and Comprehensive Loss. Amortization of intangible assets held at December 31, 2020 is expected to be</w:t>
      </w:r>
    </w:p>
    <w:p>
      <w:pPr>
        <w:ind w:left="120"/>
        <w:spacing w:after="0" w:line="235" w:lineRule="auto"/>
        <w:rPr>
          <w:sz w:val="20"/>
          <w:szCs w:val="20"/>
          <w:color w:val="auto"/>
        </w:rPr>
      </w:pPr>
      <w:r>
        <w:rPr>
          <w:rFonts w:ascii="Arial" w:cs="Arial" w:eastAsia="Arial" w:hAnsi="Arial"/>
          <w:sz w:val="18"/>
          <w:szCs w:val="18"/>
          <w:color w:val="auto"/>
        </w:rPr>
        <w:t>$6.6 million for each of the years ending December 31, 2021, 2022, 2023, 2024, and 2025. These intangible assets will be fully amortized</w:t>
      </w:r>
    </w:p>
    <w:p>
      <w:pPr>
        <w:ind w:left="120"/>
        <w:spacing w:after="0"/>
        <w:rPr>
          <w:sz w:val="20"/>
          <w:szCs w:val="20"/>
          <w:color w:val="auto"/>
        </w:rPr>
      </w:pPr>
      <w:r>
        <w:rPr>
          <w:rFonts w:ascii="Arial" w:cs="Arial" w:eastAsia="Arial" w:hAnsi="Arial"/>
          <w:sz w:val="18"/>
          <w:szCs w:val="18"/>
          <w:color w:val="auto"/>
        </w:rPr>
        <w:t>by November 30, 2026.</w:t>
      </w:r>
    </w:p>
    <w:p>
      <w:pPr>
        <w:spacing w:after="0" w:line="338" w:lineRule="exact"/>
        <w:rPr>
          <w:sz w:val="20"/>
          <w:szCs w:val="20"/>
          <w:color w:val="auto"/>
        </w:rPr>
      </w:pPr>
    </w:p>
    <w:p>
      <w:pPr>
        <w:ind w:left="660" w:hanging="544"/>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Requirements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205"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Perella Weinberg Partners LP (“PWP LP”) and TPH Securities, as subsidiaries of the Company, are and Tudor, Pickering, Holt &amp; Co. Advisors LP (“TPH Advisors”), as a subsidiary of the Company prior to its merger with PWP LP was, subject to the SEC Uniform Net Capital Rule (SEC Rule 15c3-1). As of December 31, 2020 and 2019, PWP LP, TPH Securities and TPH Advisors had combined net capital of $54.8 million and $57.1 million, respectively, which were $52.9 million and $56.0 million in excess of their combined individual minimum capital requirements as of each respective year. Effective January 1, 2021, TPH Advisors merged with PWP LP and became one operating entity as part of an internal reorganization. There was no material impact to regulatory requirements as a result of this reorganization.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Perella Weinberg Partners UK LLP (“PWP UK LLP”) undertook an ordinary course reorganization in order to simplify and streamline its global structure and for regulatory reasons (the “UK Reorganization”). As part of this reorganization, effective March 31, 2020, the business of PWP UK LLP was transferred to a new limited liability company, Perella Weinberg UK Ltd (“PWP UK Ltd”) following receipt of the FCA’s approval for the change of legal status. PWP UK Ltd is and prior to the UK Reorganization, PWP UK LLP was subject to FCA capital adequacy rules. As of each of the years ended December 31, 2020 and 2019, PWP UK Ltd and PWP UK LLP, respectively had equity of £31.9 million and £28.5 million, which was £20.0 million and £19.0 million, respectively, in excess of its minimum capital requirement. Tudor, Pickering, Holt &amp; Co. International, LLP was not subject to FCA regulations for the periods presented as it was approved for delicensing by the FCA on April 26, 2018 and placed into liquidation in September 2019.</w:t>
      </w:r>
    </w:p>
    <w:p>
      <w:pPr>
        <w:spacing w:after="0" w:line="208"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Tudor, Pickering, Holt &amp; Co. Securities Canada, ULC (“TPH Canada”) is subject to the IIROC Dealer Member Rule 17 regarding minimum capital requirements. At December 31, 2020 and 2019, TPH Canada had total equity of C$7.8 million and C$3.8 million, respectively, which was C$7.5 million and C$3.5 million, in excess of its minimum capital requirement for each respective year.</w:t>
      </w:r>
    </w:p>
    <w:p>
      <w:pPr>
        <w:spacing w:after="0" w:line="20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The ACPR license of Perella Weinberg Partners France S.A.S. (“PWP France”) became effective November 20, 2020; however, it was granted an exemption from regulatory reporting until March 2021. The broker-dealer is classified as an investment firm (entreprise d’investissement) and currently the minimum capital requirement is €50.0 thousand.</w:t>
      </w:r>
    </w:p>
    <w:p>
      <w:pPr>
        <w:spacing w:after="0" w:line="216"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323" w:lineRule="exact"/>
        <w:rPr>
          <w:sz w:val="20"/>
          <w:szCs w:val="20"/>
          <w:color w:val="auto"/>
        </w:rPr>
      </w:pPr>
    </w:p>
    <w:p>
      <w:pPr>
        <w:ind w:left="660" w:hanging="544"/>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Fixed assets are recorded at cost less accumulated depreciation and amortization and consist of the following as of December 31, 2020 and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49,718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48,265</w:t>
            </w:r>
          </w:p>
        </w:tc>
        <w:tc>
          <w:tcPr>
            <w:tcW w:w="12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8,606</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8,189</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35,293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33,501</w:t>
            </w:r>
          </w:p>
        </w:tc>
      </w:tr>
      <w:tr>
        <w:trPr>
          <w:trHeight w:val="210"/>
        </w:trPr>
        <w:tc>
          <w:tcPr>
            <w:tcW w:w="890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14,395</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13,538</w:t>
            </w:r>
          </w:p>
        </w:tc>
        <w:tc>
          <w:tcPr>
            <w:tcW w:w="120" w:type="dxa"/>
            <w:vAlign w:val="bottom"/>
          </w:tcPr>
          <w:p>
            <w:pPr>
              <w:spacing w:after="0"/>
              <w:rPr>
                <w:sz w:val="18"/>
                <w:szCs w:val="18"/>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108,012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103,493</w:t>
            </w:r>
          </w:p>
        </w:tc>
      </w:tr>
      <w:tr>
        <w:trPr>
          <w:trHeight w:val="210"/>
        </w:trPr>
        <w:tc>
          <w:tcPr>
            <w:tcW w:w="89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(90,823)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(82,831)</w:t>
            </w: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Fixed assets, net</w:t>
            </w: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17,189</w:t>
            </w: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20,662</w:t>
            </w:r>
          </w:p>
        </w:tc>
        <w:tc>
          <w:tcPr>
            <w:tcW w:w="120" w:type="dxa"/>
            <w:vAlign w:val="bottom"/>
            <w:shd w:val="clear" w:color="auto" w:fill="CCEEFF"/>
          </w:tcPr>
          <w:p>
            <w:pPr>
              <w:spacing w:after="0"/>
              <w:rPr>
                <w:sz w:val="17"/>
                <w:szCs w:val="17"/>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60" w:firstLine="551"/>
        <w:spacing w:after="0"/>
        <w:rPr>
          <w:sz w:val="20"/>
          <w:szCs w:val="20"/>
          <w:color w:val="auto"/>
        </w:rPr>
      </w:pPr>
      <w:r>
        <w:rPr>
          <w:rFonts w:ascii="Arial" w:cs="Arial" w:eastAsia="Arial" w:hAnsi="Arial"/>
          <w:sz w:val="18"/>
          <w:szCs w:val="18"/>
          <w:color w:val="auto"/>
        </w:rPr>
        <w:t>Depreciation expense related to fixed assets was $7.3 million, $7.8 million, and $7.6 million for the years ended December 31, 2020, 2019, and 2018, respectively. Amortization expense related to software development costs was $1.7 million, $1.5 million, and $2.1 million for the years ended December 31, 2020, 2019, and 2018, respectively.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TPH Canada, PWP UK Ltd, PWP France and Perella Weinberg GmbH (“PWP Germany”) are treated as corporations in their respective foreign jurisdictions. The limited partners of the Company are individually liable for taxes on their allocable share of the Company’s taxable income or loss. The net tax basis in the Company’s assets and liabilities is less than the reported amounts on the financial statements by approximately $2.2 million and $38.2 million respectively, as of December 31, 2020 and 2019.</w:t>
      </w:r>
    </w:p>
    <w:p>
      <w:pPr>
        <w:spacing w:after="0" w:line="202"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For the nine months ended September 30, 2019 and the year ended December 31, 2018, TPH Securities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w:t>
      </w:r>
    </w:p>
    <w:p>
      <w:pPr>
        <w:spacing w:after="0" w:line="187" w:lineRule="exact"/>
        <w:rPr>
          <w:sz w:val="20"/>
          <w:szCs w:val="20"/>
          <w:color w:val="auto"/>
        </w:rPr>
      </w:pPr>
    </w:p>
    <w:p>
      <w:pPr>
        <w:ind w:left="120" w:right="160" w:firstLine="551"/>
        <w:spacing w:after="0" w:line="267" w:lineRule="auto"/>
        <w:rPr>
          <w:sz w:val="20"/>
          <w:szCs w:val="20"/>
          <w:color w:val="auto"/>
        </w:rPr>
      </w:pPr>
      <w:r>
        <w:rPr>
          <w:rFonts w:ascii="Arial" w:cs="Arial" w:eastAsia="Arial" w:hAnsi="Arial"/>
          <w:sz w:val="18"/>
          <w:szCs w:val="18"/>
          <w:i w:val="1"/>
          <w:iCs w:val="1"/>
          <w:color w:val="auto"/>
        </w:rPr>
        <w:t>Federal Income Taxes</w:t>
      </w:r>
      <w:r>
        <w:rPr>
          <w:rFonts w:ascii="Arial" w:cs="Arial" w:eastAsia="Arial" w:hAnsi="Arial"/>
          <w:sz w:val="18"/>
          <w:szCs w:val="18"/>
          <w:color w:val="auto"/>
        </w:rPr>
        <w:t>—For the nine months ended September 30, 2019 and the year ended December 31, 2018, TPH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a C corporation and the Company’s only taxable subsidiary for U.S. federal income tax purposes.</w:t>
      </w:r>
    </w:p>
    <w:p>
      <w:pPr>
        <w:spacing w:after="0" w:line="160"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7"/>
          <w:szCs w:val="17"/>
          <w:i w:val="1"/>
          <w:iCs w:val="1"/>
          <w:color w:val="auto"/>
        </w:rPr>
        <w:t>State and Local Taxes</w:t>
      </w:r>
      <w:r>
        <w:rPr>
          <w:rFonts w:ascii="Arial" w:cs="Arial" w:eastAsia="Arial" w:hAnsi="Arial"/>
          <w:sz w:val="17"/>
          <w:szCs w:val="17"/>
          <w:color w:val="auto"/>
        </w:rPr>
        <w:t>—The Company is subject to New York City unincorporated business tax (“UBT”). The Company is also</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Texas franchise tax which is based on modified gross revenue. For the nine months ended September 30, 2019 and the year ended December 31, 2018, TPH Securities was subject to state and local corporate income tax in Colorado, New York, and New York City.</w:t>
      </w:r>
    </w:p>
    <w:p>
      <w:pPr>
        <w:spacing w:after="0" w:line="159" w:lineRule="exact"/>
        <w:rPr>
          <w:sz w:val="20"/>
          <w:szCs w:val="20"/>
          <w:color w:val="auto"/>
        </w:rPr>
      </w:pPr>
    </w:p>
    <w:p>
      <w:pPr>
        <w:ind w:left="120" w:right="200" w:firstLine="551"/>
        <w:spacing w:after="0" w:line="267" w:lineRule="auto"/>
        <w:rPr>
          <w:sz w:val="20"/>
          <w:szCs w:val="20"/>
          <w:color w:val="auto"/>
        </w:rPr>
      </w:pPr>
      <w:r>
        <w:rPr>
          <w:rFonts w:ascii="Arial" w:cs="Arial" w:eastAsia="Arial" w:hAnsi="Arial"/>
          <w:sz w:val="18"/>
          <w:szCs w:val="18"/>
          <w:i w:val="1"/>
          <w:iCs w:val="1"/>
          <w:color w:val="auto"/>
        </w:rPr>
        <w:t>Foreign Income Taxes</w:t>
      </w:r>
      <w:r>
        <w:rPr>
          <w:rFonts w:ascii="Arial" w:cs="Arial" w:eastAsia="Arial" w:hAnsi="Arial"/>
          <w:sz w:val="18"/>
          <w:szCs w:val="18"/>
          <w:color w:val="auto"/>
        </w:rPr>
        <w:t>—TPH Canada, PWP UK Ltd, PWP France and PWP Germany are subject to corporate income tax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foreign jurisdictions.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86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32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236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U.S.</w:t>
            </w:r>
          </w:p>
        </w:tc>
        <w:tc>
          <w:tcPr>
            <w:tcW w:w="36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$(33,803)</w:t>
            </w:r>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$(176,157)</w:t>
            </w: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 (125,910)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Non-U.S.</w:t>
            </w:r>
          </w:p>
        </w:tc>
        <w:tc>
          <w:tcPr>
            <w:tcW w:w="36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12,914</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14,561</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(loss) before income taxes</w:t>
            </w:r>
          </w:p>
        </w:tc>
        <w:tc>
          <w:tcPr>
            <w:tcW w:w="36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(20,889)</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(161,596)</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(123,215)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60" w:type="dxa"/>
            <w:vAlign w:val="bottom"/>
            <w:gridSpan w:val="3"/>
          </w:tcPr>
          <w:p>
            <w:pPr>
              <w:jc w:val="right"/>
              <w:ind w:right="3200"/>
              <w:spacing w:after="0"/>
              <w:rPr>
                <w:sz w:val="20"/>
                <w:szCs w:val="20"/>
                <w:color w:val="auto"/>
              </w:rPr>
            </w:pPr>
            <w:r>
              <w:rPr>
                <w:rFonts w:ascii="Arial" w:cs="Arial" w:eastAsia="Arial" w:hAnsi="Arial"/>
                <w:sz w:val="18"/>
                <w:szCs w:val="18"/>
                <w:color w:val="auto"/>
              </w:rPr>
              <w:t>F-75</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The current and deferred components of the income tax provision for the years ended December 31, 2020, 2019, and 2018 are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8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3"/>
        </w:trPr>
        <w:tc>
          <w:tcPr>
            <w:tcW w:w="5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Current</w:t>
            </w:r>
          </w:p>
        </w:tc>
        <w:tc>
          <w:tcPr>
            <w:tcW w:w="1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80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1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w:t>
            </w:r>
          </w:p>
        </w:tc>
      </w:tr>
      <w:tr>
        <w:trPr>
          <w:trHeight w:val="203"/>
        </w:trPr>
        <w:tc>
          <w:tcPr>
            <w:tcW w:w="5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(1,427)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(1,480)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(2,106)</w:t>
            </w:r>
          </w:p>
        </w:tc>
      </w:tr>
      <w:tr>
        <w:trPr>
          <w:trHeight w:val="203"/>
        </w:trPr>
        <w:tc>
          <w:tcPr>
            <w:tcW w:w="5800" w:type="dxa"/>
            <w:vAlign w:val="bottom"/>
          </w:tcPr>
          <w:p>
            <w:pPr>
              <w:ind w:left="360"/>
              <w:spacing w:after="0" w:line="202" w:lineRule="exact"/>
              <w:rPr>
                <w:sz w:val="20"/>
                <w:szCs w:val="20"/>
                <w:color w:val="auto"/>
              </w:rPr>
            </w:pPr>
            <w:r>
              <w:rPr>
                <w:rFonts w:ascii="Arial" w:cs="Arial" w:eastAsia="Arial" w:hAnsi="Arial"/>
                <w:sz w:val="18"/>
                <w:szCs w:val="18"/>
                <w:color w:val="auto"/>
              </w:rPr>
              <w:t>Foreign</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(2,615)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w:t>
            </w:r>
          </w:p>
        </w:tc>
      </w:tr>
      <w:tr>
        <w:trPr>
          <w:trHeight w:val="27"/>
        </w:trPr>
        <w:tc>
          <w:tcPr>
            <w:tcW w:w="5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income tax benefit (expense)</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(4,042)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(1,732)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(2,135)</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(627)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(471)</w:t>
            </w:r>
          </w:p>
        </w:tc>
      </w:tr>
      <w:tr>
        <w:trPr>
          <w:trHeight w:val="203"/>
        </w:trPr>
        <w:tc>
          <w:tcPr>
            <w:tcW w:w="580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w:t>
            </w:r>
          </w:p>
        </w:tc>
      </w:tr>
      <w:tr>
        <w:trPr>
          <w:trHeight w:val="203"/>
        </w:trPr>
        <w:tc>
          <w:tcPr>
            <w:tcW w:w="5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00" w:type="dxa"/>
            <w:vAlign w:val="bottom"/>
          </w:tcPr>
          <w:p>
            <w:pPr>
              <w:ind w:left="720"/>
              <w:spacing w:after="0"/>
              <w:rPr>
                <w:sz w:val="20"/>
                <w:szCs w:val="20"/>
                <w:color w:val="auto"/>
              </w:rPr>
            </w:pPr>
            <w:r>
              <w:rPr>
                <w:rFonts w:ascii="Arial" w:cs="Arial" w:eastAsia="Arial" w:hAnsi="Arial"/>
                <w:sz w:val="18"/>
                <w:szCs w:val="18"/>
                <w:color w:val="auto"/>
              </w:rPr>
              <w:t>Total deferred income tax benefit (expense)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r>
      <w:tr>
        <w:trPr>
          <w:trHeight w:val="27"/>
        </w:trPr>
        <w:tc>
          <w:tcPr>
            <w:tcW w:w="5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income tax benefit (expense)</w:t>
            </w:r>
          </w:p>
        </w:tc>
        <w:tc>
          <w:tcPr>
            <w:tcW w:w="1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(3,453)</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(2,423)</w:t>
            </w:r>
          </w:p>
        </w:tc>
        <w:tc>
          <w:tcPr>
            <w:tcW w:w="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(2,542)</w:t>
            </w:r>
          </w:p>
        </w:tc>
      </w:tr>
      <w:tr>
        <w:trPr>
          <w:trHeight w:val="20"/>
        </w:trPr>
        <w:tc>
          <w:tcPr>
            <w:tcW w:w="5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The following is a reconciliation of the statutory U.S. federal income tax rate to the Company’s effective income tax rate for the years ended December 31, 2020, 2019, and 2018:</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68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3"/>
                <w:szCs w:val="13"/>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Statutory U.S. Federal income tax rate</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21.00%</w:t>
            </w:r>
          </w:p>
        </w:tc>
        <w:tc>
          <w:tcPr>
            <w:tcW w:w="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21.00%</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21.00%</w:t>
            </w:r>
          </w:p>
        </w:tc>
      </w:tr>
      <w:tr>
        <w:trPr>
          <w:trHeight w:val="202"/>
        </w:trPr>
        <w:tc>
          <w:tcPr>
            <w:tcW w:w="6880" w:type="dxa"/>
            <w:vAlign w:val="bottom"/>
          </w:tcPr>
          <w:p>
            <w:pPr>
              <w:spacing w:after="0" w:line="202" w:lineRule="exact"/>
              <w:rPr>
                <w:sz w:val="20"/>
                <w:szCs w:val="20"/>
                <w:color w:val="auto"/>
              </w:rPr>
            </w:pPr>
            <w:r>
              <w:rPr>
                <w:rFonts w:ascii="Arial" w:cs="Arial" w:eastAsia="Arial" w:hAnsi="Arial"/>
                <w:sz w:val="18"/>
                <w:szCs w:val="18"/>
                <w:color w:val="auto"/>
              </w:rPr>
              <w:t>Partnership income (loss) not subject to corporate tax</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(21.00)%</w:t>
            </w:r>
          </w:p>
        </w:tc>
        <w:tc>
          <w:tcPr>
            <w:tcW w:w="20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(21.11)%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(21.38)%</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(6.83)%</w:t>
            </w:r>
          </w:p>
        </w:tc>
        <w:tc>
          <w:tcPr>
            <w:tcW w:w="20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(0.94)%</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Foreign income taxes, net of federal benefit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(9.70)%</w:t>
            </w:r>
          </w:p>
        </w:tc>
        <w:tc>
          <w:tcPr>
            <w:tcW w:w="20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(0.16)%</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TPH Securities conversion</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(0.25)%</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Meals and entertainment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54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Alternative Minimum Tax credit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(0.04)%</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(16.53)%</w:t>
            </w:r>
          </w:p>
        </w:tc>
        <w:tc>
          <w:tcPr>
            <w:tcW w:w="20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(2.06)%</w:t>
            </w:r>
          </w:p>
        </w:tc>
      </w:tr>
      <w:tr>
        <w:trPr>
          <w:trHeight w:val="20"/>
        </w:trPr>
        <w:tc>
          <w:tcPr>
            <w:tcW w:w="6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40" w:firstLine="551"/>
        <w:spacing w:after="0" w:line="246"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9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Deferred income taxes reflect the net effect of temporary differences between the carrying amount of assets and liabilities for financial reporting purposes and tax purposes. As of December 31, 2020 and December 31, 2019, the Company had deferred tax assets, net of $1.2 million and $0.0 million, respectively. Upon TPH Securities’ conversion to a limited liability company during the year ended December 31, 2019, the Company wrote off the previously recorded net deferred tax assets.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allowance was $1.0 million and $1.3 million as of December 31, 2020 and 2019, respectively. The Company believes that the realization of the remaining deferred tax assets is probable based on expectations of future taxable income in the jurisdiction in which it operates; therefore no additional valuation allowance has been recorded.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income taxes resulted from the following temporary differences as of December 31, 2020 and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91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Deferred tax asset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52</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537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tax loss carryforward</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1,255</w:t>
            </w: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tax assets before valuation allowance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2,278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1,255</w:t>
            </w: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(1,024)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(1,255)</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1,254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liability</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Operating Lease Right of Use Assets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9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120" w:type="dxa"/>
            <w:vAlign w:val="bottom"/>
          </w:tcPr>
          <w:p>
            <w:pPr>
              <w:ind w:left="720"/>
              <w:spacing w:after="0"/>
              <w:rPr>
                <w:sz w:val="20"/>
                <w:szCs w:val="20"/>
                <w:color w:val="auto"/>
              </w:rPr>
            </w:pPr>
            <w:r>
              <w:rPr>
                <w:rFonts w:ascii="Arial" w:cs="Arial" w:eastAsia="Arial" w:hAnsi="Arial"/>
                <w:sz w:val="18"/>
                <w:szCs w:val="18"/>
                <w:color w:val="auto"/>
              </w:rPr>
              <w:t>Total deferred tax liability</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1,214</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Company is subject to taxation in certain U.S. federal, state, local, and foreign jurisdictions. As of December 31, 2020, the Company’s tax years for 2020, 2019, 2018 and 2017 are generally subject to examination by the taxing authorities. TPH Securities is no longer subject to Texas franchise tax or Colorado corporate income tax examination for years after 2019 or before 2016.</w:t>
      </w:r>
    </w:p>
    <w:p>
      <w:pPr>
        <w:spacing w:after="0" w:line="20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The Company evaluated its tax positions and concluded there are no significant uncertain tax positions requiring recognition, measurement or disclosure in the consolidated financial statements as of December 31, 2020 and 2019. The Company does not expect the assessment of uncertain tax positions to significantly change in the next 12 months. During the years ended December 31, 2020, 2019, and 2018, no unrecognized tax benefits, or corresponding interest and penalties, have been recorded based on management’s analysis of the Company’s tax positions for all open tax years.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debt as of December 31, 2020 and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Notes, due 2026</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$150,000</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Revolving Credit Facility, due April 1, 2022, modified Senior Term Loan</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27,690</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37,690</w:t>
            </w:r>
          </w:p>
        </w:tc>
      </w:tr>
      <w:tr>
        <w:trPr>
          <w:trHeight w:val="27"/>
        </w:trPr>
        <w:tc>
          <w:tcPr>
            <w:tcW w:w="9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 facilities</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177,690</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187,690</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Unamortized debt discounts and issuance costs</w:t>
            </w: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(30,725)</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(34,689)</w:t>
            </w:r>
          </w:p>
        </w:tc>
      </w:tr>
      <w:tr>
        <w:trPr>
          <w:trHeight w:val="27"/>
        </w:trPr>
        <w:tc>
          <w:tcPr>
            <w:tcW w:w="9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 net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146,965</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153,001</w:t>
            </w:r>
          </w:p>
        </w:tc>
      </w:tr>
      <w:tr>
        <w:trPr>
          <w:trHeight w:val="20"/>
        </w:trPr>
        <w:tc>
          <w:tcPr>
            <w:tcW w:w="9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 Company issued 7.0% subordinated unsecured convertible notes with a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years ended December 31, 2020 and 2019. Certain of the Convertible Note holders (each herein referred to as a “Holder”) are Partners, refer to Note 12—Related Party Transactions for further information.</w:t>
      </w:r>
    </w:p>
    <w:p>
      <w:pPr>
        <w:spacing w:after="0" w:line="20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207"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In conjunction with executing the business combination agreement with FinTech IV in December 2020, the Company entered into a third amendment to the Existing NPA (the “NPA Third Amendment and, together with Existing NPA, as amended, the “NPA”)reflecting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 Notes, (which amended and restated their existing 2019 Letter Agreements), pursuant to which all of</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holders (the “Redeeming Holders”) have agreed to collectively tender for redemption $150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87" w:lineRule="exact"/>
        <w:rPr>
          <w:sz w:val="20"/>
          <w:szCs w:val="20"/>
          <w:color w:val="auto"/>
        </w:rPr>
      </w:pPr>
    </w:p>
    <w:p>
      <w:pPr>
        <w:jc w:val="both"/>
        <w:ind w:left="120" w:right="100" w:firstLine="551"/>
        <w:spacing w:after="0" w:line="272"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—Upon a monetization event (public offering, a public sale transaction, liquidation or change of control),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will redeem all of the 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77" w:lineRule="exact"/>
        <w:rPr>
          <w:sz w:val="20"/>
          <w:szCs w:val="20"/>
          <w:color w:val="auto"/>
        </w:rPr>
      </w:pPr>
    </w:p>
    <w:p>
      <w:pPr>
        <w:jc w:val="both"/>
        <w:ind w:left="120" w:right="100" w:firstLine="551"/>
        <w:spacing w:after="0" w:line="248" w:lineRule="auto"/>
        <w:rPr>
          <w:sz w:val="20"/>
          <w:szCs w:val="20"/>
          <w:color w:val="auto"/>
        </w:rPr>
      </w:pPr>
      <w:r>
        <w:rPr>
          <w:rFonts w:ascii="Arial" w:cs="Arial" w:eastAsia="Arial" w:hAnsi="Arial"/>
          <w:sz w:val="17"/>
          <w:szCs w:val="17"/>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w:t>
      </w:r>
    </w:p>
    <w:p>
      <w:pPr>
        <w:spacing w:after="0" w:line="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 liquidation or change of control).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 $30.0 million aggregate principal amount of the Convertible Notes then being redeemed, plus all accrued and unpaid interest thereon. As of December 31, 2020 and 2019, none of the Convertible Notes were redeemed.</w:t>
      </w:r>
    </w:p>
    <w:p>
      <w:pPr>
        <w:spacing w:after="0" w:line="185" w:lineRule="exact"/>
        <w:rPr>
          <w:sz w:val="20"/>
          <w:szCs w:val="20"/>
          <w:color w:val="auto"/>
        </w:rPr>
      </w:pPr>
    </w:p>
    <w:p>
      <w:pPr>
        <w:ind w:left="120" w:firstLine="551"/>
        <w:spacing w:after="0" w:line="250" w:lineRule="auto"/>
        <w:rPr>
          <w:sz w:val="20"/>
          <w:szCs w:val="20"/>
          <w:color w:val="auto"/>
        </w:rPr>
      </w:pPr>
      <w:r>
        <w:rPr>
          <w:rFonts w:ascii="Arial" w:cs="Arial" w:eastAsia="Arial" w:hAnsi="Arial"/>
          <w:sz w:val="18"/>
          <w:szCs w:val="18"/>
          <w:i w:val="1"/>
          <w:iCs w:val="1"/>
          <w:color w:val="auto"/>
        </w:rPr>
        <w:t>Optional Conversion</w:t>
      </w:r>
      <w:r>
        <w:rPr>
          <w:rFonts w:ascii="Arial" w:cs="Arial" w:eastAsia="Arial" w:hAnsi="Arial"/>
          <w:sz w:val="18"/>
          <w:szCs w:val="18"/>
          <w:color w:val="auto"/>
        </w:rPr>
        <w:t>—On or prior to the Maturity Date, each Holder has the right at any time to convert all or a portion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Convertible Notes into the Company’s common units at the conversion rate (as set forth in the NPA), plus an amount in cash equal to accrued and unpaid interest. Prior to the NPA First Amendment, the conversion rate prior to November 30, 2021 would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20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7"/>
          <w:szCs w:val="17"/>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As a result of the NPA First Amendment, the Company incurred</w:t>
      </w:r>
    </w:p>
    <w:p>
      <w:pPr>
        <w:spacing w:after="0" w:line="4"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$0.2 million in fees that were capitalized and will be amortized over the remaining term of the Convertible Notes.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December 31, 2020 and 2019, none of the Convertible Notes were converted.</w:t>
      </w:r>
    </w:p>
    <w:p>
      <w:pPr>
        <w:spacing w:after="0" w:line="195"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185"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Debt Discount and Issuance Costs</w:t>
      </w:r>
      <w:r>
        <w:rPr>
          <w:rFonts w:ascii="Arial" w:cs="Arial" w:eastAsia="Arial" w:hAnsi="Arial"/>
          <w:sz w:val="18"/>
          <w:szCs w:val="18"/>
          <w:color w:val="auto"/>
        </w:rPr>
        <w:t>—A portion of the Convertible Notes was issued at a 5.0% original issue discount in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$5.8 million coupled with a 3.0% commitment fee in the amount of $3.5 million. In addition to the discount and commitment fees, the Company incurred debt issuance costs of approximately $0.9 million in relation to the NPA. The debt discounts and issuance costs are amortized using the effective interest method over the term of the Convertible Notes.</w:t>
      </w:r>
    </w:p>
    <w:p>
      <w:pPr>
        <w:spacing w:after="0" w:line="19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11.95%, and 11.92% for the years ended December 31, 2020, 2019, and 2018, respectively. The aggregate interest expense related to the Convertible Notes was $14.1 million, $13.8 million, and $13.4 million during the years ended December 31, 2020, 2019, and 2018, respectively.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 – Senior Term Loan modified to Revolving Credit Facility</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years ended December 31, 2020 and 2019, the Company made principal payments on the Revolving Credit Facility of $32.0 million and $10.0 million as well as drawdowns of $22.0 million and $20.0 million respectively. No principal payments were made during 2018. Applicable only to the period after the Separation and before the initial public offering of Perella Weinberg Partners,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205" w:lineRule="exact"/>
        <w:rPr>
          <w:sz w:val="20"/>
          <w:szCs w:val="20"/>
          <w:color w:val="auto"/>
        </w:rPr>
      </w:pPr>
    </w:p>
    <w:p>
      <w:pPr>
        <w:jc w:val="both"/>
        <w:ind w:left="120" w:right="160" w:firstLine="551"/>
        <w:spacing w:after="0" w:line="234" w:lineRule="auto"/>
        <w:rPr>
          <w:sz w:val="20"/>
          <w:szCs w:val="20"/>
          <w:color w:val="auto"/>
        </w:rPr>
      </w:pPr>
      <w:r>
        <w:rPr>
          <w:rFonts w:ascii="Arial" w:cs="Arial" w:eastAsia="Arial" w:hAnsi="Arial"/>
          <w:sz w:val="18"/>
          <w:szCs w:val="18"/>
          <w:color w:val="auto"/>
        </w:rPr>
        <w:t xml:space="preserve">Prior to the First Amendment, the Senior Term Loan bore interest at a rate per annum equal to either the variable Eurodollar Rate (or London Interbank Offered Rate, LIBOR) or a variable Base Rate (defined as the higher of the (i) Federal Funds Rate plus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1.0%;</w:t>
      </w:r>
    </w:p>
    <w:p>
      <w:pPr>
        <w:spacing w:after="0" w:line="1" w:lineRule="exact"/>
        <w:rPr>
          <w:sz w:val="20"/>
          <w:szCs w:val="20"/>
          <w:color w:val="auto"/>
        </w:rPr>
      </w:pPr>
    </w:p>
    <w:p>
      <w:pPr>
        <w:ind w:left="120" w:right="140" w:hanging="4"/>
        <w:spacing w:after="0" w:line="246" w:lineRule="auto"/>
        <w:tabs>
          <w:tab w:leader="none" w:pos="37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Cadence Bank prime rate; or (iii) Eurodollar Rate plus 1.0%) plus a rate which varies by the Company’s leverage ratio, as noted in the table below.</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Applicable Rate</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86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rPr>
              <w:t>Combined Leverage Ratio</w:t>
            </w:r>
          </w:p>
        </w:tc>
        <w:tc>
          <w:tcPr>
            <w:tcW w:w="362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Eurodollar Rate</w:t>
            </w:r>
          </w:p>
        </w:tc>
        <w:tc>
          <w:tcPr>
            <w:tcW w:w="3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Base Rate</w:t>
            </w:r>
          </w:p>
        </w:tc>
      </w:tr>
      <w:tr>
        <w:trPr>
          <w:trHeight w:val="175"/>
        </w:trPr>
        <w:tc>
          <w:tcPr>
            <w:tcW w:w="980" w:type="dxa"/>
            <w:vAlign w:val="bottom"/>
          </w:tcPr>
          <w:p>
            <w:pPr>
              <w:spacing w:after="0"/>
              <w:rPr>
                <w:sz w:val="15"/>
                <w:szCs w:val="15"/>
                <w:color w:val="auto"/>
              </w:rPr>
            </w:pPr>
          </w:p>
        </w:tc>
        <w:tc>
          <w:tcPr>
            <w:tcW w:w="1780" w:type="dxa"/>
            <w:vAlign w:val="bottom"/>
            <w:tcBorders>
              <w:top w:val="single" w:sz="8" w:color="auto"/>
            </w:tcBorders>
          </w:tcPr>
          <w:p>
            <w:pPr>
              <w:jc w:val="right"/>
              <w:ind w:right="310"/>
              <w:spacing w:after="0" w:line="176" w:lineRule="exact"/>
              <w:rPr>
                <w:sz w:val="20"/>
                <w:szCs w:val="20"/>
                <w:color w:val="auto"/>
              </w:rPr>
            </w:pPr>
            <w:r>
              <w:rPr>
                <w:rFonts w:ascii="Arial" w:cs="Arial" w:eastAsia="Arial" w:hAnsi="Arial"/>
                <w:sz w:val="18"/>
                <w:szCs w:val="18"/>
                <w:color w:val="auto"/>
              </w:rPr>
              <w:t>&lt; 0.50 : 1.00</w:t>
            </w:r>
          </w:p>
        </w:tc>
        <w:tc>
          <w:tcPr>
            <w:tcW w:w="1100" w:type="dxa"/>
            <w:vAlign w:val="bottom"/>
          </w:tcPr>
          <w:p>
            <w:pPr>
              <w:spacing w:after="0"/>
              <w:rPr>
                <w:sz w:val="15"/>
                <w:szCs w:val="15"/>
                <w:color w:val="auto"/>
              </w:rPr>
            </w:pPr>
          </w:p>
        </w:tc>
        <w:tc>
          <w:tcPr>
            <w:tcW w:w="35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rPr>
              <w:t>2.75%</w:t>
            </w:r>
          </w:p>
        </w:tc>
        <w:tc>
          <w:tcPr>
            <w:tcW w:w="100" w:type="dxa"/>
            <w:vAlign w:val="bottom"/>
          </w:tcPr>
          <w:p>
            <w:pPr>
              <w:spacing w:after="0"/>
              <w:rPr>
                <w:sz w:val="15"/>
                <w:szCs w:val="15"/>
                <w:color w:val="auto"/>
              </w:rPr>
            </w:pPr>
          </w:p>
        </w:tc>
        <w:tc>
          <w:tcPr>
            <w:tcW w:w="35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7"/>
              </w:rPr>
              <w:t>1.75%</w:t>
            </w:r>
          </w:p>
        </w:tc>
      </w:tr>
      <w:tr>
        <w:trPr>
          <w:trHeight w:val="216"/>
        </w:trPr>
        <w:tc>
          <w:tcPr>
            <w:tcW w:w="3860" w:type="dxa"/>
            <w:vAlign w:val="bottom"/>
            <w:gridSpan w:val="3"/>
          </w:tcPr>
          <w:p>
            <w:pPr>
              <w:jc w:val="center"/>
              <w:spacing w:after="0"/>
              <w:rPr>
                <w:sz w:val="20"/>
                <w:szCs w:val="20"/>
                <w:color w:val="auto"/>
              </w:rPr>
            </w:pPr>
            <w:r>
              <w:rPr>
                <w:rFonts w:ascii="Arial" w:cs="Arial" w:eastAsia="Arial" w:hAnsi="Arial"/>
                <w:sz w:val="18"/>
                <w:szCs w:val="18"/>
                <w:color w:val="auto"/>
                <w:w w:val="99"/>
              </w:rPr>
              <w:t>³ 0.50 : 1.00, but &lt; 1.50 : 1.00</w:t>
            </w:r>
          </w:p>
        </w:tc>
        <w:tc>
          <w:tcPr>
            <w:tcW w:w="352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2.00%</w:t>
            </w:r>
          </w:p>
        </w:tc>
      </w:tr>
      <w:tr>
        <w:trPr>
          <w:trHeight w:val="244"/>
        </w:trPr>
        <w:tc>
          <w:tcPr>
            <w:tcW w:w="2760" w:type="dxa"/>
            <w:vAlign w:val="bottom"/>
            <w:gridSpan w:val="2"/>
          </w:tcPr>
          <w:p>
            <w:pPr>
              <w:jc w:val="right"/>
              <w:ind w:right="230"/>
              <w:spacing w:after="0"/>
              <w:rPr>
                <w:sz w:val="20"/>
                <w:szCs w:val="20"/>
                <w:color w:val="auto"/>
              </w:rPr>
            </w:pPr>
            <w:r>
              <w:rPr>
                <w:rFonts w:ascii="Arial" w:cs="Arial" w:eastAsia="Arial" w:hAnsi="Arial"/>
                <w:sz w:val="18"/>
                <w:szCs w:val="18"/>
                <w:color w:val="auto"/>
              </w:rPr>
              <w:t>³ 1.50 : 1.00</w:t>
            </w:r>
          </w:p>
        </w:tc>
        <w:tc>
          <w:tcPr>
            <w:tcW w:w="110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2.25%</w:t>
            </w:r>
          </w:p>
        </w:tc>
      </w:tr>
    </w:tbl>
    <w:p>
      <w:pPr>
        <w:spacing w:after="0" w:line="202"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Prior to the First Amendment, interest payments were due in one, two, three or six-month intervals as selected by the Company, while principal payments were due quarterly beginning June 30, 2017 through December 31, 2021.</w:t>
      </w:r>
    </w:p>
    <w:p>
      <w:pPr>
        <w:spacing w:after="0" w:line="197"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 xml:space="preserve">Subsequent to the First Amendment, 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1.0%; (ii) Cadence Bank prime rate; or (iii) Eurodollar Rate plus 1.0%) plus a rate which varies by the Company’s leverage ratio, as noted in the table below.</w:t>
      </w:r>
    </w:p>
    <w:p>
      <w:pPr>
        <w:spacing w:after="0" w:line="220"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Applicable Rate</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86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rPr>
              <w:t>Combined Leverage Ratio</w:t>
            </w:r>
          </w:p>
        </w:tc>
        <w:tc>
          <w:tcPr>
            <w:tcW w:w="362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Eurodollar Rate</w:t>
            </w:r>
          </w:p>
        </w:tc>
        <w:tc>
          <w:tcPr>
            <w:tcW w:w="3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Base Rate</w:t>
            </w:r>
          </w:p>
        </w:tc>
      </w:tr>
      <w:tr>
        <w:trPr>
          <w:trHeight w:val="175"/>
        </w:trPr>
        <w:tc>
          <w:tcPr>
            <w:tcW w:w="980" w:type="dxa"/>
            <w:vAlign w:val="bottom"/>
          </w:tcPr>
          <w:p>
            <w:pPr>
              <w:spacing w:after="0"/>
              <w:rPr>
                <w:sz w:val="15"/>
                <w:szCs w:val="15"/>
                <w:color w:val="auto"/>
              </w:rPr>
            </w:pPr>
          </w:p>
        </w:tc>
        <w:tc>
          <w:tcPr>
            <w:tcW w:w="1780" w:type="dxa"/>
            <w:vAlign w:val="bottom"/>
            <w:tcBorders>
              <w:top w:val="single" w:sz="8" w:color="auto"/>
            </w:tcBorders>
          </w:tcPr>
          <w:p>
            <w:pPr>
              <w:jc w:val="right"/>
              <w:ind w:right="310"/>
              <w:spacing w:after="0" w:line="176" w:lineRule="exact"/>
              <w:rPr>
                <w:sz w:val="20"/>
                <w:szCs w:val="20"/>
                <w:color w:val="auto"/>
              </w:rPr>
            </w:pPr>
            <w:r>
              <w:rPr>
                <w:rFonts w:ascii="Arial" w:cs="Arial" w:eastAsia="Arial" w:hAnsi="Arial"/>
                <w:sz w:val="18"/>
                <w:szCs w:val="18"/>
                <w:color w:val="auto"/>
              </w:rPr>
              <w:t>&lt; 0.50 : 1.00</w:t>
            </w:r>
          </w:p>
        </w:tc>
        <w:tc>
          <w:tcPr>
            <w:tcW w:w="1100" w:type="dxa"/>
            <w:vAlign w:val="bottom"/>
          </w:tcPr>
          <w:p>
            <w:pPr>
              <w:spacing w:after="0"/>
              <w:rPr>
                <w:sz w:val="15"/>
                <w:szCs w:val="15"/>
                <w:color w:val="auto"/>
              </w:rPr>
            </w:pPr>
          </w:p>
        </w:tc>
        <w:tc>
          <w:tcPr>
            <w:tcW w:w="35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rPr>
              <w:t>2.50%</w:t>
            </w:r>
          </w:p>
        </w:tc>
        <w:tc>
          <w:tcPr>
            <w:tcW w:w="100" w:type="dxa"/>
            <w:vAlign w:val="bottom"/>
          </w:tcPr>
          <w:p>
            <w:pPr>
              <w:spacing w:after="0"/>
              <w:rPr>
                <w:sz w:val="15"/>
                <w:szCs w:val="15"/>
                <w:color w:val="auto"/>
              </w:rPr>
            </w:pPr>
          </w:p>
        </w:tc>
        <w:tc>
          <w:tcPr>
            <w:tcW w:w="35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7"/>
              </w:rPr>
              <w:t>1.50%</w:t>
            </w:r>
          </w:p>
        </w:tc>
      </w:tr>
      <w:tr>
        <w:trPr>
          <w:trHeight w:val="216"/>
        </w:trPr>
        <w:tc>
          <w:tcPr>
            <w:tcW w:w="3860" w:type="dxa"/>
            <w:vAlign w:val="bottom"/>
            <w:gridSpan w:val="3"/>
          </w:tcPr>
          <w:p>
            <w:pPr>
              <w:jc w:val="center"/>
              <w:spacing w:after="0"/>
              <w:rPr>
                <w:sz w:val="20"/>
                <w:szCs w:val="20"/>
                <w:color w:val="auto"/>
              </w:rPr>
            </w:pPr>
            <w:r>
              <w:rPr>
                <w:rFonts w:ascii="Arial" w:cs="Arial" w:eastAsia="Arial" w:hAnsi="Arial"/>
                <w:sz w:val="18"/>
                <w:szCs w:val="18"/>
                <w:color w:val="auto"/>
                <w:w w:val="99"/>
              </w:rPr>
              <w:t>³ 0.50 : 1.00, but &lt; 1.50 : 1.00</w:t>
            </w:r>
          </w:p>
        </w:tc>
        <w:tc>
          <w:tcPr>
            <w:tcW w:w="3520" w:type="dxa"/>
            <w:vAlign w:val="bottom"/>
          </w:tcPr>
          <w:p>
            <w:pPr>
              <w:jc w:val="center"/>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1.75%</w:t>
            </w:r>
          </w:p>
        </w:tc>
      </w:tr>
      <w:tr>
        <w:trPr>
          <w:trHeight w:val="244"/>
        </w:trPr>
        <w:tc>
          <w:tcPr>
            <w:tcW w:w="2760" w:type="dxa"/>
            <w:vAlign w:val="bottom"/>
            <w:gridSpan w:val="2"/>
          </w:tcPr>
          <w:p>
            <w:pPr>
              <w:jc w:val="right"/>
              <w:ind w:right="230"/>
              <w:spacing w:after="0"/>
              <w:rPr>
                <w:sz w:val="20"/>
                <w:szCs w:val="20"/>
                <w:color w:val="auto"/>
              </w:rPr>
            </w:pPr>
            <w:r>
              <w:rPr>
                <w:rFonts w:ascii="Arial" w:cs="Arial" w:eastAsia="Arial" w:hAnsi="Arial"/>
                <w:sz w:val="18"/>
                <w:szCs w:val="18"/>
                <w:color w:val="auto"/>
              </w:rPr>
              <w:t>³ 1.50 : 1.00</w:t>
            </w:r>
          </w:p>
        </w:tc>
        <w:tc>
          <w:tcPr>
            <w:tcW w:w="110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2.00%</w:t>
            </w:r>
          </w:p>
        </w:tc>
      </w:tr>
    </w:tbl>
    <w:p>
      <w:pPr>
        <w:spacing w:after="0" w:line="20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On November 11, 2020, the Company amended its Revolving Credit Facility for the second time by extending the maturity date from December 31, 2021 to April 1, 2022.</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On December 28, 2020, the Company amended its Revolving Credit Facility for a third time by expressly permitting the transactions contemplated by the proposed business combination with FinTech IV.</w:t>
      </w:r>
    </w:p>
    <w:p>
      <w:pPr>
        <w:spacing w:after="0" w:line="197"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weighted average interest rate for the Revolving Credit Facility and Senior Term Loan for the years ended December 31, 2020, 2019, and 2018 was 3.02%, 4.95%, and 4.88%, respectively.</w:t>
      </w:r>
    </w:p>
    <w:p>
      <w:pPr>
        <w:spacing w:after="0" w:line="179" w:lineRule="exact"/>
        <w:rPr>
          <w:sz w:val="20"/>
          <w:szCs w:val="20"/>
          <w:color w:val="auto"/>
        </w:rPr>
      </w:pPr>
    </w:p>
    <w:p>
      <w:pPr>
        <w:ind w:left="120" w:right="40" w:firstLine="551"/>
        <w:spacing w:after="0" w:line="254" w:lineRule="auto"/>
        <w:rPr>
          <w:sz w:val="20"/>
          <w:szCs w:val="20"/>
          <w:color w:val="auto"/>
        </w:rPr>
      </w:pPr>
      <w:r>
        <w:rPr>
          <w:rFonts w:ascii="Arial" w:cs="Arial" w:eastAsia="Arial" w:hAnsi="Arial"/>
          <w:sz w:val="17"/>
          <w:szCs w:val="17"/>
          <w:i w:val="1"/>
          <w:iCs w:val="1"/>
          <w:color w:val="auto"/>
        </w:rPr>
        <w:t>Debt Issuance Cost</w:t>
      </w:r>
      <w:r>
        <w:rPr>
          <w:rFonts w:ascii="Arial" w:cs="Arial" w:eastAsia="Arial" w:hAnsi="Arial"/>
          <w:sz w:val="17"/>
          <w:szCs w:val="17"/>
          <w:color w:val="auto"/>
        </w:rPr>
        <w:t>—The Company incurred $1.7 million in issuance costs related to the Senior Term Loan upon execution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Credit 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 debt issuance costs related to the original Senior Term Loan as well as the additional</w:t>
      </w:r>
    </w:p>
    <w:p>
      <w:pPr>
        <w:ind w:left="120" w:right="20"/>
        <w:spacing w:after="0" w:line="234" w:lineRule="auto"/>
        <w:rPr>
          <w:sz w:val="20"/>
          <w:szCs w:val="20"/>
          <w:color w:val="auto"/>
        </w:rPr>
      </w:pPr>
      <w:r>
        <w:rPr>
          <w:rFonts w:ascii="Arial" w:cs="Arial" w:eastAsia="Arial" w:hAnsi="Arial"/>
          <w:sz w:val="18"/>
          <w:szCs w:val="18"/>
          <w:color w:val="auto"/>
        </w:rPr>
        <w:t>$0.1 million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and Senior Term Loan taking into account these issuance costs was</w:t>
      </w:r>
    </w:p>
    <w:p>
      <w:pPr>
        <w:spacing w:after="0" w:line="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3.93%, 6.48%, and 6.10% for each of the years ended December 31, 2020, 2019, and 2018, respectively. Interest expense related to the Revolving Credit Facility and Senior Term Loan was $1.6 million, $1.6 million, and $1.7 million during the years ended December 31, 2020, 2019, and 2018, respectively.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maturities of the principal amounts of all indebtedness, excluding unamortized issuance and discount costs, as of</w:t>
      </w:r>
    </w:p>
    <w:p>
      <w:pPr>
        <w:ind w:left="120"/>
        <w:spacing w:after="0"/>
        <w:rPr>
          <w:sz w:val="20"/>
          <w:szCs w:val="20"/>
          <w:color w:val="auto"/>
        </w:rPr>
      </w:pPr>
      <w:r>
        <w:rPr>
          <w:rFonts w:ascii="Arial" w:cs="Arial" w:eastAsia="Arial" w:hAnsi="Arial"/>
          <w:sz w:val="18"/>
          <w:szCs w:val="18"/>
          <w:color w:val="auto"/>
        </w:rPr>
        <w:t>December 31, 2020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2"/>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57,690</w:t>
            </w: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7"/>
                <w:szCs w:val="17"/>
                <w:color w:val="auto"/>
              </w:rPr>
            </w:pPr>
          </w:p>
        </w:tc>
      </w:tr>
      <w:tr>
        <w:trPr>
          <w:trHeight w:val="210"/>
        </w:trPr>
        <w:tc>
          <w:tcPr>
            <w:tcW w:w="10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177,690</w:t>
            </w:r>
          </w:p>
        </w:tc>
        <w:tc>
          <w:tcPr>
            <w:tcW w:w="80" w:type="dxa"/>
            <w:vAlign w:val="bottom"/>
          </w:tcPr>
          <w:p>
            <w:pPr>
              <w:spacing w:after="0"/>
              <w:rPr>
                <w:sz w:val="18"/>
                <w:szCs w:val="18"/>
                <w:color w:val="auto"/>
              </w:rPr>
            </w:pPr>
          </w:p>
        </w:tc>
      </w:tr>
      <w:tr>
        <w:trPr>
          <w:trHeight w:val="20"/>
        </w:trPr>
        <w:tc>
          <w:tcPr>
            <w:tcW w:w="10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26"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 Plans</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SLP interests (the “SLP awards”). The associated equity-based compensation expense from the SLP awards are included in Total compensation and benefits in the Consolidated Statements of Operations and Comprehensive Loss and on the Consolidated Statements of Financial Condition in Partners’ capital.</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2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During the year ended December 31, 2018, the SLP granted SLP awards in the amount of $4.6 million, which vest over a four year service period beginning on the grant date.</w:t>
      </w:r>
    </w:p>
    <w:p>
      <w:pPr>
        <w:spacing w:after="0" w:line="197" w:lineRule="exact"/>
        <w:rPr>
          <w:sz w:val="20"/>
          <w:szCs w:val="20"/>
          <w:color w:val="auto"/>
        </w:rPr>
      </w:pPr>
    </w:p>
    <w:p>
      <w:pPr>
        <w:ind w:left="120" w:right="260" w:firstLine="551"/>
        <w:spacing w:after="0" w:line="237" w:lineRule="auto"/>
        <w:rPr>
          <w:sz w:val="20"/>
          <w:szCs w:val="20"/>
          <w:color w:val="auto"/>
        </w:rPr>
      </w:pPr>
      <w:r>
        <w:rPr>
          <w:rFonts w:ascii="Arial" w:cs="Arial" w:eastAsia="Arial" w:hAnsi="Arial"/>
          <w:sz w:val="18"/>
          <w:szCs w:val="18"/>
          <w:color w:val="auto"/>
        </w:rPr>
        <w:t>The measurement of the grant-date fair value requires the SLP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203"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following table presents the ranges of the significant assumptions used to develop the grant date fair value of these equity-based awards: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89"/>
        </w:trPr>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methodology</w:t>
            </w:r>
          </w:p>
        </w:tc>
        <w:tc>
          <w:tcPr>
            <w:tcW w:w="660" w:type="dxa"/>
            <w:vAlign w:val="bottom"/>
          </w:tcPr>
          <w:p>
            <w:pPr>
              <w:spacing w:after="0"/>
              <w:rPr>
                <w:sz w:val="16"/>
                <w:szCs w:val="16"/>
                <w:color w:val="auto"/>
              </w:rPr>
            </w:pPr>
          </w:p>
        </w:tc>
        <w:tc>
          <w:tcPr>
            <w:tcW w:w="2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Significant assumptions</w:t>
            </w:r>
          </w:p>
        </w:tc>
        <w:tc>
          <w:tcPr>
            <w:tcW w:w="1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Range for the Year Ended December 31,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auto"/>
            </w:tcBorders>
            <w:vMerge w:val="continue"/>
          </w:tcPr>
          <w:p>
            <w:pPr>
              <w:spacing w:after="0"/>
              <w:rPr>
                <w:sz w:val="15"/>
                <w:szCs w:val="15"/>
                <w:color w:val="auto"/>
              </w:rPr>
            </w:pPr>
          </w:p>
        </w:tc>
        <w:tc>
          <w:tcPr>
            <w:tcW w:w="660" w:type="dxa"/>
            <w:vAlign w:val="bottom"/>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2760" w:type="dxa"/>
            <w:vAlign w:val="bottom"/>
            <w:gridSpan w:val="2"/>
          </w:tcPr>
          <w:p>
            <w:pPr>
              <w:jc w:val="right"/>
              <w:ind w:right="113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640" w:type="dxa"/>
            <w:vAlign w:val="bottom"/>
            <w:gridSpan w:val="2"/>
          </w:tcPr>
          <w:p>
            <w:pPr>
              <w:jc w:val="right"/>
              <w:ind w:right="1070"/>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9"/>
        </w:trPr>
        <w:tc>
          <w:tcPr>
            <w:tcW w:w="1600" w:type="dxa"/>
            <w:vAlign w:val="bottom"/>
          </w:tcPr>
          <w:p>
            <w:pPr>
              <w:jc w:val="center"/>
              <w:spacing w:after="0" w:line="189" w:lineRule="exact"/>
              <w:rPr>
                <w:sz w:val="20"/>
                <w:szCs w:val="20"/>
                <w:color w:val="auto"/>
              </w:rPr>
            </w:pPr>
            <w:r>
              <w:rPr>
                <w:rFonts w:ascii="Arial" w:cs="Arial" w:eastAsia="Arial" w:hAnsi="Arial"/>
                <w:sz w:val="18"/>
                <w:szCs w:val="18"/>
                <w:color w:val="auto"/>
                <w:w w:val="99"/>
              </w:rPr>
              <w:t>Income approach</w:t>
            </w:r>
          </w:p>
        </w:tc>
        <w:tc>
          <w:tcPr>
            <w:tcW w:w="6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Discount rate</w:t>
            </w:r>
          </w:p>
        </w:tc>
        <w:tc>
          <w:tcPr>
            <w:tcW w:w="120" w:type="dxa"/>
            <w:vAlign w:val="bottom"/>
          </w:tcPr>
          <w:p>
            <w:pPr>
              <w:spacing w:after="0"/>
              <w:rPr>
                <w:sz w:val="16"/>
                <w:szCs w:val="16"/>
                <w:color w:val="auto"/>
              </w:rPr>
            </w:pPr>
          </w:p>
        </w:tc>
        <w:tc>
          <w:tcPr>
            <w:tcW w:w="2760" w:type="dxa"/>
            <w:vAlign w:val="bottom"/>
            <w:tcBorders>
              <w:top w:val="single" w:sz="8" w:color="auto"/>
            </w:tcBorders>
            <w:gridSpan w:val="2"/>
          </w:tcPr>
          <w:p>
            <w:pPr>
              <w:jc w:val="right"/>
              <w:ind w:right="655"/>
              <w:spacing w:after="0" w:line="189" w:lineRule="exact"/>
              <w:rPr>
                <w:sz w:val="20"/>
                <w:szCs w:val="20"/>
                <w:color w:val="auto"/>
              </w:rPr>
            </w:pPr>
            <w:r>
              <w:rPr>
                <w:rFonts w:ascii="Arial" w:cs="Arial" w:eastAsia="Arial" w:hAnsi="Arial"/>
                <w:sz w:val="18"/>
                <w:szCs w:val="18"/>
                <w:color w:val="auto"/>
              </w:rPr>
              <w:t>9.90% - 10.80%</w:t>
            </w:r>
          </w:p>
        </w:tc>
        <w:tc>
          <w:tcPr>
            <w:tcW w:w="100" w:type="dxa"/>
            <w:vAlign w:val="bottom"/>
          </w:tcPr>
          <w:p>
            <w:pPr>
              <w:spacing w:after="0"/>
              <w:rPr>
                <w:sz w:val="16"/>
                <w:szCs w:val="16"/>
                <w:color w:val="auto"/>
              </w:rPr>
            </w:pPr>
          </w:p>
        </w:tc>
        <w:tc>
          <w:tcPr>
            <w:tcW w:w="2640" w:type="dxa"/>
            <w:vAlign w:val="bottom"/>
            <w:tcBorders>
              <w:top w:val="single" w:sz="8" w:color="auto"/>
            </w:tcBorders>
            <w:gridSpan w:val="2"/>
          </w:tcPr>
          <w:p>
            <w:pPr>
              <w:jc w:val="right"/>
              <w:ind w:right="590"/>
              <w:spacing w:after="0" w:line="189" w:lineRule="exact"/>
              <w:rPr>
                <w:sz w:val="20"/>
                <w:szCs w:val="20"/>
                <w:color w:val="auto"/>
              </w:rPr>
            </w:pPr>
            <w:r>
              <w:rPr>
                <w:rFonts w:ascii="Arial" w:cs="Arial" w:eastAsia="Arial" w:hAnsi="Arial"/>
                <w:sz w:val="18"/>
                <w:szCs w:val="18"/>
                <w:color w:val="auto"/>
              </w:rPr>
              <w:t>9.80% - 11.10%</w:t>
            </w:r>
          </w:p>
        </w:tc>
        <w:tc>
          <w:tcPr>
            <w:tcW w:w="0" w:type="dxa"/>
            <w:vAlign w:val="bottom"/>
          </w:tcPr>
          <w:p>
            <w:pPr>
              <w:spacing w:after="0"/>
              <w:rPr>
                <w:sz w:val="1"/>
                <w:szCs w:val="1"/>
                <w:color w:val="auto"/>
              </w:rPr>
            </w:pPr>
          </w:p>
        </w:tc>
      </w:tr>
      <w:tr>
        <w:trPr>
          <w:trHeight w:val="203"/>
        </w:trPr>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Market approach</w:t>
            </w:r>
          </w:p>
        </w:tc>
        <w:tc>
          <w:tcPr>
            <w:tcW w:w="660" w:type="dxa"/>
            <w:vAlign w:val="bottom"/>
          </w:tcPr>
          <w:p>
            <w:pPr>
              <w:spacing w:after="0"/>
              <w:rPr>
                <w:sz w:val="17"/>
                <w:szCs w:val="17"/>
                <w:color w:val="auto"/>
              </w:rPr>
            </w:pPr>
          </w:p>
        </w:tc>
        <w:tc>
          <w:tcPr>
            <w:tcW w:w="27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Income multiples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- 20.00</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- 14.00</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Revenue multiples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- 4.00</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- 4.25</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4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w:t>
            </w:r>
          </w:p>
        </w:tc>
        <w:tc>
          <w:tcPr>
            <w:tcW w:w="1380" w:type="dxa"/>
            <w:vAlign w:val="bottom"/>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assumptions could change in the future and may have a material impact on the estimate of the fair value.</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On October 1, 2018, the Company modified certain of its existing SLP awards, and as a result of the modification, the Company will recognize incremental equity-based compensation expense of $ 74.6 million, which is subject to a graded vesting schedule over a five year service period beginning on October 1, 2018. In connection with the October 1, 2018 modification, the Company utilized a Monte Carlo simulation, in addition to the market and income approaches, to estimate the fair value of</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the SLP award modification. The following table presents the ranges of the significant assumptions used to develop the fair value estimate of this modification:</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Valuation methodology</w:t>
            </w:r>
          </w:p>
        </w:tc>
        <w:tc>
          <w:tcPr>
            <w:tcW w:w="5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Significant assumptions</w:t>
            </w:r>
          </w:p>
        </w:tc>
        <w:tc>
          <w:tcPr>
            <w:tcW w:w="2640" w:type="dxa"/>
            <w:vAlign w:val="bottom"/>
            <w:gridSpan w:val="2"/>
          </w:tcPr>
          <w:p>
            <w:pPr>
              <w:ind w:left="420"/>
              <w:spacing w:after="0"/>
              <w:rPr>
                <w:sz w:val="20"/>
                <w:szCs w:val="20"/>
                <w:color w:val="auto"/>
              </w:rPr>
            </w:pPr>
            <w:r>
              <w:rPr>
                <w:rFonts w:ascii="Arial" w:cs="Arial" w:eastAsia="Arial" w:hAnsi="Arial"/>
                <w:sz w:val="14"/>
                <w:szCs w:val="14"/>
                <w:b w:val="1"/>
                <w:bCs w:val="1"/>
                <w:color w:val="auto"/>
              </w:rPr>
              <w:t>Range for October 1, 2018</w:t>
            </w:r>
          </w:p>
        </w:tc>
      </w:tr>
      <w:tr>
        <w:trPr>
          <w:trHeight w:val="195"/>
        </w:trPr>
        <w:tc>
          <w:tcPr>
            <w:tcW w:w="2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Monte Carlo simulation</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Risk-free interest rate</w:t>
            </w:r>
          </w:p>
        </w:tc>
        <w:tc>
          <w:tcPr>
            <w:tcW w:w="100" w:type="dxa"/>
            <w:vAlign w:val="bottom"/>
          </w:tcPr>
          <w:p>
            <w:pPr>
              <w:spacing w:after="0"/>
              <w:rPr>
                <w:sz w:val="16"/>
                <w:szCs w:val="16"/>
                <w:color w:val="auto"/>
              </w:rPr>
            </w:pPr>
          </w:p>
        </w:tc>
        <w:tc>
          <w:tcPr>
            <w:tcW w:w="26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rPr>
              <w:t>2.98%</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Expected volatility</w:t>
            </w:r>
          </w:p>
        </w:tc>
        <w:tc>
          <w:tcPr>
            <w:tcW w:w="26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30%</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Expected term of the awards granted during the period (years)</w:t>
            </w:r>
          </w:p>
        </w:tc>
        <w:tc>
          <w:tcPr>
            <w:tcW w:w="1260" w:type="dxa"/>
            <w:vAlign w:val="bottom"/>
          </w:tcPr>
          <w:p>
            <w:pPr>
              <w:spacing w:after="0"/>
              <w:rPr>
                <w:sz w:val="17"/>
                <w:szCs w:val="17"/>
                <w:color w:val="auto"/>
              </w:rPr>
            </w:pPr>
          </w:p>
        </w:tc>
        <w:tc>
          <w:tcPr>
            <w:tcW w:w="1380" w:type="dxa"/>
            <w:vAlign w:val="bottom"/>
          </w:tcPr>
          <w:p>
            <w:pPr>
              <w:jc w:val="center"/>
              <w:ind w:right="1190"/>
              <w:spacing w:after="0" w:line="202" w:lineRule="exact"/>
              <w:rPr>
                <w:sz w:val="20"/>
                <w:szCs w:val="20"/>
                <w:color w:val="auto"/>
              </w:rPr>
            </w:pPr>
            <w:r>
              <w:rPr>
                <w:rFonts w:ascii="Arial" w:cs="Arial" w:eastAsia="Arial" w:hAnsi="Arial"/>
                <w:sz w:val="18"/>
                <w:szCs w:val="18"/>
                <w:color w:val="auto"/>
                <w:w w:val="99"/>
              </w:rPr>
              <w:t>5</w:t>
            </w:r>
          </w:p>
        </w:tc>
      </w:tr>
      <w:tr>
        <w:trPr>
          <w:trHeight w:val="203"/>
        </w:trPr>
        <w:tc>
          <w:tcPr>
            <w:tcW w:w="30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Income approach</w:t>
            </w:r>
          </w:p>
        </w:tc>
        <w:tc>
          <w:tcPr>
            <w:tcW w:w="5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Discount rate</w:t>
            </w:r>
          </w:p>
        </w:tc>
        <w:tc>
          <w:tcPr>
            <w:tcW w:w="26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9.90% - 10.80%</w:t>
            </w:r>
          </w:p>
        </w:tc>
      </w:tr>
      <w:tr>
        <w:trPr>
          <w:trHeight w:val="203"/>
        </w:trPr>
        <w:tc>
          <w:tcPr>
            <w:tcW w:w="30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Market approach</w:t>
            </w:r>
          </w:p>
        </w:tc>
        <w:tc>
          <w:tcPr>
            <w:tcW w:w="5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Income multiples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- 20.00</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Revenue multiples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- 4.00</w:t>
            </w:r>
          </w:p>
        </w:tc>
      </w:tr>
      <w:tr>
        <w:trPr>
          <w:trHeight w:val="217"/>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Growth rate</w:t>
            </w:r>
          </w:p>
        </w:tc>
        <w:tc>
          <w:tcPr>
            <w:tcW w:w="1260" w:type="dxa"/>
            <w:vAlign w:val="bottom"/>
          </w:tcPr>
          <w:p>
            <w:pPr>
              <w:jc w:val="right"/>
              <w:spacing w:after="0"/>
              <w:rPr>
                <w:sz w:val="20"/>
                <w:szCs w:val="20"/>
                <w:color w:val="auto"/>
              </w:rPr>
            </w:pPr>
            <w:r>
              <w:rPr>
                <w:rFonts w:ascii="Arial" w:cs="Arial" w:eastAsia="Arial" w:hAnsi="Arial"/>
                <w:sz w:val="18"/>
                <w:szCs w:val="18"/>
                <w:color w:val="auto"/>
              </w:rPr>
              <w:t>2.50%</w:t>
            </w:r>
          </w:p>
        </w:tc>
        <w:tc>
          <w:tcPr>
            <w:tcW w:w="138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02"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The risk-free interest rate selected was based on a five-year U.S. Treasury rate, which matches the expected term of the award. The stock price volatility selected was based upon an average of historical volatilities of comparable publicly traded companies in industries similar to the SLP, as the SLP does not have a basis for actual stock price volatility. Additionally, it was assumed that no dividends will be paid over the vesting period.</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During the year ended December 31, 2019, the SLP granted SLP awards with a grant date fair value of $14.7 million. The fair value of these awards was estimated using the income approach and assumed a range of discount rates between 3.6% and 12.1%. During the year ended December 31, 2020, the SLP granted SLP awards with a grant date fair value of $6.4 million. The fair value of these awards was estimated using the income approach and assumed a range of discount rates between 3.8% and 11.2%. Under the income approach, fair value is determined by converting future projected cash flows to a single present value amount (discounted) using current expectations about those future cash flows.</w:t>
      </w:r>
    </w:p>
    <w:p>
      <w:pPr>
        <w:spacing w:after="0" w:line="205"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During the year ended December 31, 2020, the Company modified certain SLP awards that were granted in 2016 by extending the vesting period and changing certain vesting provisions regarding termination, resignation or death/disability. The awards are considered probable of vesting both prior to and post modification and therefore the modification was considered a Type 1 modification. The award value at the time of modification was determined to be less than the original grant date fair value and as a result no additional Equity-based compensation expense was recognized due to the modification. Additionally, the Company elected to continue to recognize Equity-based compensation expense over the original vesting period.</w:t>
      </w:r>
    </w:p>
    <w:p>
      <w:pPr>
        <w:spacing w:after="0" w:line="20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During the years ended December 31, 2020, 2019, and 2018, the Company recognized Equity-based compensation expense of $24.8 million, $193.3 million, and $199.1 million, respectively, related to vested awards. As of December 31, 2020, unrecognized equity-based compensation expense related to non-vested SLP awards was $41.0 million and is expected to be recognized over a weighted average service period of 2.71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are also included in Prepaid expenses and other assets on the Consolidated Statements of Financial Condition.</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During the year ended December 30, 2019, the Company granted deferred compensation to certain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years ended, December 31, 2019 and 2018, PWP UK LLP entered into deferred profit sharing arrangements with certain UK Partners in the amount of $3.4 million and $ 0.8 million, respectively. The deferred amounts will be paid to these UK Partners on various dates, commencing on December 31, 2020 through April 15, 2023. The liabilities under these plans transferred to PWP UK Ltd in conjunction with the UK Reorganization and transfer from PWP UK LLP to PWP UK Ltd. No awards were granted during the year ended December 31, 2020.</w:t>
      </w:r>
    </w:p>
    <w:p>
      <w:pPr>
        <w:spacing w:after="0" w:line="20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Deferred compensation liabilities will be paid at various intervals through 2025 and are presented within Deferred compensation programs on the Consolidated Statements of Financial Condition. During the years ended December 31, 2019 and 2018, $0.9 million and $1.7 million of these awards were forfeited. There were no forfeitures during the year ended December 31, 2020. Compensation expenses related to these deferred compensation plans was $5.8 million, $5.5 million and $1.0 thousand for the years ended December 31, 2020, 2019, and 2018 and are presented within Compensation and benefits in the Consolidated Statements of Operations and Comprehensive Loss.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employees participate in employee benefit plans, which consists of defined contribution pension plans including</w:t>
      </w:r>
    </w:p>
    <w:p>
      <w:pPr>
        <w:ind w:left="120" w:right="260" w:hanging="4"/>
        <w:spacing w:after="0" w:line="246" w:lineRule="auto"/>
        <w:tabs>
          <w:tab w:leader="none" w:pos="33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profit-sharing plans qualified under Section 401(k) of the Internal Revenue Code and (ii) a UK pension scheme for non-U.S. Partners and employees.</w:t>
      </w:r>
    </w:p>
    <w:p>
      <w:pPr>
        <w:spacing w:after="0" w:line="197"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w:t>
      </w:r>
      <w:r>
        <w:rPr>
          <w:rFonts w:ascii="Arial" w:cs="Arial" w:eastAsia="Arial" w:hAnsi="Arial"/>
          <w:sz w:val="15"/>
          <w:szCs w:val="15"/>
          <w:color w:val="auto"/>
        </w:rPr>
        <w:t>st</w:t>
      </w:r>
      <w:r>
        <w:rPr>
          <w:rFonts w:ascii="Arial" w:cs="Arial" w:eastAsia="Arial" w:hAnsi="Arial"/>
          <w:sz w:val="18"/>
          <w:szCs w:val="18"/>
          <w:color w:val="auto"/>
        </w:rPr>
        <w:t xml:space="preserve"> of each year. The UK pension scheme allows non-U.S. employees to make a monthly pension contribution based on certain percentages as defined by their employment level. The Company provides a monthly match up to 10% based on employment level.</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years ended December 31, 2020, 2019, and 2018, expenses related to the Company’s employee benefit plans were</w:t>
      </w:r>
    </w:p>
    <w:p>
      <w:pPr>
        <w:ind w:left="120" w:right="80"/>
        <w:spacing w:after="0" w:line="246" w:lineRule="auto"/>
        <w:rPr>
          <w:sz w:val="20"/>
          <w:szCs w:val="20"/>
          <w:color w:val="auto"/>
        </w:rPr>
      </w:pPr>
      <w:r>
        <w:rPr>
          <w:rFonts w:ascii="Arial" w:cs="Arial" w:eastAsia="Arial" w:hAnsi="Arial"/>
          <w:sz w:val="18"/>
          <w:szCs w:val="18"/>
          <w:color w:val="auto"/>
        </w:rPr>
        <w:t>$4.5 million, $4.4 million, and $3.4 million, respectively, and are included in Compensation and benefits in the Consolidated Statements of Operations and Comprehensive Loss.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26" w:lineRule="exact"/>
        <w:rPr>
          <w:sz w:val="20"/>
          <w:szCs w:val="20"/>
          <w:color w:val="auto"/>
        </w:rPr>
      </w:pPr>
    </w:p>
    <w:p>
      <w:pPr>
        <w:ind w:left="120" w:right="200" w:firstLine="551"/>
        <w:spacing w:after="0" w:line="234" w:lineRule="auto"/>
        <w:rPr>
          <w:sz w:val="20"/>
          <w:szCs w:val="20"/>
          <w:color w:val="auto"/>
        </w:rPr>
      </w:pPr>
      <w:r>
        <w:rPr>
          <w:rFonts w:ascii="Arial" w:cs="Arial" w:eastAsia="Arial" w:hAnsi="Arial"/>
          <w:sz w:val="18"/>
          <w:szCs w:val="18"/>
          <w:color w:val="auto"/>
        </w:rPr>
        <w:t>In the first and second quarters of 2020, the Company underwent a review of operations and headcount levels. As a result of this review, the Company made the decision to reduce employee headcount. In conjunction with such reduction, affected employees were offered a combination of separation and transition benefits (the “termination cost”). The total termination cost was approximately</w:t>
      </w:r>
    </w:p>
    <w:p>
      <w:pPr>
        <w:spacing w:after="0" w:line="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$6.0 million which was included in Compensation and benefits in the Consolidated Statements of Operations and Comprehensive Loss for the year ended December 31, 2020. These termination costs were fully recognized once the service requirement of the affected employees was complete. The termination benefits were substantially paid by December 31, 2020.</w:t>
      </w:r>
    </w:p>
    <w:p>
      <w:pPr>
        <w:spacing w:after="0" w:line="329" w:lineRule="exact"/>
        <w:rPr>
          <w:sz w:val="20"/>
          <w:szCs w:val="20"/>
          <w:color w:val="auto"/>
        </w:rPr>
      </w:pPr>
    </w:p>
    <w:p>
      <w:pPr>
        <w:ind w:left="660" w:hanging="544"/>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208"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1—Unadjusted quoted prices are available in active markets for identical financial instruments as of the reporting date.</w:t>
      </w:r>
    </w:p>
    <w:p>
      <w:pPr>
        <w:spacing w:after="0" w:line="104" w:lineRule="exact"/>
        <w:rPr>
          <w:sz w:val="20"/>
          <w:szCs w:val="20"/>
          <w:color w:val="auto"/>
        </w:rPr>
      </w:pPr>
    </w:p>
    <w:p>
      <w:pPr>
        <w:ind w:left="440" w:right="160" w:firstLine="320"/>
        <w:spacing w:after="0" w:line="246" w:lineRule="auto"/>
        <w:rPr>
          <w:sz w:val="20"/>
          <w:szCs w:val="20"/>
          <w:color w:val="auto"/>
        </w:rPr>
      </w:pPr>
      <w:r>
        <w:rPr>
          <w:rFonts w:ascii="Arial" w:cs="Arial" w:eastAsia="Arial" w:hAnsi="Arial"/>
          <w:sz w:val="18"/>
          <w:szCs w:val="18"/>
          <w:color w:val="auto"/>
        </w:rPr>
        <w:t>Level 2—Pricing inputs are other than quoted prices in active markets, which are either directly or indirectly observable as of the reporting date, and fair value is determined through the use of models or other valuation methodologies.</w:t>
      </w:r>
    </w:p>
    <w:p>
      <w:pPr>
        <w:spacing w:after="0" w:line="89" w:lineRule="exact"/>
        <w:rPr>
          <w:sz w:val="20"/>
          <w:szCs w:val="20"/>
          <w:color w:val="auto"/>
        </w:rPr>
      </w:pPr>
    </w:p>
    <w:p>
      <w:pPr>
        <w:ind w:left="440" w:right="220" w:firstLine="320"/>
        <w:spacing w:after="0"/>
        <w:rPr>
          <w:sz w:val="20"/>
          <w:szCs w:val="20"/>
          <w:color w:val="auto"/>
        </w:rPr>
      </w:pPr>
      <w:r>
        <w:rPr>
          <w:rFonts w:ascii="Arial" w:cs="Arial" w:eastAsia="Arial" w:hAnsi="Arial"/>
          <w:sz w:val="18"/>
          <w:szCs w:val="18"/>
          <w:color w:val="auto"/>
        </w:rPr>
        <w:t>Level 3—Pricing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00"/>
          </w:cols>
          <w:pgMar w:left="320" w:top="459" w:right="47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2020 and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340" w:type="dxa"/>
            <w:vAlign w:val="bottom"/>
          </w:tcPr>
          <w:p>
            <w:pPr>
              <w:spacing w:after="0"/>
              <w:rPr>
                <w:sz w:val="13"/>
                <w:szCs w:val="13"/>
                <w:color w:val="auto"/>
              </w:rPr>
            </w:pPr>
          </w:p>
        </w:tc>
        <w:tc>
          <w:tcPr>
            <w:tcW w:w="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9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6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340" w:type="dxa"/>
            <w:vAlign w:val="bottom"/>
          </w:tcPr>
          <w:p>
            <w:pPr>
              <w:ind w:left="360"/>
              <w:spacing w:after="0" w:line="202" w:lineRule="exact"/>
              <w:rPr>
                <w:sz w:val="20"/>
                <w:szCs w:val="20"/>
                <w:color w:val="auto"/>
              </w:rPr>
            </w:pPr>
            <w:r>
              <w:rPr>
                <w:rFonts w:ascii="Arial" w:cs="Arial" w:eastAsia="Arial" w:hAnsi="Arial"/>
                <w:sz w:val="18"/>
                <w:szCs w:val="18"/>
                <w:color w:val="auto"/>
              </w:rPr>
              <w:t>Investments in mutual funds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$ 584</w:t>
            </w:r>
          </w:p>
        </w:tc>
        <w:tc>
          <w:tcPr>
            <w:tcW w:w="4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584</w:t>
            </w: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surrender value of company-owned life insurance</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857</w:t>
            </w:r>
          </w:p>
        </w:tc>
      </w:tr>
      <w:tr>
        <w:trPr>
          <w:trHeight w:val="20"/>
        </w:trPr>
        <w:tc>
          <w:tcPr>
            <w:tcW w:w="7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34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$ 584</w:t>
            </w:r>
          </w:p>
        </w:tc>
        <w:tc>
          <w:tcPr>
            <w:tcW w:w="44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$ 857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1,441</w:t>
            </w:r>
          </w:p>
        </w:tc>
      </w:tr>
      <w:tr>
        <w:trPr>
          <w:trHeight w:val="20"/>
        </w:trPr>
        <w:tc>
          <w:tcPr>
            <w:tcW w:w="7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73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7340" w:type="dxa"/>
            <w:vAlign w:val="bottom"/>
          </w:tcPr>
          <w:p>
            <w:pPr>
              <w:spacing w:after="0"/>
              <w:rPr>
                <w:sz w:val="13"/>
                <w:szCs w:val="13"/>
                <w:color w:val="auto"/>
              </w:rPr>
            </w:pPr>
          </w:p>
        </w:tc>
        <w:tc>
          <w:tcPr>
            <w:tcW w:w="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9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6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r>
      <w:tr>
        <w:trPr>
          <w:trHeight w:val="183"/>
        </w:trPr>
        <w:tc>
          <w:tcPr>
            <w:tcW w:w="7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340" w:type="dxa"/>
            <w:vAlign w:val="bottom"/>
          </w:tcPr>
          <w:p>
            <w:pPr>
              <w:ind w:left="360"/>
              <w:spacing w:after="0" w:line="202" w:lineRule="exact"/>
              <w:rPr>
                <w:sz w:val="20"/>
                <w:szCs w:val="20"/>
                <w:color w:val="auto"/>
              </w:rPr>
            </w:pPr>
            <w:r>
              <w:rPr>
                <w:rFonts w:ascii="Arial" w:cs="Arial" w:eastAsia="Arial" w:hAnsi="Arial"/>
                <w:sz w:val="18"/>
                <w:szCs w:val="18"/>
                <w:color w:val="auto"/>
              </w:rPr>
              <w:t>Investments in mutual funds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$ 688</w:t>
            </w:r>
          </w:p>
        </w:tc>
        <w:tc>
          <w:tcPr>
            <w:tcW w:w="4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w:t>
            </w: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surrender value of company-owned life insurance</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918</w:t>
            </w:r>
          </w:p>
        </w:tc>
      </w:tr>
      <w:tr>
        <w:trPr>
          <w:trHeight w:val="20"/>
        </w:trPr>
        <w:tc>
          <w:tcPr>
            <w:tcW w:w="7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34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$ 688</w:t>
            </w:r>
          </w:p>
        </w:tc>
        <w:tc>
          <w:tcPr>
            <w:tcW w:w="44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$ 918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1,606</w:t>
            </w:r>
          </w:p>
        </w:tc>
      </w:tr>
      <w:tr>
        <w:trPr>
          <w:trHeight w:val="20"/>
        </w:trPr>
        <w:tc>
          <w:tcPr>
            <w:tcW w:w="7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2020 and 2019.</w:t>
      </w:r>
    </w:p>
    <w:p>
      <w:pPr>
        <w:spacing w:after="0" w:line="21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Consolidated Statements of Financial Condition at the amount that could be realized under the contract as of December 31, 2020 and 2019, which approximates fair value.</w:t>
      </w:r>
    </w:p>
    <w:p>
      <w:pPr>
        <w:spacing w:after="0" w:line="203" w:lineRule="exact"/>
        <w:rPr>
          <w:sz w:val="20"/>
          <w:szCs w:val="20"/>
          <w:color w:val="auto"/>
        </w:rPr>
      </w:pPr>
    </w:p>
    <w:p>
      <w:pPr>
        <w:ind w:left="120" w:right="40" w:firstLine="551"/>
        <w:spacing w:after="0" w:line="261" w:lineRule="auto"/>
        <w:rPr>
          <w:sz w:val="20"/>
          <w:szCs w:val="20"/>
          <w:color w:val="auto"/>
        </w:rPr>
      </w:pPr>
      <w:r>
        <w:rPr>
          <w:rFonts w:ascii="Arial" w:cs="Arial" w:eastAsia="Arial" w:hAnsi="Arial"/>
          <w:sz w:val="17"/>
          <w:szCs w:val="17"/>
          <w:color w:val="auto"/>
        </w:rPr>
        <w:t>As of December 31, 2019, the Company held investments related to certain deferred compensation plans but held no securities related to pending trades. As of December 31, 2020, the Company held investments related to a legacy deferred compensation program and securities. These amounts are included in Prepaid expenses and other assets on the Consolidated Statements of Financial Condition.</w:t>
      </w:r>
    </w:p>
    <w:p>
      <w:pPr>
        <w:spacing w:after="0" w:line="186" w:lineRule="exact"/>
        <w:rPr>
          <w:sz w:val="20"/>
          <w:szCs w:val="20"/>
          <w:color w:val="auto"/>
        </w:rPr>
      </w:pPr>
    </w:p>
    <w:p>
      <w:pPr>
        <w:ind w:left="120" w:right="520" w:firstLine="551"/>
        <w:spacing w:after="0" w:line="238" w:lineRule="auto"/>
        <w:rPr>
          <w:sz w:val="20"/>
          <w:szCs w:val="20"/>
          <w:color w:val="auto"/>
        </w:rPr>
      </w:pPr>
      <w:r>
        <w:rPr>
          <w:rFonts w:ascii="Arial" w:cs="Arial" w:eastAsia="Arial" w:hAnsi="Arial"/>
          <w:sz w:val="18"/>
          <w:szCs w:val="18"/>
          <w:color w:val="auto"/>
        </w:rPr>
        <w:t>During the third quarter of 2020, the Company obtained an investment in a private company for which there is no readily determinable fair value. The Company made the policy election under ASC 321 – Investments to carry the investment at cost less impairment, if any, plus or minus changes resulting from observable price changes in orderly transactions for identical or similar investments of the same issuer, if any. The balance of this investment as of December 31, 2020 was $0.6 million included in Prepaid expenses and other assets on the Condensed Consolidated Statements of Financial Condition.</w:t>
      </w:r>
    </w:p>
    <w:p>
      <w:pPr>
        <w:spacing w:after="0" w:line="329" w:lineRule="exact"/>
        <w:rPr>
          <w:sz w:val="20"/>
          <w:szCs w:val="20"/>
          <w:color w:val="auto"/>
        </w:rPr>
      </w:pPr>
    </w:p>
    <w:p>
      <w:pPr>
        <w:ind w:left="660" w:hanging="544"/>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26"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Prior to the Separation of the Asset Management business, PWP Holdings LP held a centralized cash pool and paid for shared costs including compensation for corporate support functions and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 The balances of these costs paid on behalf of the Asset Management business are considered amounts due from related parties. The amounts due from the Asset Management business which were settled in cash are reflected as Due from related parties on the Consolidated Statements of Financial Condition.</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connection with the Separation, the Company entered into a transition service agreement (“the TSA”) with PWP Capital Holdings LP not to exceed 36 months following the Separation Date. Under the TSA,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lessor of 10% per annum or the maximum rate allowed by law.</w:t>
      </w:r>
    </w:p>
    <w:p>
      <w:pPr>
        <w:spacing w:after="0" w:line="188"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Sublease Revenue</w:t>
      </w:r>
      <w:r>
        <w:rPr>
          <w:rFonts w:ascii="Arial" w:cs="Arial" w:eastAsia="Arial" w:hAnsi="Arial"/>
          <w:sz w:val="18"/>
          <w:szCs w:val="18"/>
          <w:color w:val="auto"/>
        </w:rPr>
        <w:t>—In connection with the Separation, the Company subleases a portion of its office space at its New York and</w:t>
      </w:r>
      <w:r>
        <w:rPr>
          <w:rFonts w:ascii="Arial" w:cs="Arial" w:eastAsia="Arial" w:hAnsi="Arial"/>
          <w:sz w:val="18"/>
          <w:szCs w:val="18"/>
          <w:i w:val="1"/>
          <w:iCs w:val="1"/>
          <w:color w:val="auto"/>
        </w:rPr>
        <w:t xml:space="preserve"> </w:t>
      </w:r>
      <w:r>
        <w:rPr>
          <w:rFonts w:ascii="Arial" w:cs="Arial" w:eastAsia="Arial" w:hAnsi="Arial"/>
          <w:sz w:val="18"/>
          <w:szCs w:val="18"/>
          <w:color w:val="auto"/>
        </w:rPr>
        <w:t>Houston locations to PWP Capital Holdings LP. Sublease rent payments are due monthly and are based on PWP Capital Holdings LP’s pro-rata portion of the underlying lease agreements including base rent as well as other lease related charges. See additional information regarding the subleases at Note 4—Leases.</w:t>
      </w:r>
    </w:p>
    <w:p>
      <w:pPr>
        <w:spacing w:after="0" w:line="199"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The amounts due from the PWP Capital Holdings LP are reflected as Due from related parties on the Consolidated Statements of Financial Condition for the periods presented.</w:t>
      </w:r>
    </w:p>
    <w:p>
      <w:pPr>
        <w:spacing w:after="0" w:line="197"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The table below shows the components of related party revenues and expenses related to the TSA and sublease agreements included in the Condensed Consolidated Statements of Operations and Comprehensive Loss for the periods presented.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500" w:type="dxa"/>
            <w:vAlign w:val="bottom"/>
            <w:tcBorders>
              <w:bottom w:val="single" w:sz="8" w:color="CCEEFF"/>
            </w:tcBorders>
          </w:tcPr>
          <w:p>
            <w:pPr>
              <w:spacing w:after="0"/>
              <w:rPr>
                <w:sz w:val="13"/>
                <w:szCs w:val="13"/>
                <w:color w:val="auto"/>
              </w:rPr>
            </w:pPr>
          </w:p>
        </w:tc>
        <w:tc>
          <w:tcPr>
            <w:tcW w:w="4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2020</w:t>
            </w:r>
          </w:p>
        </w:tc>
        <w:tc>
          <w:tcPr>
            <w:tcW w:w="3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Related party revenues</w:t>
            </w:r>
          </w:p>
        </w:tc>
        <w:tc>
          <w:tcPr>
            <w:tcW w:w="4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TSA revenue - Compensation related</w:t>
            </w:r>
          </w:p>
        </w:tc>
        <w:tc>
          <w:tcPr>
            <w:tcW w:w="4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7"/>
              </w:rPr>
              <w:t>3,837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4,280</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TSA revenue - Non-compensation related</w:t>
            </w:r>
          </w:p>
        </w:tc>
        <w:tc>
          <w:tcPr>
            <w:tcW w:w="4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1,484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1,164</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Sublease revenue</w:t>
            </w:r>
          </w:p>
        </w:tc>
        <w:tc>
          <w:tcPr>
            <w:tcW w:w="4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3,942</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3,366</w:t>
            </w:r>
          </w:p>
        </w:tc>
        <w:tc>
          <w:tcPr>
            <w:tcW w:w="3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related party revenues</w:t>
            </w:r>
          </w:p>
        </w:tc>
        <w:tc>
          <w:tcPr>
            <w:tcW w:w="4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9,263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8,810</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Related party expenses</w:t>
            </w: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TSA compensation expense (1)</w:t>
            </w:r>
          </w:p>
        </w:tc>
        <w:tc>
          <w:tcPr>
            <w:tcW w:w="4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588</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0"/>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TSA non-compensation expense (2)</w:t>
            </w:r>
          </w:p>
        </w:tc>
        <w:tc>
          <w:tcPr>
            <w:tcW w:w="4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3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00" w:type="dxa"/>
            <w:vAlign w:val="bottom"/>
          </w:tcPr>
          <w:p>
            <w:pPr>
              <w:spacing w:after="0"/>
              <w:rPr>
                <w:sz w:val="24"/>
                <w:szCs w:val="24"/>
                <w:color w:val="auto"/>
              </w:rPr>
            </w:pPr>
          </w:p>
        </w:tc>
        <w:tc>
          <w:tcPr>
            <w:tcW w:w="4360" w:type="dxa"/>
            <w:vAlign w:val="bottom"/>
            <w:gridSpan w:val="2"/>
          </w:tcPr>
          <w:p>
            <w:pPr>
              <w:jc w:val="right"/>
              <w:ind w:right="3090"/>
              <w:spacing w:after="0"/>
              <w:rPr>
                <w:sz w:val="20"/>
                <w:szCs w:val="20"/>
                <w:color w:val="auto"/>
              </w:rPr>
            </w:pPr>
            <w:r>
              <w:rPr>
                <w:rFonts w:ascii="Arial" w:cs="Arial" w:eastAsia="Arial" w:hAnsi="Arial"/>
                <w:sz w:val="18"/>
                <w:szCs w:val="18"/>
                <w:color w:val="auto"/>
              </w:rPr>
              <w:t>F-88</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660" w:right="840" w:hanging="544"/>
        <w:spacing w:after="0" w:line="23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TSA compensation expense is included in Compensation and benefits in the Consolidated Statements of Operations and Comprehensive Loss.</w:t>
      </w:r>
    </w:p>
    <w:p>
      <w:pPr>
        <w:spacing w:after="0" w:line="1" w:lineRule="exact"/>
        <w:rPr>
          <w:rFonts w:ascii="Arial" w:cs="Arial" w:eastAsia="Arial" w:hAnsi="Arial"/>
          <w:sz w:val="18"/>
          <w:szCs w:val="18"/>
          <w:color w:val="auto"/>
        </w:rPr>
      </w:pPr>
    </w:p>
    <w:p>
      <w:pPr>
        <w:ind w:left="660" w:right="80" w:hanging="544"/>
        <w:spacing w:after="0" w:line="246"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TSA non-compensation expense is included in various financial statement line items in the Consolidated Statements of Operations and Comprehensive Loss.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 Revolver—</w:t>
      </w:r>
      <w:r>
        <w:rPr>
          <w:rFonts w:ascii="Arial" w:cs="Arial" w:eastAsia="Arial" w:hAnsi="Arial"/>
          <w:sz w:val="18"/>
          <w:szCs w:val="18"/>
          <w:color w:val="auto"/>
        </w:rPr>
        <w:t>In connection with the Separation, the Company entered into a revolving credit agreement with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PWP Capital Holdings LP pursuant to which the Company agreed to provide PWP Capital Holdings LP with revolving loans of up to</w:t>
      </w:r>
    </w:p>
    <w:p>
      <w:pPr>
        <w:ind w:left="120"/>
        <w:spacing w:after="0" w:line="234" w:lineRule="auto"/>
        <w:rPr>
          <w:sz w:val="20"/>
          <w:szCs w:val="20"/>
          <w:color w:val="auto"/>
        </w:rPr>
      </w:pPr>
      <w:r>
        <w:rPr>
          <w:rFonts w:ascii="Arial" w:cs="Arial" w:eastAsia="Arial" w:hAnsi="Arial"/>
          <w:sz w:val="18"/>
          <w:szCs w:val="18"/>
          <w:color w:val="auto"/>
        </w:rPr>
        <w:t>$30.0 million aggregate principal amount, with any borrowings subject to the Company’s consent in its sole discretion, the proceeds of</w:t>
      </w:r>
    </w:p>
    <w:p>
      <w:pPr>
        <w:ind w:left="120"/>
        <w:spacing w:after="0" w:line="235" w:lineRule="auto"/>
        <w:rPr>
          <w:sz w:val="20"/>
          <w:szCs w:val="20"/>
          <w:color w:val="auto"/>
        </w:rPr>
      </w:pPr>
      <w:r>
        <w:rPr>
          <w:rFonts w:ascii="Arial" w:cs="Arial" w:eastAsia="Arial" w:hAnsi="Arial"/>
          <w:sz w:val="18"/>
          <w:szCs w:val="18"/>
          <w:color w:val="auto"/>
        </w:rPr>
        <w:t>which would be used for working capital and other general corporate purposes. Subsequent to the execution of the revolving credit</w:t>
      </w:r>
    </w:p>
    <w:p>
      <w:pPr>
        <w:ind w:left="120"/>
        <w:spacing w:after="0" w:line="235" w:lineRule="auto"/>
        <w:rPr>
          <w:sz w:val="20"/>
          <w:szCs w:val="20"/>
          <w:color w:val="auto"/>
        </w:rPr>
      </w:pPr>
      <w:r>
        <w:rPr>
          <w:rFonts w:ascii="Arial" w:cs="Arial" w:eastAsia="Arial" w:hAnsi="Arial"/>
          <w:sz w:val="18"/>
          <w:szCs w:val="18"/>
          <w:color w:val="auto"/>
        </w:rPr>
        <w:t>agreement, the Company notified the Asset Management business that pursuant to its discretion under the intercompany borrowing</w:t>
      </w:r>
    </w:p>
    <w:p>
      <w:pPr>
        <w:ind w:left="120"/>
        <w:spacing w:after="0" w:line="235" w:lineRule="auto"/>
        <w:rPr>
          <w:sz w:val="20"/>
          <w:szCs w:val="20"/>
          <w:color w:val="auto"/>
        </w:rPr>
      </w:pPr>
      <w:r>
        <w:rPr>
          <w:rFonts w:ascii="Arial" w:cs="Arial" w:eastAsia="Arial" w:hAnsi="Arial"/>
          <w:sz w:val="18"/>
          <w:szCs w:val="18"/>
          <w:color w:val="auto"/>
        </w:rPr>
        <w:t>facility, the Company would not consent to providing any loan under the agreement. No funding was provided in connection with this</w:t>
      </w:r>
    </w:p>
    <w:p>
      <w:pPr>
        <w:ind w:left="120"/>
        <w:spacing w:after="0"/>
        <w:rPr>
          <w:sz w:val="20"/>
          <w:szCs w:val="20"/>
          <w:color w:val="auto"/>
        </w:rPr>
      </w:pPr>
      <w:r>
        <w:rPr>
          <w:rFonts w:ascii="Arial" w:cs="Arial" w:eastAsia="Arial" w:hAnsi="Arial"/>
          <w:sz w:val="18"/>
          <w:szCs w:val="18"/>
          <w:color w:val="auto"/>
        </w:rPr>
        <w:t>intercompany loan while it was in place. On November 10, 2020, the loan agreement was terminated.</w:t>
      </w:r>
    </w:p>
    <w:p>
      <w:pPr>
        <w:spacing w:after="0" w:line="19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Compensation Arrangements—</w:t>
      </w:r>
      <w:r>
        <w:rPr>
          <w:rFonts w:ascii="Arial" w:cs="Arial" w:eastAsia="Arial" w:hAnsi="Arial"/>
          <w:sz w:val="18"/>
          <w:szCs w:val="18"/>
          <w:color w:val="auto"/>
        </w:rPr>
        <w:t>In addition, PWP Capital Holdings LP has entered into an arrangement with an employee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related to 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Consolidated Statements of Financial Condition in the amounts of $8.0 million and $7.9 million as of December 31, 2020 and 2019, respectively.</w:t>
      </w:r>
    </w:p>
    <w:p>
      <w:pPr>
        <w:spacing w:after="0" w:line="20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During the year ended December 31, 2019 and in connection with the Separation, certain Partner Promissory Notes in the amount of $1.6 million were transferred from the Company to PWP Capital Holdings LP. No amounts were transferred during the years ended December 31, 2020 and 2018.</w:t>
      </w:r>
    </w:p>
    <w:p>
      <w:pPr>
        <w:spacing w:after="0" w:line="203"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years ended December 31, 2020 and 2018.</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During the year ended December 31, 2018, $ 0.3 million of principal and interest receivable related to the Partner Promissory Notes was forgiven by the Company and recognized within Compensation and benefits in the Consolidated Statements of Operations and Comprehensive Loss.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00"/>
          </w:cols>
          <w:pgMar w:left="320" w:top="459" w:right="4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amounts were forgiven related to the Partner Promissory Notes for the years ended December 31, 2020 and 2019.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Principal amounts of $8.7 million related to the Convertible Notes are held by affiliates as of December 31, 2020 and 2019. Refer to Note 9—Debt for additional information on the Convertible Notes.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An executive of the Company was an independent director on the board of Cadence Bank, the holder of the Revolving Credit Facility, until May of 2019 at which time he retired from that position. Refer to Note 9—Debt for additional information on the Senior Term Loan modified to the Revolving Credit Facility.</w:t>
      </w:r>
    </w:p>
    <w:p>
      <w:pPr>
        <w:spacing w:after="0" w:line="329" w:lineRule="exact"/>
        <w:rPr>
          <w:sz w:val="20"/>
          <w:szCs w:val="20"/>
          <w:color w:val="auto"/>
        </w:rPr>
      </w:pPr>
    </w:p>
    <w:p>
      <w:pPr>
        <w:ind w:left="120" w:right="7580" w:hanging="4"/>
        <w:spacing w:after="0" w:line="372" w:lineRule="auto"/>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Loan Guarantees</w:t>
      </w:r>
    </w:p>
    <w:p>
      <w:pPr>
        <w:spacing w:after="0" w:line="1"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is $5.7 million and $8.1 million as of December 31, 2020 and 2019, respectively. These guarantees are secured by either the Partners’ limited partnership interests in the Company or limited partnership interests in an affiliate. As of December 31, 2020 and 2019, no loan was in default.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2020 and 2019, the Company expects no claims or losses pursuant to these contracts; therefore, no liability has been recorded related to these indemnification provisions.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2020 and 2019 and for the years ended December 31, 2020, 2019, and 2018.</w:t>
      </w:r>
    </w:p>
    <w:p>
      <w:pPr>
        <w:spacing w:after="0" w:line="205"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9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205"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7"/>
          <w:szCs w:val="17"/>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90"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202"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During the years ended December 31, 2020, 2019, and 2018, the Company incurred $1.4 million, $4.0 million, and $3.1 million, respectively, in legal and professional fees, net of expected insurance reimbursement, related to this litigation. These litigation costs are included in Professional fees in the Consolidated Statements of Operations and Comprehensive Loss.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December 31, 2020, the Company had approximately $22.4 million of potential future awards pursuant to these agreements.</w:t>
      </w:r>
    </w:p>
    <w:p>
      <w:pPr>
        <w:spacing w:after="0" w:line="331" w:lineRule="exact"/>
        <w:rPr>
          <w:sz w:val="20"/>
          <w:szCs w:val="20"/>
          <w:color w:val="auto"/>
        </w:rPr>
      </w:pPr>
    </w:p>
    <w:p>
      <w:pPr>
        <w:ind w:left="660" w:hanging="54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Information</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There was no individual client that accounted for more than 10% of aggregate revenues for the years ended December 31, 2020, 2019, and 2018.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100" w:type="dxa"/>
            <w:vAlign w:val="bottom"/>
            <w:gridSpan w:val="12"/>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8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6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4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Revenues</w:t>
            </w:r>
          </w:p>
        </w:tc>
        <w:tc>
          <w:tcPr>
            <w:tcW w:w="3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820" w:type="dxa"/>
            <w:vAlign w:val="bottom"/>
          </w:tcPr>
          <w:p>
            <w:pPr>
              <w:ind w:left="360"/>
              <w:spacing w:after="0" w:line="202" w:lineRule="exact"/>
              <w:rPr>
                <w:sz w:val="20"/>
                <w:szCs w:val="20"/>
                <w:color w:val="auto"/>
              </w:rPr>
            </w:pPr>
            <w:r>
              <w:rPr>
                <w:rFonts w:ascii="Arial" w:cs="Arial" w:eastAsia="Arial" w:hAnsi="Arial"/>
                <w:sz w:val="18"/>
                <w:szCs w:val="18"/>
                <w:color w:val="auto"/>
              </w:rPr>
              <w:t>United States</w:t>
            </w:r>
          </w:p>
        </w:tc>
        <w:tc>
          <w:tcPr>
            <w:tcW w:w="3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$ 387,038</w:t>
            </w:r>
          </w:p>
        </w:tc>
        <w:tc>
          <w:tcPr>
            <w:tcW w:w="126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$ 446,320</w:t>
            </w:r>
          </w:p>
        </w:tc>
        <w:tc>
          <w:tcPr>
            <w:tcW w:w="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$ 576,100</w:t>
            </w:r>
          </w:p>
        </w:tc>
        <w:tc>
          <w:tcPr>
            <w:tcW w:w="60" w:type="dxa"/>
            <w:vAlign w:val="bottom"/>
          </w:tcPr>
          <w:p>
            <w:pPr>
              <w:spacing w:after="0"/>
              <w:rPr>
                <w:sz w:val="17"/>
                <w:szCs w:val="17"/>
                <w:color w:val="auto"/>
              </w:rPr>
            </w:pPr>
          </w:p>
        </w:tc>
      </w:tr>
      <w:tr>
        <w:trPr>
          <w:trHeight w:val="203"/>
        </w:trPr>
        <w:tc>
          <w:tcPr>
            <w:tcW w:w="4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 of the world</w:t>
            </w:r>
          </w:p>
        </w:tc>
        <w:tc>
          <w:tcPr>
            <w:tcW w:w="3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131,948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86,977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125,889</w:t>
            </w:r>
          </w:p>
        </w:tc>
        <w:tc>
          <w:tcPr>
            <w:tcW w:w="60" w:type="dxa"/>
            <w:vAlign w:val="bottom"/>
            <w:shd w:val="clear" w:color="auto" w:fill="CCEEFF"/>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20" w:type="dxa"/>
            <w:vAlign w:val="bottom"/>
          </w:tcPr>
          <w:p>
            <w:pPr>
              <w:ind w:left="72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$ 518,986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$ 533,297</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$ 701,989</w:t>
            </w:r>
          </w:p>
        </w:tc>
        <w:tc>
          <w:tcPr>
            <w:tcW w:w="6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82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183"/>
        </w:trPr>
        <w:tc>
          <w:tcPr>
            <w:tcW w:w="48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4820" w:type="dxa"/>
            <w:vAlign w:val="bottom"/>
          </w:tcPr>
          <w:p>
            <w:pPr>
              <w:ind w:left="360"/>
              <w:spacing w:after="0" w:line="202" w:lineRule="exact"/>
              <w:rPr>
                <w:sz w:val="20"/>
                <w:szCs w:val="20"/>
                <w:color w:val="auto"/>
              </w:rPr>
            </w:pPr>
            <w:r>
              <w:rPr>
                <w:rFonts w:ascii="Arial" w:cs="Arial" w:eastAsia="Arial" w:hAnsi="Arial"/>
                <w:sz w:val="18"/>
                <w:szCs w:val="18"/>
                <w:color w:val="auto"/>
              </w:rPr>
              <w:t>United States</w:t>
            </w:r>
          </w:p>
        </w:tc>
        <w:tc>
          <w:tcPr>
            <w:tcW w:w="3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406,884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421,530</w:t>
            </w:r>
          </w:p>
        </w:tc>
      </w:tr>
      <w:tr>
        <w:trPr>
          <w:trHeight w:val="203"/>
        </w:trPr>
        <w:tc>
          <w:tcPr>
            <w:tcW w:w="4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 of the world</w:t>
            </w:r>
          </w:p>
        </w:tc>
        <w:tc>
          <w:tcPr>
            <w:tcW w:w="3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136,069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103,315</w:t>
            </w:r>
          </w:p>
        </w:tc>
        <w:tc>
          <w:tcPr>
            <w:tcW w:w="60" w:type="dxa"/>
            <w:vAlign w:val="bottom"/>
            <w:shd w:val="clear" w:color="auto" w:fill="CCEEFF"/>
          </w:tcPr>
          <w:p>
            <w:pPr>
              <w:spacing w:after="0"/>
              <w:rPr>
                <w:sz w:val="17"/>
                <w:szCs w:val="17"/>
                <w:color w:val="auto"/>
              </w:rPr>
            </w:pPr>
          </w:p>
        </w:tc>
      </w:tr>
      <w:tr>
        <w:trPr>
          <w:trHeight w:val="210"/>
        </w:trPr>
        <w:tc>
          <w:tcPr>
            <w:tcW w:w="4820" w:type="dxa"/>
            <w:vAlign w:val="bottom"/>
          </w:tcPr>
          <w:p>
            <w:pPr>
              <w:ind w:left="720"/>
              <w:spacing w:after="0"/>
              <w:rPr>
                <w:sz w:val="20"/>
                <w:szCs w:val="20"/>
                <w:color w:val="auto"/>
              </w:rPr>
            </w:pPr>
            <w:r>
              <w:rPr>
                <w:rFonts w:ascii="Arial" w:cs="Arial" w:eastAsia="Arial" w:hAnsi="Arial"/>
                <w:sz w:val="18"/>
                <w:szCs w:val="18"/>
                <w:color w:val="auto"/>
              </w:rPr>
              <w:t>Total</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542,953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524,845</w:t>
            </w:r>
          </w:p>
        </w:tc>
      </w:tr>
      <w:tr>
        <w:trPr>
          <w:trHeight w:val="20"/>
        </w:trPr>
        <w:tc>
          <w:tcPr>
            <w:tcW w:w="4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Subsequent to December 31, 2020, the SLP granted SLP awards to certain Partners supporting the Company’s operations with a service period of one year.</w:t>
      </w:r>
    </w:p>
    <w:p>
      <w:pPr>
        <w:spacing w:after="0" w:line="197"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Subsequent to December 31, 2020, the Company made distributions of $6.7 million to certain ILPs and to the SLP for purposes of tax distributions in accordance with the LPA.</w:t>
      </w:r>
    </w:p>
    <w:p>
      <w:pPr>
        <w:spacing w:after="0" w:line="197"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Subsequent to December 31, 2020, PWP Forward Acquisition Corp. I, which is sponsored by the Company, its partners, employees and other investors who have a relationship with the Company, filed a registration statement on Form S-1 in connection with the formation of a special purpose acquisition company.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06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70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197,189</w:t>
            </w:r>
          </w:p>
        </w:tc>
        <w:tc>
          <w:tcPr>
            <w:tcW w:w="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329,063</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1,836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1,845</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Accounts receivable, net of allowance</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62,704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40,802</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Due from related parties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1,570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289</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Fixed assets, net of accumulated depreciation and amortization</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15,317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17,189</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 of accumulated amortization</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37,287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38,932</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34,383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34,383</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assets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28,497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25,792</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Right-of-use lease assets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49,235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53,444</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asset</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1,071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1,214</w:t>
            </w: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429,089</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542,953</w:t>
            </w: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Partners’ Capital</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Accrued compensation and benefits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83,708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213,524</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compensation programs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17,244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17,208</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26,825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22,246</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5,773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10,598</w:t>
            </w: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Lease liabilities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53,897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58,229</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Debt, net of unamortized debt discounts and issuance costs</w:t>
            </w:r>
          </w:p>
        </w:tc>
        <w:tc>
          <w:tcPr>
            <w:tcW w:w="1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147,999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146,965</w:t>
            </w:r>
          </w:p>
        </w:tc>
        <w:tc>
          <w:tcPr>
            <w:tcW w:w="120" w:type="dxa"/>
            <w:vAlign w:val="bottom"/>
            <w:shd w:val="clear" w:color="auto" w:fill="CCEEFF"/>
          </w:tcPr>
          <w:p>
            <w:pPr>
              <w:spacing w:after="0"/>
              <w:rPr>
                <w:sz w:val="17"/>
                <w:szCs w:val="17"/>
                <w:color w:val="auto"/>
              </w:rPr>
            </w:pPr>
          </w:p>
        </w:tc>
      </w:tr>
      <w:tr>
        <w:trPr>
          <w:trHeight w:val="216"/>
        </w:trPr>
        <w:tc>
          <w:tcPr>
            <w:tcW w:w="70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335,446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468,770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13)</w:t>
            </w:r>
          </w:p>
        </w:tc>
        <w:tc>
          <w:tcPr>
            <w:tcW w:w="1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Partners’ capital</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95,741</w:t>
            </w:r>
          </w:p>
        </w:tc>
        <w:tc>
          <w:tcPr>
            <w:tcW w:w="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76,509</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(2,098)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(2,326)</w:t>
            </w: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60" w:type="dxa"/>
            <w:vAlign w:val="bottom"/>
          </w:tcPr>
          <w:p>
            <w:pPr>
              <w:ind w:left="720"/>
              <w:spacing w:after="0"/>
              <w:rPr>
                <w:sz w:val="20"/>
                <w:szCs w:val="20"/>
                <w:color w:val="auto"/>
              </w:rPr>
            </w:pPr>
            <w:r>
              <w:rPr>
                <w:rFonts w:ascii="Arial" w:cs="Arial" w:eastAsia="Arial" w:hAnsi="Arial"/>
                <w:sz w:val="18"/>
                <w:szCs w:val="18"/>
                <w:color w:val="auto"/>
              </w:rPr>
              <w:t>Total Partners’ capital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93,643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74,183</w:t>
            </w:r>
          </w:p>
        </w:tc>
      </w:tr>
      <w:tr>
        <w:trPr>
          <w:trHeight w:val="27"/>
        </w:trPr>
        <w:tc>
          <w:tcPr>
            <w:tcW w:w="7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0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liabilities and Partners’ capital</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429,089</w:t>
            </w:r>
          </w:p>
        </w:tc>
        <w:tc>
          <w:tcPr>
            <w:tcW w:w="3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542,953</w:t>
            </w: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1060"/>
        <w:spacing w:after="0" w:line="439" w:lineRule="auto"/>
        <w:rPr>
          <w:sz w:val="20"/>
          <w:szCs w:val="20"/>
          <w:color w:val="auto"/>
        </w:rPr>
      </w:pPr>
      <w:r>
        <w:rPr>
          <w:rFonts w:ascii="Arial" w:cs="Arial" w:eastAsia="Arial" w:hAnsi="Arial"/>
          <w:sz w:val="18"/>
          <w:szCs w:val="18"/>
          <w:i w:val="1"/>
          <w:iCs w:val="1"/>
          <w:color w:val="auto"/>
        </w:rPr>
        <w:t xml:space="preserve">The accompanying notes are an integral part of these condensed consolidated financial statements (unaudited). </w:t>
      </w: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8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169,802</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92,396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109,470</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58,511</w:t>
            </w:r>
          </w:p>
        </w:tc>
        <w:tc>
          <w:tcPr>
            <w:tcW w:w="0" w:type="dxa"/>
            <w:vAlign w:val="bottom"/>
          </w:tcPr>
          <w:p>
            <w:pPr>
              <w:spacing w:after="0"/>
              <w:rPr>
                <w:sz w:val="1"/>
                <w:szCs w:val="1"/>
                <w:color w:val="auto"/>
              </w:rPr>
            </w:pPr>
          </w:p>
        </w:tc>
      </w:tr>
      <w:tr>
        <w:trPr>
          <w:trHeight w:val="210"/>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6,157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compensation and benefits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115,627</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64,696</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5,728</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infrastructure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6,956</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Rent and occupancy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6,702</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Travel and related expenses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661</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General, administrative and other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2,204</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3,880</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08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141,758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28,044</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Related party revenues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2,209</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(1,854)</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(3,868)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Pr>
          <w:p>
            <w:pPr>
              <w:ind w:left="720"/>
              <w:spacing w:after="0"/>
              <w:rPr>
                <w:sz w:val="20"/>
                <w:szCs w:val="20"/>
                <w:color w:val="auto"/>
              </w:rPr>
            </w:pPr>
            <w:r>
              <w:rPr>
                <w:rFonts w:ascii="Arial" w:cs="Arial" w:eastAsia="Arial" w:hAnsi="Arial"/>
                <w:sz w:val="18"/>
                <w:szCs w:val="18"/>
                <w:color w:val="auto"/>
              </w:rPr>
              <w:t>Total non-operating income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auto"/>
              </w:rPr>
              <w:t>(3,513)</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24,531</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22,507</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currency translation gain (loss)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22,735</w:t>
            </w:r>
          </w:p>
        </w:tc>
        <w:tc>
          <w:tcPr>
            <w:tcW w:w="6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1060"/>
        <w:spacing w:after="0" w:line="439" w:lineRule="auto"/>
        <w:rPr>
          <w:sz w:val="20"/>
          <w:szCs w:val="20"/>
          <w:color w:val="auto"/>
        </w:rPr>
      </w:pPr>
      <w:r>
        <w:rPr>
          <w:rFonts w:ascii="Arial" w:cs="Arial" w:eastAsia="Arial" w:hAnsi="Arial"/>
          <w:sz w:val="18"/>
          <w:szCs w:val="18"/>
          <w:i w:val="1"/>
          <w:iCs w:val="1"/>
          <w:color w:val="auto"/>
        </w:rPr>
        <w:t xml:space="preserve">The accompanying notes are an integral part of these condensed consolidated financial statements (unaudited). </w:t>
      </w:r>
      <w:r>
        <w:rPr>
          <w:rFonts w:ascii="Arial" w:cs="Arial" w:eastAsia="Arial" w:hAnsi="Arial"/>
          <w:sz w:val="18"/>
          <w:szCs w:val="18"/>
          <w:color w:val="auto"/>
        </w:rPr>
        <w:t>F-95</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Three Months Ended March 31, 2021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center"/>
              <w:ind w:right="70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Total Partners’</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Partners’ Capital</w:t>
            </w:r>
          </w:p>
        </w:tc>
        <w:tc>
          <w:tcPr>
            <w:tcW w:w="360" w:type="dxa"/>
            <w:vAlign w:val="bottom"/>
          </w:tcPr>
          <w:p>
            <w:pPr>
              <w:spacing w:after="0"/>
              <w:rPr>
                <w:sz w:val="15"/>
                <w:szCs w:val="15"/>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76,509</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22,507</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Equity-based compensation</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6,157</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Distributions</w:t>
            </w:r>
          </w:p>
        </w:tc>
        <w:tc>
          <w:tcPr>
            <w:tcW w:w="34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(9,816)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384</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9"/>
        </w:trPr>
        <w:tc>
          <w:tcPr>
            <w:tcW w:w="61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March 31, 2021</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95,741</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(2,098)</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93,643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Three Months Ended March 31, 2020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center"/>
              <w:ind w:right="70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Total Partners’</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Partners’ Capital</w:t>
            </w:r>
          </w:p>
        </w:tc>
        <w:tc>
          <w:tcPr>
            <w:tcW w:w="360" w:type="dxa"/>
            <w:vAlign w:val="bottom"/>
          </w:tcPr>
          <w:p>
            <w:pPr>
              <w:spacing w:after="0"/>
              <w:rPr>
                <w:sz w:val="15"/>
                <w:szCs w:val="15"/>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87,725</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(5,820)</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81,905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Adoption of ASU 2016-13</w:t>
            </w:r>
          </w:p>
        </w:tc>
        <w:tc>
          <w:tcPr>
            <w:tcW w:w="34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(188)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(4,062)</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2"/>
        </w:trPr>
        <w:tc>
          <w:tcPr>
            <w:tcW w:w="616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6,185</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3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(9,429)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(2,612)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Balance at March 31, 2020</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80,187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(8,432)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71,755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440" w:right="1060"/>
        <w:spacing w:after="0" w:line="439" w:lineRule="auto"/>
        <w:rPr>
          <w:sz w:val="20"/>
          <w:szCs w:val="20"/>
          <w:color w:val="auto"/>
        </w:rPr>
      </w:pPr>
      <w:r>
        <w:rPr>
          <w:rFonts w:ascii="Arial" w:cs="Arial" w:eastAsia="Arial" w:hAnsi="Arial"/>
          <w:sz w:val="18"/>
          <w:szCs w:val="18"/>
          <w:i w:val="1"/>
          <w:iCs w:val="1"/>
          <w:color w:val="auto"/>
        </w:rPr>
        <w:t xml:space="preserve">The accompanying notes are an integral part of these condensed consolidated financial statements (unaudited). </w:t>
      </w:r>
      <w:r>
        <w:rPr>
          <w:rFonts w:ascii="Arial" w:cs="Arial" w:eastAsia="Arial" w:hAnsi="Arial"/>
          <w:sz w:val="18"/>
          <w:szCs w:val="18"/>
          <w:color w:val="auto"/>
        </w:rPr>
        <w:t>F-96</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22,507</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Adjustments to reconcile net income (loss) to net cash provided by (used in) operating</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activities: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Equity-based compensation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6,157</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3,880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Amortization of debt discounts and deferred financing costs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1,034</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Non-cash operating lease expense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4,262</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Other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(511)</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Decrease (increase) in operating assets: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Accounts receivable, net of allowance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(21,621)</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28,606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Due from related parties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(2,655)</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tax asset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40" w:type="dxa"/>
            <w:vAlign w:val="bottom"/>
          </w:tcPr>
          <w:p>
            <w:pPr>
              <w:ind w:left="360"/>
              <w:spacing w:after="0" w:line="202" w:lineRule="exact"/>
              <w:rPr>
                <w:sz w:val="20"/>
                <w:szCs w:val="20"/>
                <w:color w:val="auto"/>
              </w:rPr>
            </w:pPr>
            <w:r>
              <w:rPr>
                <w:rFonts w:ascii="Arial" w:cs="Arial" w:eastAsia="Arial" w:hAnsi="Arial"/>
                <w:sz w:val="18"/>
                <w:szCs w:val="18"/>
                <w:color w:val="auto"/>
              </w:rPr>
              <w:t>Increase (decrease) in operating liabilities: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compensation and benefits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(129,941)</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(172,190)</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Deferred compensation programs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5,683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(4,852)</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(4,379)</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(121,229)</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(137,550)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Purchases of fixed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(417)</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(978)</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Draw down on Revolving Credit Facility</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Principal payment on Revolving Credit Facility</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Distributions to Partners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(9,816)</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(9,816)</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(132,440)</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(136,065)</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0"/>
        </w:trPr>
        <w:tc>
          <w:tcPr>
            <w:tcW w:w="774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330,908</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end of period</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199,025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128,547</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liabilities arising from obtaining right-of-use lease assets</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Net assets of deconsolidated affiliate</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394</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720"/>
              <w:spacing w:after="0" w:line="202" w:lineRule="exact"/>
              <w:rPr>
                <w:sz w:val="20"/>
                <w:szCs w:val="20"/>
                <w:color w:val="auto"/>
              </w:rPr>
            </w:pPr>
            <w:r>
              <w:rPr>
                <w:rFonts w:ascii="Arial" w:cs="Arial" w:eastAsia="Arial" w:hAnsi="Arial"/>
                <w:sz w:val="18"/>
                <w:szCs w:val="18"/>
                <w:color w:val="auto"/>
              </w:rPr>
              <w:t>Cash paid for income taxes</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paid for interest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2,835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left="440" w:right="1060"/>
        <w:spacing w:after="0" w:line="439" w:lineRule="auto"/>
        <w:rPr>
          <w:sz w:val="20"/>
          <w:szCs w:val="20"/>
          <w:color w:val="auto"/>
        </w:rPr>
      </w:pPr>
      <w:r>
        <w:rPr>
          <w:rFonts w:ascii="Arial" w:cs="Arial" w:eastAsia="Arial" w:hAnsi="Arial"/>
          <w:sz w:val="18"/>
          <w:szCs w:val="18"/>
          <w:i w:val="1"/>
          <w:iCs w:val="1"/>
          <w:color w:val="auto"/>
        </w:rPr>
        <w:t xml:space="preserve">The accompanying notes are an integral part of these condensed consolidated financial statements (unaudited). </w:t>
      </w:r>
      <w:r>
        <w:rPr>
          <w:rFonts w:ascii="Arial" w:cs="Arial" w:eastAsia="Arial" w:hAnsi="Arial"/>
          <w:sz w:val="18"/>
          <w:szCs w:val="18"/>
          <w:color w:val="auto"/>
        </w:rPr>
        <w:t>F-97</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jc w:val="center"/>
        <w:ind w:right="-15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Business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20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LP and PWP Capital Holdings LP.</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2019, the Company entered into a lease agreement in Munich, Germany and officially opened the office on January 1,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 with FinTech Acquisition Corp. IV</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080"/>
          </w:cols>
          <w:pgMar w:left="320" w:top="459" w:right="49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jc w:val="center"/>
        <w:ind w:right="-17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transaction reflects an implied equity value for the combined company of approximately $ 975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ILPs and Partners. Any remaining net proceeds will be used for general corporate purposes. At closing of the transaction, PWP expects to have a debt-free balance sheet with access to additional liquidity under an undrawn revolving credit facility.</w:t>
      </w:r>
    </w:p>
    <w:p>
      <w:pPr>
        <w:spacing w:after="0" w:line="2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203"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The business combination is expected to close in the second quarter of 2021, pending FinTech IV stockholder approval, regulatory approval and other customary closing conditions.</w:t>
      </w:r>
    </w:p>
    <w:p>
      <w:pPr>
        <w:spacing w:after="0" w:line="323" w:lineRule="exact"/>
        <w:rPr>
          <w:sz w:val="20"/>
          <w:szCs w:val="20"/>
          <w:color w:val="auto"/>
        </w:rPr>
      </w:pPr>
    </w:p>
    <w:p>
      <w:pPr>
        <w:ind w:left="120" w:right="6620" w:hanging="4"/>
        <w:spacing w:after="0" w:line="372" w:lineRule="auto"/>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Accounting</w:t>
      </w:r>
    </w:p>
    <w:p>
      <w:pPr>
        <w:spacing w:after="0" w:line="1" w:lineRule="exact"/>
        <w:rPr>
          <w:sz w:val="20"/>
          <w:szCs w:val="20"/>
          <w:color w:val="auto"/>
        </w:rPr>
      </w:pPr>
    </w:p>
    <w:p>
      <w:pPr>
        <w:ind w:left="120" w:right="480" w:firstLine="551"/>
        <w:spacing w:after="0" w:line="274" w:lineRule="auto"/>
        <w:rPr>
          <w:sz w:val="20"/>
          <w:szCs w:val="20"/>
          <w:color w:val="auto"/>
        </w:rPr>
      </w:pPr>
      <w:r>
        <w:rPr>
          <w:rFonts w:ascii="Arial" w:cs="Arial" w:eastAsia="Arial" w:hAnsi="Arial"/>
          <w:sz w:val="17"/>
          <w:szCs w:val="17"/>
          <w:color w:val="auto"/>
        </w:rPr>
        <w:t>The condensed consolidated financial statements reflect the financial condition, results of operations and cash flows of the Company and have been prepared in accordance with generally accepted accounting principles in the United States (“U.S. GAAP”).</w:t>
      </w:r>
    </w:p>
    <w:p>
      <w:pPr>
        <w:spacing w:after="0" w:line="17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 accordance with U.S. GAAP. The condensed consolidated financial statements reflect all material adjustments of a normal recurring nature that, in the opinion of management, are necessary for a fair presentation of the results for the interim periods. These condensed consolidated financial statements should be read in conjunction with the audited consolidated financial statements and notes thereto for the year ended December 31, 2020.</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060"/>
          </w:cols>
          <w:pgMar w:left="320" w:top="459" w:right="51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17" w:lineRule="exact"/>
        <w:rPr>
          <w:sz w:val="20"/>
          <w:szCs w:val="20"/>
          <w:color w:val="auto"/>
        </w:rPr>
      </w:pPr>
    </w:p>
    <w:p>
      <w:pPr>
        <w:ind w:left="880" w:hanging="224"/>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17" w:lineRule="exact"/>
        <w:rPr>
          <w:rFonts w:ascii="Arial" w:cs="Arial" w:eastAsia="Arial" w:hAnsi="Arial"/>
          <w:sz w:val="18"/>
          <w:szCs w:val="18"/>
          <w:color w:val="auto"/>
        </w:rPr>
      </w:pPr>
    </w:p>
    <w:p>
      <w:pPr>
        <w:ind w:left="880" w:right="740" w:hanging="224"/>
        <w:spacing w:after="0" w:line="246" w:lineRule="auto"/>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condensed consolidated financial statements.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26"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Cash and cash equivalents are highly liquid investments with original maturities of three months or less from the date of purchase. As of March 31, 2021 and December 31, 2020, the Company had no cash equivalents. The Company maintains cash with banks and brokerage firms, which from time to time may exceed federally insured limits.</w:t>
      </w:r>
    </w:p>
    <w:p>
      <w:pPr>
        <w:spacing w:after="0" w:line="20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Restricted cash represents cash that is not readily available for general purpose cash needs. As of March 31, 2021 and December 31, 2020, the Company had restricted cash of $1.8 million maintained as collateral for letters of credit related to the Company’s New York City and Paris office leases.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20"/>
          </w:cols>
          <w:pgMar w:left="320" w:top="459"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800" w:firstLine="551"/>
        <w:spacing w:after="0" w:line="246" w:lineRule="auto"/>
        <w:rPr>
          <w:sz w:val="20"/>
          <w:szCs w:val="20"/>
          <w:color w:val="auto"/>
        </w:rPr>
      </w:pPr>
      <w:r>
        <w:rPr>
          <w:rFonts w:ascii="Arial" w:cs="Arial" w:eastAsia="Arial" w:hAnsi="Arial"/>
          <w:sz w:val="18"/>
          <w:szCs w:val="18"/>
          <w:color w:val="auto"/>
        </w:rPr>
        <w:t>A reconciliation of the Company’s cash, cash equivalents and restricted cash as of March 31, 2021 and March 31, 2020 is presented below.</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9020" w:type="dxa"/>
            <w:vAlign w:val="bottom"/>
          </w:tcPr>
          <w:p>
            <w:pPr>
              <w:spacing w:after="0"/>
              <w:rPr>
                <w:sz w:val="13"/>
                <w:szCs w:val="13"/>
                <w:color w:val="auto"/>
              </w:rPr>
            </w:pPr>
          </w:p>
        </w:tc>
        <w:tc>
          <w:tcPr>
            <w:tcW w:w="82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$ 197,189</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$ 126,450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8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2,097</w:t>
            </w:r>
          </w:p>
        </w:tc>
      </w:tr>
      <w:tr>
        <w:trPr>
          <w:trHeight w:val="20"/>
        </w:trPr>
        <w:tc>
          <w:tcPr>
            <w:tcW w:w="9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$ 199,025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$ 128,547</w:t>
            </w:r>
          </w:p>
        </w:tc>
      </w:tr>
      <w:tr>
        <w:trPr>
          <w:trHeight w:val="20"/>
        </w:trPr>
        <w:tc>
          <w:tcPr>
            <w:tcW w:w="9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26"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March 31, 2021 and December 31, 2020, $14.5 million and $5.1 million, respectively, of accrued revenue was included in Accounts receivable, net of allowance on the Condensed Consolidated Statements of Financial Condition. These amounts represent amounts due from customers and recognized as revenue in accordance with the Company’s revenue recognition policies but unbilled as of March 31, 2021 and December 31, 2020.</w:t>
      </w:r>
    </w:p>
    <w:p>
      <w:pPr>
        <w:spacing w:after="0" w:line="205"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March 31, 2021, certain accounts receivable in the aggregate amount of $27.6 million were individually greater than 10% of the Company’s total accounts receivable and were concentrated with three clients. Of that amount, $ 17.4 million was subsequently received after March 31, 2021. As of December 31, 2020, there were no accounts receivable individually greater than 10% of the Company’s total accounts receivable.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08" w:lineRule="exact"/>
        <w:rPr>
          <w:sz w:val="20"/>
          <w:szCs w:val="20"/>
          <w:color w:val="auto"/>
        </w:rPr>
      </w:pPr>
    </w:p>
    <w:p>
      <w:pPr>
        <w:jc w:val="both"/>
        <w:ind w:left="120" w:right="160" w:firstLine="551"/>
        <w:spacing w:after="0" w:line="250"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9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customer and the current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jc w:val="center"/>
        <w:ind w:right="-17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economic conditions that may affect a customer’s ability to pay such amounts owed to the Company and as a result may recognize a specific credit loss reserve. Changes to expected credit losses during the period are included in General, administrative and other expenses in the Condensed Consolidated Statements of Operations and Comprehensive Income (Loss). After concluding that a reserved accounts receivable is no longer collectible, the Company reduces both the gross receivable and the allowance for credit losses.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As of March 31, 2021 and December 31, 2020, the Company did not consolidate any VIEs that were deemed material to the condensed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(expenses) on the Condensed Consolidated Statements of Operations and Comprehensive Income (Loss) using the most recently available earnings data at the end of the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26"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The majority of Prepaid expenses and other assets consists of prepaid expenses and deferred offering costs.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Due to the termination of the Public Company Transaction process, in May 2020, the Company expensed all previously deferred offering costs totaling $14.8 million to Professional fees on the Condensed Consolidated Statements of Operations and Comprehensive Income (Loss). Once the Company reinitiated efforts of becoming a publicly traded company via the reorganization and business combination with FinTech IV, it began deferring these costs. As of March 31, 2021 and December 31, 2020, cumulative offering costs of $13.3 million and $9.1 million, respectively, were deferred within Prepaid expenses and other assets on the Condensed Consolidated Statements of Financial Condition.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060"/>
          </w:cols>
          <w:pgMar w:left="320" w:top="459" w:right="51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The Company has elected to adopt new or revised financial accounting standards at the time public companies are required to comply with the new or revised financial accounting standards.</w:t>
      </w:r>
    </w:p>
    <w:p>
      <w:pPr>
        <w:spacing w:after="0" w:line="179"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(“ASU 2016-13”). ASU 2016-13 provides amendments to ASC 326, “Financial Instruments—Credit Losses,”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amend the guidance on the impairment of financial instruments and adds an impairment model (the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84" w:lineRule="exact"/>
        <w:rPr>
          <w:sz w:val="20"/>
          <w:szCs w:val="20"/>
          <w:color w:val="auto"/>
        </w:rPr>
      </w:pPr>
    </w:p>
    <w:p>
      <w:pPr>
        <w:ind w:left="120" w:right="220" w:firstLine="551"/>
        <w:spacing w:after="0" w:line="254" w:lineRule="auto"/>
        <w:rPr>
          <w:sz w:val="20"/>
          <w:szCs w:val="20"/>
          <w:color w:val="auto"/>
        </w:rPr>
      </w:pP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In August 2020, the FASB issued ASU No. 2020-06</w:t>
      </w:r>
      <w:r>
        <w:rPr>
          <w:rFonts w:ascii="Arial" w:cs="Arial" w:eastAsia="Arial" w:hAnsi="Arial"/>
          <w:sz w:val="17"/>
          <w:szCs w:val="17"/>
          <w:i w:val="1"/>
          <w:iCs w:val="1"/>
          <w:color w:val="auto"/>
        </w:rPr>
        <w:t xml:space="preserve"> Debt with Conversion and Other Options and Derivatives and Hedging—Contracts in Entity’s Own Equity </w:t>
      </w:r>
      <w:r>
        <w:rPr>
          <w:rFonts w:ascii="Arial" w:cs="Arial" w:eastAsia="Arial" w:hAnsi="Arial"/>
          <w:sz w:val="17"/>
          <w:szCs w:val="17"/>
          <w:color w:val="auto"/>
        </w:rPr>
        <w:t>(“ASU 2020-06”). ASU 2020-06 addresses the complexity</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applying guidance for certain financial instruments with characteristics of liabilities and equity by amending the guidance on convertible instruments and derivatives scope exceptions for contracts in an entity’s own equity. For convertible instruments ASU</w:t>
      </w:r>
    </w:p>
    <w:p>
      <w:pPr>
        <w:ind w:left="120" w:right="120"/>
        <w:spacing w:after="0" w:line="237" w:lineRule="auto"/>
        <w:rPr>
          <w:sz w:val="20"/>
          <w:szCs w:val="20"/>
          <w:color w:val="auto"/>
        </w:rPr>
      </w:pPr>
      <w:r>
        <w:rPr>
          <w:rFonts w:ascii="Arial" w:cs="Arial" w:eastAsia="Arial" w:hAnsi="Arial"/>
          <w:sz w:val="18"/>
          <w:szCs w:val="18"/>
          <w:color w:val="auto"/>
        </w:rPr>
        <w:t>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guidance. ASU 2020-06 is effective for fiscal years and interim periods within those fiscal years beginning after December 15, 2021. The Company is evaluating the impact of this guidance on its condensed consolidated financial statements.</w:t>
      </w:r>
    </w:p>
    <w:p>
      <w:pPr>
        <w:spacing w:after="0" w:line="331" w:lineRule="exact"/>
        <w:rPr>
          <w:sz w:val="20"/>
          <w:szCs w:val="20"/>
          <w:color w:val="auto"/>
        </w:rPr>
      </w:pPr>
    </w:p>
    <w:p>
      <w:pPr>
        <w:ind w:left="660" w:hanging="544"/>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Receivables from Contracts with Customers</w:t>
      </w:r>
    </w:p>
    <w:p>
      <w:pPr>
        <w:spacing w:after="0" w:line="126"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3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Over time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157,923</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92,040</w:t>
            </w:r>
          </w:p>
        </w:tc>
        <w:tc>
          <w:tcPr>
            <w:tcW w:w="6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Point in time</w:t>
            </w:r>
          </w:p>
        </w:tc>
        <w:tc>
          <w:tcPr>
            <w:tcW w:w="180" w:type="dxa"/>
            <w:vAlign w:val="bottom"/>
          </w:tcPr>
          <w:p>
            <w:pPr>
              <w:spacing w:after="0"/>
              <w:rPr>
                <w:sz w:val="17"/>
                <w:szCs w:val="17"/>
                <w:color w:val="auto"/>
              </w:rPr>
            </w:pPr>
          </w:p>
        </w:tc>
        <w:tc>
          <w:tcPr>
            <w:tcW w:w="14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11,879</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356</w:t>
            </w: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169,802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92,396</w:t>
            </w:r>
          </w:p>
        </w:tc>
      </w:tr>
    </w:tbl>
    <w:p>
      <w:pPr>
        <w:spacing w:after="0" w:line="215"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respectively, in the Condensed Consolidated Statements of Operations and Comprehensive Income (Loss). Reimbursable expenses billed to clients was $1.6 million and $1.5 million for the three months ended March 31, 2021 and 2020, respectively.</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Transaction-related Advisory Services</w:t>
      </w:r>
    </w:p>
    <w:p>
      <w:pPr>
        <w:spacing w:after="0" w:line="12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100"/>
          </w:cols>
          <w:pgMar w:left="320" w:top="459" w:right="4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720"/>
        <w:spacing w:after="0" w:line="246" w:lineRule="auto"/>
        <w:rPr>
          <w:sz w:val="20"/>
          <w:szCs w:val="20"/>
          <w:color w:val="auto"/>
        </w:rPr>
      </w:pPr>
      <w:r>
        <w:rPr>
          <w:rFonts w:ascii="Arial" w:cs="Arial" w:eastAsia="Arial" w:hAnsi="Arial"/>
          <w:sz w:val="18"/>
          <w:szCs w:val="18"/>
          <w:color w:val="auto"/>
        </w:rPr>
        <w:t>achievement of the milestone. Fixed fees specified in the Company’s contracts, which may include upfront fees and retainers, are recognized on a systematic basis over the estimated period in which the related services are performed.</w:t>
      </w:r>
    </w:p>
    <w:p>
      <w:pPr>
        <w:spacing w:after="0" w:line="197"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Fairness Opinion Services</w:t>
      </w:r>
    </w:p>
    <w:p>
      <w:pPr>
        <w:spacing w:after="0" w:line="12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Trading Services</w:t>
      </w:r>
    </w:p>
    <w:p>
      <w:pPr>
        <w:spacing w:after="0" w:line="12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 – 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 Company in the normal course of business; rather, trade execution is used as a means to be compensated for research services).</w:t>
      </w:r>
    </w:p>
    <w:p>
      <w:pPr>
        <w:spacing w:after="0" w:line="204" w:lineRule="exact"/>
        <w:rPr>
          <w:sz w:val="20"/>
          <w:szCs w:val="20"/>
          <w:color w:val="auto"/>
        </w:rPr>
      </w:pPr>
    </w:p>
    <w:p>
      <w:pPr>
        <w:jc w:val="both"/>
        <w:ind w:left="120" w:right="300" w:firstLine="551"/>
        <w:spacing w:after="0" w:line="261" w:lineRule="auto"/>
        <w:rPr>
          <w:sz w:val="20"/>
          <w:szCs w:val="20"/>
          <w:color w:val="auto"/>
        </w:rPr>
      </w:pPr>
      <w:r>
        <w:rPr>
          <w:rFonts w:ascii="Arial" w:cs="Arial" w:eastAsia="Arial" w:hAnsi="Arial"/>
          <w:sz w:val="17"/>
          <w:szCs w:val="17"/>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Services</w:t>
      </w:r>
    </w:p>
    <w:p>
      <w:pPr>
        <w:spacing w:after="0" w:line="12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and Comprehensive Income (Loss). Such amounts are adjusted to reflect actual expenses in the period in which the Company receives the final settlement, typically within 90 days following the closing of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aggregate amount of the transaction price allocated to performance obligations yet to be satisfied is</w:t>
      </w:r>
    </w:p>
    <w:p>
      <w:pPr>
        <w:ind w:left="120"/>
        <w:spacing w:after="0" w:line="234" w:lineRule="auto"/>
        <w:rPr>
          <w:sz w:val="20"/>
          <w:szCs w:val="20"/>
          <w:color w:val="auto"/>
        </w:rPr>
      </w:pPr>
      <w:r>
        <w:rPr>
          <w:rFonts w:ascii="Arial" w:cs="Arial" w:eastAsia="Arial" w:hAnsi="Arial"/>
          <w:sz w:val="18"/>
          <w:szCs w:val="18"/>
          <w:color w:val="auto"/>
        </w:rPr>
        <w:t>$14.5 million and the Company generally expects to recognize this revenue within the next twelve months. Such amounts primarily relate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Company’s performance obligations of providing transaction-related advisory services and fairness opinion services.</w:t>
      </w:r>
    </w:p>
    <w:p>
      <w:pPr>
        <w:spacing w:after="0" w:line="212"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During the three months ended March 31, 2021 and 2020, the Company recognized revenue of $115.8 million and $65.2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22"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97"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March 31, 2021 and December 31, 2020, the Company recorded $5.8 million and $10.6 million, respectively, for these contract liabilities which are presented as Deferred revenue on the Condensed Consolidated Statements of Financial Condition. For the three months ended</w:t>
      </w:r>
    </w:p>
    <w:p>
      <w:pPr>
        <w:spacing w:after="0" w:line="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March 31, 2021 and 2020, $6.7 million and $1.4 million, respectively, of the respective beginning deferred revenue balance was recognized as revenue and was primarily related to the Company’s transaction-related advisory services performance obligations, which are recognized over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activity for the three months ended March 31, 2021 and 2020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 (1)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1,045</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Bad debt expense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ind w:right="760"/>
              <w:spacing w:after="0" w:line="202" w:lineRule="exact"/>
              <w:rPr>
                <w:sz w:val="20"/>
                <w:szCs w:val="20"/>
                <w:color w:val="auto"/>
              </w:rPr>
            </w:pPr>
            <w:r>
              <w:rPr>
                <w:rFonts w:ascii="Arial" w:cs="Arial" w:eastAsia="Arial" w:hAnsi="Arial"/>
                <w:sz w:val="18"/>
                <w:szCs w:val="18"/>
                <w:color w:val="auto"/>
              </w:rPr>
              <w:t>(538)</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(336)</w:t>
            </w: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(476)</w:t>
            </w: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and other adjustments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1,196</w:t>
            </w:r>
          </w:p>
        </w:tc>
        <w:tc>
          <w:tcPr>
            <w:tcW w:w="8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right="40" w:hanging="544"/>
        <w:spacing w:after="0" w:line="261"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Beginning balance for the three months ended March 31, 2020 includes the cumulative adjustment of $0.2 million which reflects the increase in the Company’s Allowance for Credit Losses as a result of the use of the current expected credit loss model related to the adoption of ASU 2016-13 on January 1, 2020. See Note 2—Summary of Significant Accounting Policies for further information.</w:t>
      </w:r>
    </w:p>
    <w:p>
      <w:pPr>
        <w:spacing w:after="0" w:line="312" w:lineRule="exact"/>
        <w:rPr>
          <w:sz w:val="20"/>
          <w:szCs w:val="20"/>
          <w:color w:val="auto"/>
        </w:rPr>
      </w:pPr>
    </w:p>
    <w:p>
      <w:pPr>
        <w:ind w:left="660" w:hanging="544"/>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20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The Company elected the practical expedient not to separate lease components and non-lease components for these subleases. See additional information regarding these subleases at Note 12—Related Party Transactions.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8800" w:type="dxa"/>
            <w:vAlign w:val="bottom"/>
          </w:tcPr>
          <w:p>
            <w:pPr>
              <w:spacing w:after="0"/>
              <w:rPr>
                <w:sz w:val="15"/>
                <w:szCs w:val="15"/>
                <w:color w:val="auto"/>
              </w:rPr>
            </w:pPr>
          </w:p>
        </w:tc>
        <w:tc>
          <w:tcPr>
            <w:tcW w:w="222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rPr>
              <w:t>Ended March 31,</w:t>
            </w:r>
          </w:p>
        </w:tc>
      </w:tr>
      <w:tr>
        <w:trPr>
          <w:trHeight w:val="156"/>
        </w:trPr>
        <w:tc>
          <w:tcPr>
            <w:tcW w:w="88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jc w:val="right"/>
              <w:ind w:right="26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discount rate—operating leases</w:t>
            </w:r>
          </w:p>
        </w:tc>
        <w:tc>
          <w:tcPr>
            <w:tcW w:w="1000" w:type="dxa"/>
            <w:vAlign w:val="bottom"/>
            <w:gridSpan w:val="2"/>
            <w:shd w:val="clear" w:color="auto" w:fill="CCEEFF"/>
          </w:tcPr>
          <w:p>
            <w:pPr>
              <w:jc w:val="right"/>
              <w:ind w:right="162"/>
              <w:spacing w:after="0" w:line="196" w:lineRule="exact"/>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7"/>
                <w:szCs w:val="17"/>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8"/>
                <w:szCs w:val="18"/>
                <w:color w:val="auto"/>
              </w:rPr>
              <w:t>Weighted-average remaining lease term—operating leases</w:t>
            </w:r>
          </w:p>
        </w:tc>
        <w:tc>
          <w:tcPr>
            <w:tcW w:w="1260" w:type="dxa"/>
            <w:vAlign w:val="bottom"/>
            <w:gridSpan w:val="5"/>
          </w:tcPr>
          <w:p>
            <w:pPr>
              <w:jc w:val="right"/>
              <w:ind w:right="340"/>
              <w:spacing w:after="0"/>
              <w:rPr>
                <w:sz w:val="20"/>
                <w:szCs w:val="20"/>
                <w:color w:val="auto"/>
              </w:rPr>
            </w:pPr>
            <w:r>
              <w:rPr>
                <w:rFonts w:ascii="Arial" w:cs="Arial" w:eastAsia="Arial" w:hAnsi="Arial"/>
                <w:sz w:val="18"/>
                <w:szCs w:val="18"/>
                <w:color w:val="auto"/>
              </w:rPr>
              <w:t>3.83 years</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4.39 years</w:t>
            </w:r>
          </w:p>
        </w:tc>
      </w:tr>
      <w:tr>
        <w:trPr>
          <w:trHeight w:val="377"/>
        </w:trPr>
        <w:tc>
          <w:tcPr>
            <w:tcW w:w="8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8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Ended March 31,</w:t>
            </w:r>
          </w:p>
        </w:tc>
      </w:tr>
      <w:tr>
        <w:trPr>
          <w:trHeight w:val="156"/>
        </w:trPr>
        <w:tc>
          <w:tcPr>
            <w:tcW w:w="8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96"/>
        </w:trPr>
        <w:tc>
          <w:tcPr>
            <w:tcW w:w="8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6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$4,818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$4,827</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2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1,316</w:t>
            </w:r>
          </w:p>
        </w:tc>
        <w:tc>
          <w:tcPr>
            <w:tcW w:w="40" w:type="dxa"/>
            <w:vAlign w:val="bottom"/>
          </w:tcPr>
          <w:p>
            <w:pPr>
              <w:spacing w:after="0"/>
              <w:rPr>
                <w:sz w:val="17"/>
                <w:szCs w:val="17"/>
                <w:color w:val="auto"/>
              </w:rPr>
            </w:pPr>
          </w:p>
        </w:tc>
        <w:tc>
          <w:tcPr>
            <w:tcW w:w="9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1,645</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revenue—operating leases</w:t>
            </w:r>
          </w:p>
        </w:tc>
        <w:tc>
          <w:tcPr>
            <w:tcW w:w="6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(806)</w:t>
            </w: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(984)</w:t>
            </w:r>
          </w:p>
        </w:tc>
      </w:tr>
      <w:tr>
        <w:trPr>
          <w:trHeight w:val="20"/>
        </w:trPr>
        <w:tc>
          <w:tcPr>
            <w:tcW w:w="8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Total net lease cost</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5,328</w:t>
            </w:r>
          </w:p>
        </w:tc>
        <w:tc>
          <w:tcPr>
            <w:tcW w:w="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5,488</w:t>
            </w:r>
          </w:p>
        </w:tc>
      </w:tr>
      <w:tr>
        <w:trPr>
          <w:trHeight w:val="20"/>
        </w:trPr>
        <w:tc>
          <w:tcPr>
            <w:tcW w:w="8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lease obligation</w:t>
            </w:r>
          </w:p>
        </w:tc>
        <w:tc>
          <w:tcPr>
            <w:tcW w:w="1220" w:type="dxa"/>
            <w:vAlign w:val="bottom"/>
            <w:gridSpan w:val="4"/>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$5,079</w:t>
            </w: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$4,810</w:t>
            </w:r>
          </w:p>
        </w:tc>
      </w:tr>
    </w:tbl>
    <w:p>
      <w:pPr>
        <w:spacing w:after="0" w:line="215"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During each of the three months ended March 31, 2021 and 2020, aggregate rent expense was $4.8 million, which is included in Rent and occupancy on the Condensed Consolidated Statements of Operations and Comprehensive Income (Loss).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maturities of undiscounted operating lease liabilities of the Company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9"/>
              </w:rPr>
              <w:t>Years Ending:</w:t>
            </w:r>
          </w:p>
        </w:tc>
        <w:tc>
          <w:tcPr>
            <w:tcW w:w="7160" w:type="dxa"/>
            <w:vAlign w:val="bottom"/>
            <w:vMerge w:val="restart"/>
          </w:tcPr>
          <w:p>
            <w:pPr>
              <w:spacing w:after="0"/>
              <w:rPr>
                <w:sz w:val="14"/>
                <w:szCs w:val="14"/>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Operating</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Sublease</w:t>
            </w: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vMerge w:val="continue"/>
          </w:tcPr>
          <w:p>
            <w:pPr>
              <w:spacing w:after="0"/>
              <w:rPr>
                <w:sz w:val="15"/>
                <w:szCs w:val="15"/>
                <w:color w:val="auto"/>
              </w:rPr>
            </w:pPr>
          </w:p>
        </w:tc>
        <w:tc>
          <w:tcPr>
            <w:tcW w:w="7160" w:type="dxa"/>
            <w:vAlign w:val="bottom"/>
            <w:vMerge w:val="continue"/>
          </w:tcPr>
          <w:p>
            <w:pPr>
              <w:spacing w:after="0"/>
              <w:rPr>
                <w:sz w:val="15"/>
                <w:szCs w:val="15"/>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Leases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89"/>
        </w:trPr>
        <w:tc>
          <w:tcPr>
            <w:tcW w:w="8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Remainder of 2021</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$ 15,109</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$ 1,882</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$ 13,227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716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19,674</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378</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03"/>
        </w:trPr>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7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9,191</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188</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716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4,946</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192</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03"/>
        </w:trPr>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7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3,453</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195</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716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3,462</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199</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03"/>
        </w:trPr>
        <w:tc>
          <w:tcPr>
            <w:tcW w:w="8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2,479</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58,314</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$ 3,169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$ 55,145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Imputed Interest</w:t>
            </w:r>
          </w:p>
        </w:tc>
        <w:tc>
          <w:tcPr>
            <w:tcW w:w="1140" w:type="dxa"/>
            <w:vAlign w:val="bottom"/>
            <w:gridSpan w:val="3"/>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(4,417)</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2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$ 53,897</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left="120" w:right="540" w:firstLine="551"/>
        <w:spacing w:after="0"/>
        <w:rPr>
          <w:sz w:val="20"/>
          <w:szCs w:val="20"/>
          <w:color w:val="auto"/>
        </w:rPr>
      </w:pPr>
      <w:r>
        <w:rPr>
          <w:rFonts w:ascii="Arial" w:cs="Arial" w:eastAsia="Arial" w:hAnsi="Arial"/>
          <w:sz w:val="18"/>
          <w:szCs w:val="18"/>
          <w:color w:val="auto"/>
        </w:rPr>
        <w:t>Intangible assets related to the TPH Business Combination were recognized at their estimated fair values. The Company determined the fair value of the intangible assets based on the related projected future revenues as of the date of the TPH Business Combination. The determination of fair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 involved the use of significant judgment and estimation. Below is the detail of the intangible assets acquired: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79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79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$47,400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(20,540)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$26,860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(7,973)</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10,427</w:t>
            </w:r>
          </w:p>
        </w:tc>
      </w:tr>
      <w:tr>
        <w:trPr>
          <w:trHeight w:val="27"/>
        </w:trPr>
        <w:tc>
          <w:tcPr>
            <w:tcW w:w="7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65,800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(28,513)</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37,287</w:t>
            </w:r>
          </w:p>
        </w:tc>
      </w:tr>
      <w:tr>
        <w:trPr>
          <w:trHeight w:val="20"/>
        </w:trPr>
        <w:tc>
          <w:tcPr>
            <w:tcW w:w="7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9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79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79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$47,400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(19,355)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$28,045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(7,513)</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10,887</w:t>
            </w:r>
          </w:p>
        </w:tc>
      </w:tr>
      <w:tr>
        <w:trPr>
          <w:trHeight w:val="27"/>
        </w:trPr>
        <w:tc>
          <w:tcPr>
            <w:tcW w:w="7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65,800</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(26,868)</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38,932</w:t>
            </w:r>
          </w:p>
        </w:tc>
      </w:tr>
      <w:tr>
        <w:trPr>
          <w:trHeight w:val="20"/>
        </w:trPr>
        <w:tc>
          <w:tcPr>
            <w:tcW w:w="7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intangible assets are amortized over an average useful life of 10 years. For each of the three months ended March 31, 2021 and 2020, intangible amortization expense was $1.6 million, which is included in Depreciation and amortization in the Condensed Consolidated Statements of Operations and Comprehensive Income (Loss). Amortization of intangible assets held at March 31, 2021 is expected to be $6.6 million for each of the years ending December 31, 2021, 2022, 2023, 2024 and 2025. These intangible assets will be fully amortized by November 30, 2026.</w:t>
      </w:r>
    </w:p>
    <w:p>
      <w:pPr>
        <w:spacing w:after="0" w:line="329" w:lineRule="exact"/>
        <w:rPr>
          <w:sz w:val="20"/>
          <w:szCs w:val="20"/>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Requirements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205"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March 31, 2021, PWP LP and TPH Securities had combined net capital of $71.6 million, which was $71.2 million in excess of their combined individual minimum capital requirements.</w:t>
      </w:r>
    </w:p>
    <w:p>
      <w:pPr>
        <w:spacing w:after="0" w:line="14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Perella Weinberg UK Ltd (“PWP UK Ltd”) is subject to FCA capital adequacy rules and Tudor, Pickering, Holt &amp; Co. Securities Canada, ULC (“TPH Canada”) is subject to IIROC capital adequacy rules. Both entities were in excess of the applicable capital requirements as of March 31, 2021 and December 31, 2020.</w:t>
      </w:r>
    </w:p>
    <w:p>
      <w:pPr>
        <w:spacing w:after="0" w:line="203"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Perella Weinberg Partners France S.A.S (“PWP France”) was exempt from ACPR capital adequacy rules as of December 31, 2020 and was in excess of the applicable capital requirements as of March 31, 2021.</w:t>
      </w:r>
    </w:p>
    <w:p>
      <w:pPr>
        <w:spacing w:after="0" w:line="197"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323" w:lineRule="exact"/>
        <w:rPr>
          <w:sz w:val="20"/>
          <w:szCs w:val="20"/>
          <w:color w:val="auto"/>
        </w:rPr>
      </w:pPr>
    </w:p>
    <w:p>
      <w:pPr>
        <w:ind w:left="660" w:hanging="544"/>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Fixed assets are recorded at cost less accumulated depreciation and amortization and consist of the following as of March 31, 2021 and December 31,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00" w:type="dxa"/>
            <w:vAlign w:val="bottom"/>
          </w:tcPr>
          <w:p>
            <w:pPr>
              <w:spacing w:after="0"/>
              <w:rPr>
                <w:sz w:val="15"/>
                <w:szCs w:val="15"/>
                <w:color w:val="auto"/>
              </w:rPr>
            </w:pPr>
          </w:p>
        </w:tc>
        <w:tc>
          <w:tcPr>
            <w:tcW w:w="31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Leasehold improvements</w:t>
            </w:r>
          </w:p>
        </w:tc>
        <w:tc>
          <w:tcPr>
            <w:tcW w:w="2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$ 49,889</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49,718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4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8,617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8,606</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w:t>
            </w:r>
          </w:p>
        </w:tc>
        <w:tc>
          <w:tcPr>
            <w:tcW w:w="34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28,020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35,293</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238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10,874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14,395</w:t>
            </w:r>
          </w:p>
        </w:tc>
      </w:tr>
      <w:tr>
        <w:trPr>
          <w:trHeight w:val="27"/>
        </w:trPr>
        <w:tc>
          <w:tcPr>
            <w:tcW w:w="6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97,400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108,012</w:t>
            </w:r>
          </w:p>
        </w:tc>
      </w:tr>
      <w:tr>
        <w:trPr>
          <w:trHeight w:val="202"/>
        </w:trPr>
        <w:tc>
          <w:tcPr>
            <w:tcW w:w="63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38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(82,083)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(90,823)</w:t>
            </w:r>
          </w:p>
        </w:tc>
      </w:tr>
      <w:tr>
        <w:trPr>
          <w:trHeight w:val="27"/>
        </w:trPr>
        <w:tc>
          <w:tcPr>
            <w:tcW w:w="6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Fixed assets, net</w:t>
            </w:r>
          </w:p>
        </w:tc>
        <w:tc>
          <w:tcPr>
            <w:tcW w:w="34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$ 15,317</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17,189</w:t>
            </w:r>
          </w:p>
        </w:tc>
      </w:tr>
      <w:tr>
        <w:trPr>
          <w:trHeight w:val="20"/>
        </w:trPr>
        <w:tc>
          <w:tcPr>
            <w:tcW w:w="6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Depreciation expense related to fixed assets was $1.9 million for each of the three months ended March 31, 2021 and 2020. Amortization expense related to software development costs was $0.4 million for each of the three months ended March 31, 2021 and 2020.</w:t>
      </w:r>
    </w:p>
    <w:p>
      <w:pPr>
        <w:spacing w:after="0" w:line="203"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During the three months ended March 31, 2021, the Company disposed of certain obsolete assets, substantially all of which were fully depreciated.</w:t>
      </w:r>
    </w:p>
    <w:p>
      <w:pPr>
        <w:spacing w:after="0" w:line="323" w:lineRule="exact"/>
        <w:rPr>
          <w:sz w:val="20"/>
          <w:szCs w:val="20"/>
          <w:color w:val="auto"/>
        </w:rPr>
      </w:pPr>
    </w:p>
    <w:p>
      <w:pPr>
        <w:ind w:left="660" w:hanging="54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TPH Canada, PWP UK Ltd (beginning on April 1, 2020), PWP France and Perella Weinberg GmbH (“PWP Germany”) are treated as corporations in their respective foreign jurisdictions. The partners of the Company are individually liable for any income taxes on their allocable share of earnings or loss.</w:t>
      </w:r>
    </w:p>
    <w:p>
      <w:pPr>
        <w:spacing w:after="0" w:line="187" w:lineRule="exact"/>
        <w:rPr>
          <w:sz w:val="20"/>
          <w:szCs w:val="20"/>
          <w:color w:val="auto"/>
        </w:rPr>
      </w:pPr>
    </w:p>
    <w:p>
      <w:pPr>
        <w:ind w:left="120" w:right="260" w:firstLine="551"/>
        <w:spacing w:after="0" w:line="267" w:lineRule="auto"/>
        <w:rPr>
          <w:sz w:val="20"/>
          <w:szCs w:val="20"/>
          <w:color w:val="auto"/>
        </w:rPr>
      </w:pPr>
      <w:r>
        <w:rPr>
          <w:rFonts w:ascii="Arial" w:cs="Arial" w:eastAsia="Arial" w:hAnsi="Arial"/>
          <w:sz w:val="18"/>
          <w:szCs w:val="18"/>
          <w:i w:val="1"/>
          <w:iCs w:val="1"/>
          <w:color w:val="auto"/>
        </w:rPr>
        <w:t>State and Local Taxes</w:t>
      </w:r>
      <w:r>
        <w:rPr>
          <w:rFonts w:ascii="Arial" w:cs="Arial" w:eastAsia="Arial" w:hAnsi="Arial"/>
          <w:sz w:val="18"/>
          <w:szCs w:val="18"/>
          <w:color w:val="auto"/>
        </w:rPr>
        <w:t>—The Company is subject to New York City unincorporated business tax (“UBT”) and Texas margin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modified gross revenue.</w:t>
      </w:r>
    </w:p>
    <w:p>
      <w:pPr>
        <w:spacing w:after="0" w:line="160" w:lineRule="exact"/>
        <w:rPr>
          <w:sz w:val="20"/>
          <w:szCs w:val="20"/>
          <w:color w:val="auto"/>
        </w:rPr>
      </w:pPr>
    </w:p>
    <w:p>
      <w:pPr>
        <w:ind w:left="120" w:right="260" w:firstLine="551"/>
        <w:spacing w:after="0" w:line="267" w:lineRule="auto"/>
        <w:rPr>
          <w:sz w:val="20"/>
          <w:szCs w:val="20"/>
          <w:color w:val="auto"/>
        </w:rPr>
      </w:pPr>
      <w:r>
        <w:rPr>
          <w:rFonts w:ascii="Arial" w:cs="Arial" w:eastAsia="Arial" w:hAnsi="Arial"/>
          <w:sz w:val="18"/>
          <w:szCs w:val="18"/>
          <w:i w:val="1"/>
          <w:iCs w:val="1"/>
          <w:color w:val="auto"/>
        </w:rPr>
        <w:t>Foreign Income Taxes</w:t>
      </w:r>
      <w:r>
        <w:rPr>
          <w:rFonts w:ascii="Arial" w:cs="Arial" w:eastAsia="Arial" w:hAnsi="Arial"/>
          <w:sz w:val="18"/>
          <w:szCs w:val="18"/>
          <w:color w:val="auto"/>
        </w:rPr>
        <w:t>—TPH Canada, PWP UK Ltd (beginning on April 1, 2020), PWP France and PWP Germany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income tax in their respective foreign jurisdictions.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tax position: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26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3"/>
                <w:szCs w:val="13"/>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24,531</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(3,352)</w:t>
            </w:r>
          </w:p>
        </w:tc>
        <w:tc>
          <w:tcPr>
            <w:tcW w:w="280" w:type="dxa"/>
            <w:vAlign w:val="bottom"/>
            <w:shd w:val="clear" w:color="auto" w:fill="CCEEFF"/>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Income tax benefit (expense)</w:t>
            </w:r>
          </w:p>
        </w:tc>
        <w:tc>
          <w:tcPr>
            <w:tcW w:w="27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(710)</w:t>
            </w:r>
          </w:p>
        </w:tc>
      </w:tr>
      <w:tr>
        <w:trPr>
          <w:trHeight w:val="202"/>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w:t>
            </w:r>
          </w:p>
        </w:tc>
      </w:tr>
    </w:tbl>
    <w:p>
      <w:pPr>
        <w:spacing w:after="0" w:line="215"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The Company’s effective tax rate differed from the U.S. federal statutory corporate tax rate for the three months ended March 31, 2021 and 2020 due to state and local taxes, foreign taxes, and income passed through to partners that is not subject to U.S. federal income tax.</w:t>
      </w:r>
    </w:p>
    <w:p>
      <w:pPr>
        <w:spacing w:after="0" w:line="203"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Current income tax receivables and payables are included in Prepaid expenses and other assets and Accounts payable, accrued expenses and other liabilities, respectively, on the Condensed Consolidated Statements of Financial Condition.</w:t>
      </w:r>
    </w:p>
    <w:p>
      <w:pPr>
        <w:spacing w:after="0" w:line="19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As of March 31, 2021, the net tax basis in the Company’s assets and liabilities was greater than the reported amounts on the financial statements by approximately $4.0 million. As of December 31, 2020, the net tax basis in the Company’s assets and liabilities was less than the reported amounts on the financial statements by approximately $2.2 million.</w:t>
      </w:r>
    </w:p>
    <w:p>
      <w:pPr>
        <w:spacing w:after="0" w:line="20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Deferred income taxes reflect the net effect of temporary differences between the carrying amount of assets and liabilities for financial reporting purposes and tax purposes. As of March 31, 2021 and December 31, 2020, the Company had deferred tax assets, net of $1.1 million and $1.2 million, respectively.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 allowance was $1.0 million as of March 31, 2021 and December 31, 2020. The Company believes that the realization of the remaining deferred tax assets is probable based on expectations of future taxable income in the jurisdictions in which it operates; therefore, no additional valuation allowance has been recorded.</w:t>
      </w:r>
    </w:p>
    <w:p>
      <w:pPr>
        <w:spacing w:after="0" w:line="208"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Company is subject to taxation in certain state, local, and foreign jurisdictions. As of March 31, 2021, the Company’s tax years for 2020, 2019, 2018, and 2017 are generally subject to examination by the taxing authorities.</w:t>
      </w:r>
    </w:p>
    <w:p>
      <w:pPr>
        <w:spacing w:after="0" w:line="197" w:lineRule="exact"/>
        <w:rPr>
          <w:sz w:val="20"/>
          <w:szCs w:val="20"/>
          <w:color w:val="auto"/>
        </w:rPr>
      </w:pPr>
    </w:p>
    <w:p>
      <w:pPr>
        <w:ind w:left="120" w:right="480" w:firstLine="551"/>
        <w:spacing w:after="0" w:line="238" w:lineRule="auto"/>
        <w:rPr>
          <w:sz w:val="20"/>
          <w:szCs w:val="20"/>
          <w:color w:val="auto"/>
        </w:rPr>
      </w:pPr>
      <w:r>
        <w:rPr>
          <w:rFonts w:ascii="Arial" w:cs="Arial" w:eastAsia="Arial" w:hAnsi="Arial"/>
          <w:sz w:val="18"/>
          <w:szCs w:val="18"/>
          <w:color w:val="auto"/>
        </w:rPr>
        <w:t>The Company evaluated its tax positions and concluded there are no significant uncertain tax positions requiring recognition, measurement or disclosure in the condensed consolidated financial statements as of March 31, 2021 and December 31, 2020. The Company does not expect the assessment of uncertain tax positions to significantly change in the next 12 months. During the three months ended March 31, 2021 and 2020, no unrecognized tax benefits, or corresponding interest and penalties, have been recorded based on management’s analysis of the Company’s tax positions for all open tax years.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140"/>
          </w:cols>
          <w:pgMar w:left="32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660" w:hanging="544"/>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debt as of March 31, 2021 and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180" w:type="dxa"/>
            <w:vAlign w:val="bottom"/>
          </w:tcPr>
          <w:p>
            <w:pPr>
              <w:spacing w:after="0"/>
              <w:rPr>
                <w:sz w:val="15"/>
                <w:szCs w:val="15"/>
                <w:color w:val="auto"/>
              </w:rPr>
            </w:pPr>
          </w:p>
        </w:tc>
        <w:tc>
          <w:tcPr>
            <w:tcW w:w="23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96"/>
        </w:trPr>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Notes, due 2026</w:t>
            </w:r>
          </w:p>
        </w:tc>
        <w:tc>
          <w:tcPr>
            <w:tcW w:w="1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$150,000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7180" w:type="dxa"/>
            <w:vAlign w:val="bottom"/>
          </w:tcPr>
          <w:p>
            <w:pPr>
              <w:spacing w:after="0" w:line="202" w:lineRule="exact"/>
              <w:rPr>
                <w:sz w:val="20"/>
                <w:szCs w:val="20"/>
                <w:color w:val="auto"/>
              </w:rPr>
            </w:pPr>
            <w:r>
              <w:rPr>
                <w:rFonts w:ascii="Arial" w:cs="Arial" w:eastAsia="Arial" w:hAnsi="Arial"/>
                <w:sz w:val="18"/>
                <w:szCs w:val="18"/>
                <w:color w:val="auto"/>
              </w:rPr>
              <w:t>Revolving Credit Facility, due April 1, 2022, modified Senior Term Loan</w:t>
            </w:r>
          </w:p>
        </w:tc>
        <w:tc>
          <w:tcPr>
            <w:tcW w:w="1560" w:type="dxa"/>
            <w:vAlign w:val="bottom"/>
          </w:tcPr>
          <w:p>
            <w:pPr>
              <w:spacing w:after="0"/>
              <w:rPr>
                <w:sz w:val="18"/>
                <w:szCs w:val="18"/>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27,690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27,690</w:t>
            </w:r>
          </w:p>
        </w:tc>
      </w:tr>
      <w:tr>
        <w:trPr>
          <w:trHeight w:val="203"/>
        </w:trPr>
        <w:tc>
          <w:tcPr>
            <w:tcW w:w="7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 facilities</w:t>
            </w:r>
          </w:p>
        </w:tc>
        <w:tc>
          <w:tcPr>
            <w:tcW w:w="15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177,690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177,690</w:t>
            </w:r>
          </w:p>
        </w:tc>
        <w:tc>
          <w:tcPr>
            <w:tcW w:w="12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Unamortized debt discounts and issuance costs</w:t>
            </w:r>
          </w:p>
        </w:tc>
        <w:tc>
          <w:tcPr>
            <w:tcW w:w="156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(29,691)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(30,725)</w:t>
            </w:r>
          </w:p>
        </w:tc>
      </w:tr>
      <w:tr>
        <w:trPr>
          <w:trHeight w:val="27"/>
        </w:trPr>
        <w:tc>
          <w:tcPr>
            <w:tcW w:w="7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 net</w:t>
            </w:r>
          </w:p>
        </w:tc>
        <w:tc>
          <w:tcPr>
            <w:tcW w:w="25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147,999</w:t>
            </w:r>
          </w:p>
        </w:tc>
        <w:tc>
          <w:tcPr>
            <w:tcW w:w="3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146,965</w:t>
            </w:r>
          </w:p>
        </w:tc>
      </w:tr>
      <w:tr>
        <w:trPr>
          <w:trHeight w:val="20"/>
        </w:trPr>
        <w:tc>
          <w:tcPr>
            <w:tcW w:w="7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The Company issued 7.0% subordinated unsecured convertible notes with an aggregate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three months ended March 31, 2021 and 2020. Certain of the Convertible Note holders (each herein referred to as a “Holder”) are Partners, refer to Note 12— Related Party Transactions for further information.</w:t>
      </w:r>
    </w:p>
    <w:p>
      <w:pPr>
        <w:spacing w:after="0" w:line="20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20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conjunction with executing the business combination agreement with FinTech IV in December 2020, the Company entered into a third amendment to the Existing NPA (the “NPA Third Amendment” and, together with Existing NPA, as amended,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F-113</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Notes, (which amended and restated their existing 2019 Letter Agreements), pursuant to which all of the holders (the “Redeeming Holders”) have agreed to collectively tender for redemption $150.0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87" w:lineRule="exact"/>
        <w:rPr>
          <w:sz w:val="20"/>
          <w:szCs w:val="20"/>
          <w:color w:val="auto"/>
        </w:rPr>
      </w:pPr>
    </w:p>
    <w:p>
      <w:pPr>
        <w:jc w:val="both"/>
        <w:ind w:left="120" w:right="100" w:firstLine="551"/>
        <w:spacing w:after="0" w:line="272"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—Upon a monetization event (public offering, a public sale transaction, liquidation or change of control),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will redeem all of the 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77" w:lineRule="exact"/>
        <w:rPr>
          <w:sz w:val="20"/>
          <w:szCs w:val="20"/>
          <w:color w:val="auto"/>
        </w:rPr>
      </w:pPr>
    </w:p>
    <w:p>
      <w:pPr>
        <w:jc w:val="both"/>
        <w:ind w:left="120" w:right="100" w:firstLine="551"/>
        <w:spacing w:after="0" w:line="248" w:lineRule="auto"/>
        <w:rPr>
          <w:sz w:val="20"/>
          <w:szCs w:val="20"/>
          <w:color w:val="auto"/>
        </w:rPr>
      </w:pPr>
      <w:r>
        <w:rPr>
          <w:rFonts w:ascii="Arial" w:cs="Arial" w:eastAsia="Arial" w:hAnsi="Arial"/>
          <w:sz w:val="17"/>
          <w:szCs w:val="17"/>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w:t>
      </w:r>
    </w:p>
    <w:p>
      <w:pPr>
        <w:spacing w:after="0" w:line="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203"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18"/>
          <w:szCs w:val="18"/>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 liquidation or change of control), in such case, at the then outstanding principal amount plus all accrued and unpaid interest plus, in the case of a liquidation or a change of control that is not a public sale transaction, an applicable premium set forth in the NPA.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w:t>
      </w:r>
    </w:p>
    <w:p>
      <w:pPr>
        <w:spacing w:after="0" w:line="5"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$30.0 million aggregate principal amount of the Convertible Notes then being redeemed, plus all accrued and unpaid interest thereon. As of March 31, 2021 and December 31, 2020, none of the Convertible Notes were redeemed.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100"/>
          </w:cols>
          <w:pgMar w:left="320" w:top="459" w:right="4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Optional Conversion</w:t>
      </w:r>
      <w:r>
        <w:rPr>
          <w:rFonts w:ascii="Arial" w:cs="Arial" w:eastAsia="Arial" w:hAnsi="Arial"/>
          <w:sz w:val="18"/>
          <w:szCs w:val="18"/>
          <w:color w:val="auto"/>
        </w:rPr>
        <w:t>—On or prior to the Maturity Date, each Holder has the right at any time to convert all or a portion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Convertible Notes into the Company’s common units at the conversion rate (as set forth in the NPA), plus an amount in cash equal to accrued and unpaid interest. Prior to the NPA First Amendment, the conversion rate prior to November 30, 2021 would 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20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March 31, 2021 and December 31, 2020, none of the Convertible Notes were converted.</w:t>
      </w:r>
    </w:p>
    <w:p>
      <w:pPr>
        <w:spacing w:after="0" w:line="203"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185"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i w:val="1"/>
          <w:iCs w:val="1"/>
          <w:color w:val="auto"/>
        </w:rPr>
        <w:t>Debt Discount and Issuance Costs</w:t>
      </w:r>
      <w:r>
        <w:rPr>
          <w:rFonts w:ascii="Arial" w:cs="Arial" w:eastAsia="Arial" w:hAnsi="Arial"/>
          <w:sz w:val="18"/>
          <w:szCs w:val="18"/>
          <w:color w:val="auto"/>
        </w:rPr>
        <w:t>—A portion of the Convertible Notes was issued at a 5.0% original issue discount in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$5.8 million coupled with a 3.0% commitment fee in the amount of $3.5 million. In addition to the discount and commitment fees, the Company incurred debt issuance costs of approximately $0.9 million in relation to the Original NPA. The debt discounts and original issuance costs are amortized using the effective interest method over the term of the Convertible Notes. As a result of the NPA First Amendment, the Company incurred an additional $0.2 million in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100"/>
          </w:cols>
          <w:pgMar w:left="320" w:top="459" w:right="4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fees that were capitalized and are amortized using the effective interest method over the remaining term of the Convertible Notes.</w:t>
      </w:r>
    </w:p>
    <w:p>
      <w:pPr>
        <w:spacing w:after="0" w:line="212" w:lineRule="exact"/>
        <w:rPr>
          <w:sz w:val="20"/>
          <w:szCs w:val="20"/>
          <w:color w:val="auto"/>
        </w:rPr>
      </w:pPr>
    </w:p>
    <w:p>
      <w:pPr>
        <w:jc w:val="both"/>
        <w:ind w:left="120" w:right="280" w:firstLine="551"/>
        <w:spacing w:after="0" w:line="238"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for each of the three months ended March 31, 2021 and 2020. The aggregate interest expense related to the Convertible Notes was $3.6 million and $3.5 million during the three months ended March 31, 2021 and 2020,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Agreement—Senior Term Loan modified to Revolving Credit Facility</w:t>
      </w:r>
    </w:p>
    <w:p>
      <w:pPr>
        <w:spacing w:after="0" w:line="126"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three months ended March 31, 2020, the Company made principal payments on the Revolving Credit Facility of $10.0 million as well as drawdowns of</w:t>
      </w:r>
    </w:p>
    <w:p>
      <w:pPr>
        <w:spacing w:after="0" w:line="5"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$22.0 million. No principal payments or drawdowns were made during the three months ended March 31, 2021. Applicable only to the period after the Separation and before the business combination (or other alternative transaction),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 xml:space="preserve">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1.0%; (ii) Cadence Bank prime rate; or (iii) Eurodollar Rate plus 1.0%) plus a rate which varies by the Company’s leverage ratio, as noted in the table below.</w:t>
      </w:r>
    </w:p>
    <w:p>
      <w:pPr>
        <w:spacing w:after="0" w:line="220"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Applicable Rate</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960" w:type="dxa"/>
            <w:vAlign w:val="bottom"/>
            <w:tcBorders>
              <w:top w:val="single" w:sz="8" w:color="auto"/>
            </w:tcBorders>
          </w:tcPr>
          <w:p>
            <w:pPr>
              <w:spacing w:after="0"/>
              <w:rPr>
                <w:sz w:val="15"/>
                <w:szCs w:val="15"/>
                <w:color w:val="auto"/>
              </w:rPr>
            </w:pPr>
          </w:p>
        </w:tc>
        <w:tc>
          <w:tcPr>
            <w:tcW w:w="17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Combined Leverage Ratio</w:t>
            </w:r>
          </w:p>
        </w:tc>
        <w:tc>
          <w:tcPr>
            <w:tcW w:w="1080" w:type="dxa"/>
            <w:vAlign w:val="bottom"/>
            <w:tcBorders>
              <w:top w:val="single" w:sz="8" w:color="auto"/>
            </w:tcBorders>
          </w:tcPr>
          <w:p>
            <w:pPr>
              <w:spacing w:after="0"/>
              <w:rPr>
                <w:sz w:val="15"/>
                <w:szCs w:val="15"/>
                <w:color w:val="auto"/>
              </w:rPr>
            </w:pPr>
          </w:p>
        </w:tc>
        <w:tc>
          <w:tcPr>
            <w:tcW w:w="370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Eurodollar Rate</w:t>
            </w:r>
          </w:p>
        </w:tc>
        <w:tc>
          <w:tcPr>
            <w:tcW w:w="3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Base Rate</w:t>
            </w:r>
          </w:p>
        </w:tc>
      </w:tr>
      <w:tr>
        <w:trPr>
          <w:trHeight w:val="189"/>
        </w:trPr>
        <w:tc>
          <w:tcPr>
            <w:tcW w:w="2740" w:type="dxa"/>
            <w:vAlign w:val="bottom"/>
            <w:tcBorders>
              <w:top w:val="single" w:sz="8" w:color="CCEEFF"/>
            </w:tcBorders>
            <w:gridSpan w:val="2"/>
            <w:shd w:val="clear" w:color="auto" w:fill="CCEEFF"/>
          </w:tcPr>
          <w:p>
            <w:pPr>
              <w:jc w:val="right"/>
              <w:ind w:right="308"/>
              <w:spacing w:after="0" w:line="189" w:lineRule="exact"/>
              <w:rPr>
                <w:sz w:val="20"/>
                <w:szCs w:val="20"/>
                <w:color w:val="auto"/>
              </w:rPr>
            </w:pPr>
            <w:r>
              <w:rPr>
                <w:rFonts w:ascii="Arial" w:cs="Arial" w:eastAsia="Arial" w:hAnsi="Arial"/>
                <w:sz w:val="18"/>
                <w:szCs w:val="18"/>
                <w:color w:val="auto"/>
              </w:rPr>
              <w:t>&lt; 0.50 : 1.00</w:t>
            </w:r>
          </w:p>
        </w:tc>
        <w:tc>
          <w:tcPr>
            <w:tcW w:w="108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1.50%</w:t>
            </w:r>
          </w:p>
        </w:tc>
      </w:tr>
      <w:tr>
        <w:trPr>
          <w:trHeight w:val="216"/>
        </w:trPr>
        <w:tc>
          <w:tcPr>
            <w:tcW w:w="382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³ 0.50 : 1.00, but &lt; 1.50 : 1.00</w:t>
            </w:r>
          </w:p>
        </w:tc>
        <w:tc>
          <w:tcPr>
            <w:tcW w:w="3600" w:type="dxa"/>
            <w:vAlign w:val="bottom"/>
          </w:tcPr>
          <w:p>
            <w:pPr>
              <w:jc w:val="center"/>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7"/>
              </w:rPr>
              <w:t>1.75%</w:t>
            </w:r>
          </w:p>
        </w:tc>
      </w:tr>
      <w:tr>
        <w:trPr>
          <w:trHeight w:val="216"/>
        </w:trPr>
        <w:tc>
          <w:tcPr>
            <w:tcW w:w="27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³ 1.50 : 1.00</w:t>
            </w:r>
          </w:p>
        </w:tc>
        <w:tc>
          <w:tcPr>
            <w:tcW w:w="108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2.00%</w:t>
            </w:r>
          </w:p>
        </w:tc>
      </w:tr>
    </w:tbl>
    <w:p>
      <w:pPr>
        <w:spacing w:after="0" w:line="215"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On November 11, 2020, the Company amended its Revolving Credit Facility for the second time by extending the maturity date from December 31, 2021 to April 1, 2022.</w:t>
      </w:r>
    </w:p>
    <w:p>
      <w:pPr>
        <w:spacing w:after="0" w:line="197"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On December 28, 2020, the Company amended its Revolving Credit Facility for a third time by expressly permitting the transactions contemplated by the proposed business combination with FinTech IV.</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140"/>
          </w:cols>
          <w:pgMar w:left="32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The weighted average interest rate for the Revolving Credit Facility for the three months ended March 31, 2021 and 2020 was 2.63% and 3.49%, respectively.</w:t>
      </w:r>
    </w:p>
    <w:p>
      <w:pPr>
        <w:spacing w:after="0" w:line="179" w:lineRule="exact"/>
        <w:rPr>
          <w:sz w:val="20"/>
          <w:szCs w:val="20"/>
          <w:color w:val="auto"/>
        </w:rPr>
      </w:pPr>
    </w:p>
    <w:p>
      <w:pPr>
        <w:ind w:left="120" w:firstLine="551"/>
        <w:spacing w:after="0" w:line="254" w:lineRule="auto"/>
        <w:rPr>
          <w:sz w:val="20"/>
          <w:szCs w:val="20"/>
          <w:color w:val="auto"/>
        </w:rPr>
      </w:pPr>
      <w:r>
        <w:rPr>
          <w:rFonts w:ascii="Arial" w:cs="Arial" w:eastAsia="Arial" w:hAnsi="Arial"/>
          <w:sz w:val="17"/>
          <w:szCs w:val="17"/>
          <w:i w:val="1"/>
          <w:iCs w:val="1"/>
          <w:color w:val="auto"/>
        </w:rPr>
        <w:t>Debt Issuance Cost</w:t>
      </w:r>
      <w:r>
        <w:rPr>
          <w:rFonts w:ascii="Arial" w:cs="Arial" w:eastAsia="Arial" w:hAnsi="Arial"/>
          <w:sz w:val="17"/>
          <w:szCs w:val="17"/>
          <w:color w:val="auto"/>
        </w:rPr>
        <w:t>—The Company incurred $1.7 million in issuance costs related to the Senior Term Loan upon execution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Credit 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 debt issuance costs related to the original Senior Term Loan as well as the additional</w:t>
      </w:r>
    </w:p>
    <w:p>
      <w:pPr>
        <w:ind w:left="120" w:right="20"/>
        <w:spacing w:after="0" w:line="238" w:lineRule="auto"/>
        <w:rPr>
          <w:sz w:val="20"/>
          <w:szCs w:val="20"/>
          <w:color w:val="auto"/>
        </w:rPr>
      </w:pPr>
      <w:r>
        <w:rPr>
          <w:rFonts w:ascii="Arial" w:cs="Arial" w:eastAsia="Arial" w:hAnsi="Arial"/>
          <w:sz w:val="18"/>
          <w:szCs w:val="18"/>
          <w:color w:val="auto"/>
        </w:rPr>
        <w:t>$0.1 million in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taking into account these issuance costs was 3.75% and 4.39% for the three months ended March 31, 2021 and 2020, respectively. Interest expense related to the Revolving Credit Facility was $0.3 million and $0.5 million during the three months ended March 31, 2021 and 2020, respectively.</w:t>
      </w:r>
    </w:p>
    <w:p>
      <w:pPr>
        <w:spacing w:after="0" w:line="329" w:lineRule="exact"/>
        <w:rPr>
          <w:sz w:val="20"/>
          <w:szCs w:val="20"/>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 Plans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 SLP interests (the “SLP awards”). The associated equity-based compensation expense from the SLP awards are included in Total compensation and benefits in the Consolidated Statements of Operations and Comprehensive Income (Loss) and on the Consolidated Statements of Financial Condition in Partners’ capital.</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205" w:lineRule="exact"/>
        <w:rPr>
          <w:sz w:val="20"/>
          <w:szCs w:val="20"/>
          <w:color w:val="auto"/>
        </w:rPr>
      </w:pPr>
    </w:p>
    <w:p>
      <w:pPr>
        <w:ind w:left="120" w:right="880" w:firstLine="551"/>
        <w:spacing w:after="0" w:line="246" w:lineRule="auto"/>
        <w:rPr>
          <w:sz w:val="20"/>
          <w:szCs w:val="20"/>
          <w:color w:val="auto"/>
        </w:rPr>
      </w:pPr>
      <w:r>
        <w:rPr>
          <w:rFonts w:ascii="Arial" w:cs="Arial" w:eastAsia="Arial" w:hAnsi="Arial"/>
          <w:sz w:val="18"/>
          <w:szCs w:val="18"/>
          <w:color w:val="auto"/>
        </w:rPr>
        <w:t>The measurement of the grant-date fair value requires the SLP to make estimates about future operating results and the appropriate risk-adjusted discount rates. The methods used to estimate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100"/>
          </w:cols>
          <w:pgMar w:left="320" w:top="459" w:right="4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During the three months ended March 31, 2020, the SLP granted SLP awards with a grant date fair value of $6.4 million. The fair value of these awards was estimated using the income approach and assumed a range of discount rates between 3.8% and 11.2%. During the three months ended March 31, 2021, the SLP granted SLP awards with a grant date fair value of $9.3 million. The fair value of these awards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205"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During each of the three months ended March 31, 2021 and 2020, the Company recognized Equity-based compensation expense of $6.2 million related to vested awards. As of March 31, 2021, unrecognized equity-based compensation expense related to non-vested SLP awards was $44.1 million, and is expected to be recognized over a weighted-average service period of 2.08 years.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2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208" w:lineRule="exact"/>
        <w:rPr>
          <w:sz w:val="20"/>
          <w:szCs w:val="20"/>
          <w:color w:val="auto"/>
        </w:rPr>
      </w:pPr>
    </w:p>
    <w:p>
      <w:pPr>
        <w:ind w:left="120" w:right="320" w:firstLine="551"/>
        <w:spacing w:after="0" w:line="257" w:lineRule="auto"/>
        <w:rPr>
          <w:sz w:val="20"/>
          <w:szCs w:val="20"/>
          <w:color w:val="auto"/>
        </w:rPr>
      </w:pPr>
      <w:r>
        <w:rPr>
          <w:rFonts w:ascii="Arial" w:cs="Arial" w:eastAsia="Arial" w:hAnsi="Arial"/>
          <w:sz w:val="17"/>
          <w:szCs w:val="17"/>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$1.4 million for the three months ended March 31, 2021 and 2020 and are presented within Compensation and benefits in the Condensed Consolidated Statements of Operations and Comprehensive Income (Loss).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employees participate in employee benefit plans, which consist of defined contribution pension plans including</w:t>
      </w:r>
    </w:p>
    <w:p>
      <w:pPr>
        <w:ind w:left="120" w:right="240" w:hanging="4"/>
        <w:spacing w:after="0" w:line="246" w:lineRule="auto"/>
        <w:tabs>
          <w:tab w:leader="none" w:pos="3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profit-sharing plans qualified under Section 401(k) of the Internal Revenue Code and (ii) a UK pension scheme for non-U.S. Partners and employees.</w:t>
      </w:r>
    </w:p>
    <w:p>
      <w:pPr>
        <w:spacing w:after="0" w:line="19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w:t>
      </w:r>
      <w:r>
        <w:rPr>
          <w:rFonts w:ascii="Arial" w:cs="Arial" w:eastAsia="Arial" w:hAnsi="Arial"/>
          <w:sz w:val="15"/>
          <w:szCs w:val="15"/>
          <w:color w:val="auto"/>
        </w:rPr>
        <w:t>st</w:t>
      </w:r>
      <w:r>
        <w:rPr>
          <w:rFonts w:ascii="Arial" w:cs="Arial" w:eastAsia="Arial" w:hAnsi="Arial"/>
          <w:sz w:val="18"/>
          <w:szCs w:val="18"/>
          <w:color w:val="auto"/>
        </w:rPr>
        <w:t xml:space="preserve"> of each year. The UK pension scheme allows non-U.S. employees to make a monthly pension contribution based on certain percentages as defined by their employment level. The Company provides a monthly match up to 10% based on employment level.</w:t>
      </w:r>
    </w:p>
    <w:p>
      <w:pPr>
        <w:spacing w:after="0" w:line="205"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For each of the three months ended March 31, 2021 and 2020, expenses related to the Company’s employee benefit plans were $1.2 million and are included in Compensation and benefits in the Condensed Consolidated Statements of Operations and Comprehensive Income (Loss).</w:t>
      </w:r>
    </w:p>
    <w:p>
      <w:pPr>
        <w:spacing w:after="0" w:line="329" w:lineRule="exact"/>
        <w:rPr>
          <w:sz w:val="20"/>
          <w:szCs w:val="20"/>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Fair Value Measurements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 quoted prices or for which fair value can be measured from actively-quoted prices in an orderly market will generally have a higher degree of market price observability and a lesser degree of judgment used in measuring fair value.</w:t>
      </w:r>
    </w:p>
    <w:p>
      <w:pPr>
        <w:spacing w:after="0" w:line="208"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1—Unadjusted quoted prices are available in active markets for identical financial instruments as of the reporting date.</w:t>
      </w:r>
    </w:p>
    <w:p>
      <w:pPr>
        <w:spacing w:after="0" w:line="104" w:lineRule="exact"/>
        <w:rPr>
          <w:sz w:val="20"/>
          <w:szCs w:val="20"/>
          <w:color w:val="auto"/>
        </w:rPr>
      </w:pPr>
    </w:p>
    <w:p>
      <w:pPr>
        <w:ind w:left="440" w:right="160" w:firstLine="320"/>
        <w:spacing w:after="0" w:line="246" w:lineRule="auto"/>
        <w:rPr>
          <w:sz w:val="20"/>
          <w:szCs w:val="20"/>
          <w:color w:val="auto"/>
        </w:rPr>
      </w:pPr>
      <w:r>
        <w:rPr>
          <w:rFonts w:ascii="Arial" w:cs="Arial" w:eastAsia="Arial" w:hAnsi="Arial"/>
          <w:sz w:val="18"/>
          <w:szCs w:val="18"/>
          <w:color w:val="auto"/>
        </w:rPr>
        <w:t>Level 2—Pricing inputs are other than quoted prices in active markets, which are either directly or indirectly observable as of the reporting date, and fair value is determined through the use of models or other valuation methodologies.</w:t>
      </w:r>
    </w:p>
    <w:p>
      <w:pPr>
        <w:spacing w:after="0" w:line="89" w:lineRule="exact"/>
        <w:rPr>
          <w:sz w:val="20"/>
          <w:szCs w:val="20"/>
          <w:color w:val="auto"/>
        </w:rPr>
      </w:pPr>
    </w:p>
    <w:p>
      <w:pPr>
        <w:ind w:left="440" w:right="220" w:firstLine="320"/>
        <w:spacing w:after="0"/>
        <w:rPr>
          <w:sz w:val="20"/>
          <w:szCs w:val="20"/>
          <w:color w:val="auto"/>
        </w:rPr>
      </w:pPr>
      <w:r>
        <w:rPr>
          <w:rFonts w:ascii="Arial" w:cs="Arial" w:eastAsia="Arial" w:hAnsi="Arial"/>
          <w:sz w:val="18"/>
          <w:szCs w:val="18"/>
          <w:color w:val="auto"/>
        </w:rPr>
        <w:t>Level 3—Pricing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203"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100"/>
          </w:cols>
          <w:pgMar w:left="320" w:top="459" w:right="47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120" w:right="820" w:firstLine="551"/>
        <w:spacing w:after="0" w:line="274" w:lineRule="auto"/>
        <w:rPr>
          <w:sz w:val="20"/>
          <w:szCs w:val="20"/>
          <w:color w:val="auto"/>
        </w:rPr>
      </w:pPr>
      <w:r>
        <w:rPr>
          <w:rFonts w:ascii="Arial" w:cs="Arial" w:eastAsia="Arial" w:hAnsi="Arial"/>
          <w:sz w:val="17"/>
          <w:szCs w:val="17"/>
          <w:color w:val="auto"/>
        </w:rPr>
        <w:t>The following table summarizes the categorization and fair value estimate of the Company’s financial instruments that are measured on a recurring basis pursuant to the above fair value hierarchy levels as of March 31, 2021 and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520" w:type="dxa"/>
            <w:vAlign w:val="bottom"/>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6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r>
      <w:tr>
        <w:trPr>
          <w:trHeight w:val="183"/>
        </w:trPr>
        <w:tc>
          <w:tcPr>
            <w:tcW w:w="7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520" w:type="dxa"/>
            <w:vAlign w:val="bottom"/>
          </w:tcPr>
          <w:p>
            <w:pPr>
              <w:ind w:left="360"/>
              <w:spacing w:after="0" w:line="202" w:lineRule="exact"/>
              <w:rPr>
                <w:sz w:val="20"/>
                <w:szCs w:val="20"/>
                <w:color w:val="auto"/>
              </w:rPr>
            </w:pPr>
            <w:r>
              <w:rPr>
                <w:rFonts w:ascii="Arial" w:cs="Arial" w:eastAsia="Arial" w:hAnsi="Arial"/>
                <w:sz w:val="18"/>
                <w:szCs w:val="18"/>
                <w:color w:val="auto"/>
              </w:rPr>
              <w:t>Investments in mutual funds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$ 454</w:t>
            </w:r>
          </w:p>
        </w:tc>
        <w:tc>
          <w:tcPr>
            <w:tcW w:w="4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surrender value of company-owned life insurance</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17"/>
                <w:szCs w:val="17"/>
                <w:color w:val="auto"/>
              </w:rPr>
            </w:pPr>
          </w:p>
        </w:tc>
      </w:tr>
      <w:tr>
        <w:trPr>
          <w:trHeight w:val="209"/>
        </w:trPr>
        <w:tc>
          <w:tcPr>
            <w:tcW w:w="752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$ 454</w:t>
            </w:r>
          </w:p>
        </w:tc>
        <w:tc>
          <w:tcPr>
            <w:tcW w:w="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$ 867</w:t>
            </w:r>
          </w:p>
        </w:tc>
        <w:tc>
          <w:tcPr>
            <w:tcW w:w="2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1,321</w:t>
            </w:r>
          </w:p>
        </w:tc>
      </w:tr>
      <w:tr>
        <w:trPr>
          <w:trHeight w:val="20"/>
        </w:trPr>
        <w:tc>
          <w:tcPr>
            <w:tcW w:w="7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7520" w:type="dxa"/>
            <w:vAlign w:val="bottom"/>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6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r>
      <w:tr>
        <w:trPr>
          <w:trHeight w:val="183"/>
        </w:trPr>
        <w:tc>
          <w:tcPr>
            <w:tcW w:w="7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520" w:type="dxa"/>
            <w:vAlign w:val="bottom"/>
          </w:tcPr>
          <w:p>
            <w:pPr>
              <w:ind w:left="360"/>
              <w:spacing w:after="0" w:line="202" w:lineRule="exact"/>
              <w:rPr>
                <w:sz w:val="20"/>
                <w:szCs w:val="20"/>
                <w:color w:val="auto"/>
              </w:rPr>
            </w:pPr>
            <w:r>
              <w:rPr>
                <w:rFonts w:ascii="Arial" w:cs="Arial" w:eastAsia="Arial" w:hAnsi="Arial"/>
                <w:sz w:val="18"/>
                <w:szCs w:val="18"/>
                <w:color w:val="auto"/>
              </w:rPr>
              <w:t>Investments in mutual funds and other</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$ 584</w:t>
            </w:r>
          </w:p>
        </w:tc>
        <w:tc>
          <w:tcPr>
            <w:tcW w:w="4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584</w:t>
            </w:r>
          </w:p>
        </w:tc>
      </w:tr>
      <w:tr>
        <w:trPr>
          <w:trHeight w:val="202"/>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surrender value of company-owned life insurance</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857</w:t>
            </w:r>
          </w:p>
        </w:tc>
        <w:tc>
          <w:tcPr>
            <w:tcW w:w="60" w:type="dxa"/>
            <w:vAlign w:val="bottom"/>
            <w:shd w:val="clear" w:color="auto" w:fill="CCEEFF"/>
          </w:tcPr>
          <w:p>
            <w:pPr>
              <w:spacing w:after="0"/>
              <w:rPr>
                <w:sz w:val="17"/>
                <w:szCs w:val="17"/>
                <w:color w:val="auto"/>
              </w:rPr>
            </w:pPr>
          </w:p>
        </w:tc>
      </w:tr>
      <w:tr>
        <w:trPr>
          <w:trHeight w:val="210"/>
        </w:trPr>
        <w:tc>
          <w:tcPr>
            <w:tcW w:w="752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$ 584</w:t>
            </w:r>
          </w:p>
        </w:tc>
        <w:tc>
          <w:tcPr>
            <w:tcW w:w="46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$ 857</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1,441</w:t>
            </w:r>
          </w:p>
        </w:tc>
      </w:tr>
      <w:tr>
        <w:trPr>
          <w:trHeight w:val="20"/>
        </w:trPr>
        <w:tc>
          <w:tcPr>
            <w:tcW w:w="7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transfers between fair value levels during each of the three months ended March 31, 2021 and 2020.</w:t>
      </w:r>
    </w:p>
    <w:p>
      <w:pPr>
        <w:spacing w:after="0" w:line="212"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March 31, 2021 and December 31, 2020, which approximates fair value.</w:t>
      </w:r>
    </w:p>
    <w:p>
      <w:pPr>
        <w:spacing w:after="0" w:line="20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As of March 31, 2021 and December 31, 2020, the Company held investments related to a legacy deferred compensation program and securities, which are included in Prepaid expenses and other assets on the Condensed Consolidated Statements of Financial Condition.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 xml:space="preserve">As of March 31, 2021 and December 31, 2020, the Company held an investment in a private company for which there is no readily determinable fair value. The Company made the policy election under ASC 321, </w:t>
      </w:r>
      <w:r>
        <w:rPr>
          <w:rFonts w:ascii="Arial" w:cs="Arial" w:eastAsia="Arial" w:hAnsi="Arial"/>
          <w:sz w:val="18"/>
          <w:szCs w:val="18"/>
          <w:i w:val="1"/>
          <w:iCs w:val="1"/>
          <w:color w:val="auto"/>
        </w:rPr>
        <w:t>Investments</w:t>
      </w:r>
      <w:r>
        <w:rPr>
          <w:rFonts w:ascii="Arial" w:cs="Arial" w:eastAsia="Arial" w:hAnsi="Arial"/>
          <w:sz w:val="18"/>
          <w:szCs w:val="18"/>
          <w:color w:val="auto"/>
        </w:rPr>
        <w:t>, to carry this investment at cost less impairment, if any, plus or minus changes resulting from observable price changes in orderly transactions for identical or similar investments of the same issuer, if any. As of March 31, 2021 and December 31, 2020, no impairment was recognized on the $0.6 million cost basis of the investment, which is included in Prepaid expenses and other assets on the Condensed Consolidated Statements of Financial Condition.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140"/>
          </w:cols>
          <w:pgMar w:left="320" w:top="459" w:right="4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As of March 31, 2021, the Company applies the equity method of accounting to its investment in PFAC Holdings I LLC (“PFAC Holdings”), an indirect parent of PWP Forward Acquisition Corp. I (“PFAC”), a special purpose acquisition company. As of March 31, 2021, the Company’s investment in PFAC Holdings was $0.8 million and advances to PFAC Holdings were $0.5 million, which are included in Prepaid expenses and other assets and Due from related parties, respectively, on the Condensed Consolidated Statements of Financial Condition. PFAC Holdings repaid the $0.5 million advance in April 2021. The Company’s share of earnings of PFAC Holdings is included in the Condensed Consolidated Statements of Operations and Comprehensive Income (Loss) for the three months ended March 31, 2021.</w:t>
      </w:r>
    </w:p>
    <w:p>
      <w:pPr>
        <w:spacing w:after="0" w:line="321" w:lineRule="exact"/>
        <w:rPr>
          <w:sz w:val="20"/>
          <w:szCs w:val="20"/>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6"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The following table shows the components of related party revenues and expenses included in the Condensed Consolidated Statements of Operations and Comprehensive Income (Loss) for the periods presented.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4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84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Related party revenues</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TSA revenue—Compensation related</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5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1,087</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TSA revenue—Non-compensation related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298</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Sublease revenue</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806</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984</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affiliate fees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5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8480" w:type="dxa"/>
            <w:vAlign w:val="bottom"/>
          </w:tcPr>
          <w:p>
            <w:pPr>
              <w:ind w:left="720"/>
              <w:spacing w:after="0"/>
              <w:rPr>
                <w:sz w:val="20"/>
                <w:szCs w:val="20"/>
                <w:color w:val="auto"/>
              </w:rPr>
            </w:pPr>
            <w:r>
              <w:rPr>
                <w:rFonts w:ascii="Arial" w:cs="Arial" w:eastAsia="Arial" w:hAnsi="Arial"/>
                <w:sz w:val="18"/>
                <w:szCs w:val="18"/>
                <w:color w:val="auto"/>
              </w:rPr>
              <w:t>Total related party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2,209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2,369</w:t>
            </w: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Related party 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TSA compensation expense (1)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5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TSA non-compensation expense (2)</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10"/>
        </w:trPr>
        <w:tc>
          <w:tcPr>
            <w:tcW w:w="8480" w:type="dxa"/>
            <w:vAlign w:val="bottom"/>
          </w:tcPr>
          <w:p>
            <w:pPr>
              <w:ind w:left="720"/>
              <w:spacing w:after="0"/>
              <w:rPr>
                <w:sz w:val="20"/>
                <w:szCs w:val="20"/>
                <w:color w:val="auto"/>
              </w:rPr>
            </w:pPr>
            <w:r>
              <w:rPr>
                <w:rFonts w:ascii="Arial" w:cs="Arial" w:eastAsia="Arial" w:hAnsi="Arial"/>
                <w:sz w:val="18"/>
                <w:szCs w:val="18"/>
                <w:color w:val="auto"/>
              </w:rPr>
              <w:t>Total related party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660" w:right="260" w:hanging="544"/>
        <w:spacing w:after="0" w:line="234"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TSA compensation expense is included in Compensation and benefits in the Condensed Consolidated Statements of Operations and Comprehensive Income (Loss).</w:t>
      </w:r>
    </w:p>
    <w:p>
      <w:pPr>
        <w:spacing w:after="0" w:line="1" w:lineRule="exact"/>
        <w:rPr>
          <w:rFonts w:ascii="Arial" w:cs="Arial" w:eastAsia="Arial" w:hAnsi="Arial"/>
          <w:sz w:val="18"/>
          <w:szCs w:val="18"/>
          <w:color w:val="auto"/>
        </w:rPr>
      </w:pPr>
    </w:p>
    <w:p>
      <w:pPr>
        <w:ind w:left="660" w:right="80" w:hanging="544"/>
        <w:spacing w:after="0" w:line="246"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TSA non-compensation expense is included in various financial statement line items in the Condensed Consolidated Statements of Operations and Comprehensive Income (Loss).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10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i w:val="1"/>
          <w:iCs w:val="1"/>
          <w:color w:val="auto"/>
        </w:rPr>
        <w:t>TSA Agreement</w:t>
      </w:r>
      <w:r>
        <w:rPr>
          <w:rFonts w:ascii="Arial" w:cs="Arial" w:eastAsia="Arial" w:hAnsi="Arial"/>
          <w:sz w:val="18"/>
          <w:szCs w:val="18"/>
          <w:color w:val="auto"/>
        </w:rPr>
        <w:t>—In connection with the Separation, the Company entered into a transition services agreement (the “TSA”) with</w:t>
      </w:r>
      <w:r>
        <w:rPr>
          <w:rFonts w:ascii="Arial" w:cs="Arial" w:eastAsia="Arial" w:hAnsi="Arial"/>
          <w:sz w:val="18"/>
          <w:szCs w:val="18"/>
          <w:i w:val="1"/>
          <w:iCs w:val="1"/>
          <w:color w:val="auto"/>
        </w:rPr>
        <w:t xml:space="preserve"> </w:t>
      </w:r>
      <w:r>
        <w:rPr>
          <w:rFonts w:ascii="Arial" w:cs="Arial" w:eastAsia="Arial" w:hAnsi="Arial"/>
          <w:sz w:val="18"/>
          <w:szCs w:val="18"/>
          <w:color w:val="auto"/>
        </w:rPr>
        <w:t>PWP Capital 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jc w:val="center"/>
        <w:ind w:right="-15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85"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i w:val="1"/>
          <w:iCs w:val="1"/>
          <w:color w:val="auto"/>
        </w:rPr>
        <w:t>Sublease Revenue</w:t>
      </w:r>
      <w:r>
        <w:rPr>
          <w:rFonts w:ascii="Arial" w:cs="Arial" w:eastAsia="Arial" w:hAnsi="Arial"/>
          <w:sz w:val="18"/>
          <w:szCs w:val="18"/>
          <w:color w:val="auto"/>
        </w:rPr>
        <w:t>—In connection with the Separation, the Company subleases a portion of its office space at its New York and</w:t>
      </w:r>
      <w:r>
        <w:rPr>
          <w:rFonts w:ascii="Arial" w:cs="Arial" w:eastAsia="Arial" w:hAnsi="Arial"/>
          <w:sz w:val="18"/>
          <w:szCs w:val="18"/>
          <w:i w:val="1"/>
          <w:iCs w:val="1"/>
          <w:color w:val="auto"/>
        </w:rPr>
        <w:t xml:space="preserve"> </w:t>
      </w:r>
      <w:r>
        <w:rPr>
          <w:rFonts w:ascii="Arial" w:cs="Arial" w:eastAsia="Arial" w:hAnsi="Arial"/>
          <w:sz w:val="18"/>
          <w:szCs w:val="18"/>
          <w:color w:val="auto"/>
        </w:rPr>
        <w:t>Houston locations to PWP Capital Holdings LP. Sublease rent payments are due monthly and are based on PWP Capital Holdings LP’s pro-rata portion of the underlying lease agreements including base rent as well as other lease related charges. See additional information regarding the subleases at Note 4—Leases.</w:t>
      </w:r>
    </w:p>
    <w:p>
      <w:pPr>
        <w:spacing w:after="0" w:line="18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Compensation Arrangements</w:t>
      </w:r>
      <w:r>
        <w:rPr>
          <w:rFonts w:ascii="Arial" w:cs="Arial" w:eastAsia="Arial" w:hAnsi="Arial"/>
          <w:sz w:val="18"/>
          <w:szCs w:val="18"/>
          <w:color w:val="auto"/>
        </w:rPr>
        <w:t>—In addition, PWP Capital Holdings LP has entered into an arrangement with an employee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related to 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Income (Loss).</w:t>
      </w:r>
    </w:p>
    <w:p>
      <w:pPr>
        <w:spacing w:after="0" w:line="203"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Amounts due from PWP Capital Holdings LP are reflected as Due from related parties on the Condensed Consolidated Statements of Financial Condition.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PFAC</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 has a minority interest in PFAC Holdings, an indirect parent of PFAC. During the three months ended March 31, 2021, the Company earned an advisory fee of $0.6 million related to PFAC’s initial public offering. In addition, the Company receives a fee of $10,000 per month for certain administrative services provided to PFAC. There were no amounts receivable related to these fees as of March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Condensed Consolidated Statements of Financial Condition in the amount of $8.0 million as of March 31, 2021 and December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Principal amounts of $8.7 million related to the Convertible Notes are held by affiliates as of March 31, 2021 and December 31, 2020. Refer to Note 9—Debt for additional information on the Convertible Notes.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100"/>
          </w:cols>
          <w:pgMar w:left="320" w:top="459" w:right="47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17" w:lineRule="exact"/>
        <w:rPr>
          <w:sz w:val="20"/>
          <w:szCs w:val="20"/>
          <w:color w:val="auto"/>
        </w:rPr>
      </w:pPr>
    </w:p>
    <w:p>
      <w:pPr>
        <w:ind w:left="120" w:right="7580" w:hanging="4"/>
        <w:spacing w:after="0" w:line="372" w:lineRule="auto"/>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Loan Guarantees</w:t>
      </w:r>
    </w:p>
    <w:p>
      <w:pPr>
        <w:spacing w:after="0" w:line="1" w:lineRule="exact"/>
        <w:rPr>
          <w:sz w:val="20"/>
          <w:szCs w:val="20"/>
          <w:color w:val="auto"/>
        </w:rPr>
      </w:pPr>
    </w:p>
    <w:p>
      <w:pPr>
        <w:ind w:left="120" w:right="100" w:firstLine="551"/>
        <w:spacing w:after="0" w:line="257" w:lineRule="auto"/>
        <w:rPr>
          <w:sz w:val="20"/>
          <w:szCs w:val="20"/>
          <w:color w:val="auto"/>
        </w:rPr>
      </w:pPr>
      <w:r>
        <w:rPr>
          <w:rFonts w:ascii="Arial" w:cs="Arial" w:eastAsia="Arial" w:hAnsi="Arial"/>
          <w:sz w:val="17"/>
          <w:szCs w:val="17"/>
          <w:color w:val="auto"/>
        </w:rPr>
        <w:t>The Company has unconditionally guaranteed certain of its Partners’ loans with First Republic Bank (“Lender”) whereby it will pay the Lender upon the occurrence of a default event. The total guarantees related to Partners was $4.3 million and $5.6 million as of March 31, 2021 and December 31, 2020, respectively. These guarantees are secured by either the Partners’ limited partnership interests in the Company or limited partnership interests in an affiliate. As of March 31, 2021 and December 31, 2020, no loan was in default.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March 31, 2021 and December 31, 2020, the Company expects no claims or losses pursuant to these contracts; therefore, no liability has been recorded related to these indemnification provisions.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March 31, 2021 and December 31, 2020 and for the three months ended March 31, 2021 and 2020.</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1100"/>
          </w:cols>
          <w:pgMar w:left="320" w:top="459" w:right="47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York Appellate Division, First Department (the “First Department”). On August 29, 2017, the First Department issued a decision denying</w:t>
      </w:r>
    </w:p>
    <w:p>
      <w:pPr>
        <w:ind w:left="120"/>
        <w:spacing w:after="0" w:line="234" w:lineRule="auto"/>
        <w:rPr>
          <w:sz w:val="20"/>
          <w:szCs w:val="20"/>
          <w:color w:val="auto"/>
        </w:rPr>
      </w:pPr>
      <w:r>
        <w:rPr>
          <w:rFonts w:ascii="Arial" w:cs="Arial" w:eastAsia="Arial" w:hAnsi="Arial"/>
          <w:sz w:val="18"/>
          <w:szCs w:val="18"/>
          <w:color w:val="auto"/>
        </w:rPr>
        <w:t>the Defendants’ appeal in its entirety other than allowing only one Defendant to proceed with his breach of fiduciary duty counterclaim. On</w:t>
      </w:r>
    </w:p>
    <w:p>
      <w:pPr>
        <w:ind w:left="120"/>
        <w:spacing w:after="0" w:line="235" w:lineRule="auto"/>
        <w:rPr>
          <w:sz w:val="20"/>
          <w:szCs w:val="20"/>
          <w:color w:val="auto"/>
        </w:rPr>
      </w:pPr>
      <w:r>
        <w:rPr>
          <w:rFonts w:ascii="Arial" w:cs="Arial" w:eastAsia="Arial" w:hAnsi="Arial"/>
          <w:sz w:val="18"/>
          <w:szCs w:val="18"/>
          <w:color w:val="auto"/>
        </w:rPr>
        <w:t>October 27, 2017, the Defendants moved the First Department for leave to appeal its decision to the New York Court of Appeals. On</w:t>
      </w:r>
    </w:p>
    <w:p>
      <w:pPr>
        <w:ind w:left="120"/>
        <w:spacing w:after="0" w:line="235" w:lineRule="auto"/>
        <w:rPr>
          <w:sz w:val="20"/>
          <w:szCs w:val="20"/>
          <w:color w:val="auto"/>
        </w:rPr>
      </w:pPr>
      <w:r>
        <w:rPr>
          <w:rFonts w:ascii="Arial" w:cs="Arial" w:eastAsia="Arial" w:hAnsi="Arial"/>
          <w:sz w:val="18"/>
          <w:szCs w:val="18"/>
          <w:color w:val="auto"/>
        </w:rPr>
        <w:t>December 28, 2017, the First Department denied the Defendants’ motion for leave to appeal to the New York Court of Appeals. On</w:t>
      </w:r>
    </w:p>
    <w:p>
      <w:pPr>
        <w:ind w:left="120"/>
        <w:spacing w:after="0" w:line="235" w:lineRule="auto"/>
        <w:rPr>
          <w:sz w:val="20"/>
          <w:szCs w:val="20"/>
          <w:color w:val="auto"/>
        </w:rPr>
      </w:pPr>
      <w:r>
        <w:rPr>
          <w:rFonts w:ascii="Arial" w:cs="Arial" w:eastAsia="Arial" w:hAnsi="Arial"/>
          <w:sz w:val="18"/>
          <w:szCs w:val="18"/>
          <w:color w:val="auto"/>
        </w:rPr>
        <w:t>April 24, 2018, the Defendants filed a Second Amended Answer, Counterclaims, Cross-claims and Third-Party Complaint, which contains</w:t>
      </w:r>
    </w:p>
    <w:p>
      <w:pPr>
        <w:ind w:left="120"/>
        <w:spacing w:after="0"/>
        <w:rPr>
          <w:sz w:val="20"/>
          <w:szCs w:val="20"/>
          <w:color w:val="auto"/>
        </w:rPr>
      </w:pPr>
      <w:r>
        <w:rPr>
          <w:rFonts w:ascii="Arial" w:cs="Arial" w:eastAsia="Arial" w:hAnsi="Arial"/>
          <w:sz w:val="17"/>
          <w:szCs w:val="17"/>
          <w:color w:val="auto"/>
        </w:rPr>
        <w:t>eight counterclaims and cross-claims. The Defendants are seeking declaratory relief and damages of no less than $60.0 million, as well as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statutory interest.</w:t>
      </w:r>
    </w:p>
    <w:p>
      <w:pPr>
        <w:spacing w:after="0" w:line="212"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7"/>
          <w:szCs w:val="17"/>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90"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2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During the three months ended March 31, 2021 and 2020, the Company incurred $0.2 million and $0.3 million, respectively, in legal and professional fees, net of expected insurance reimbursement, related to this litigation. These litigation costs are included in Professional fees in the Condensed Consolidated Statements of Operations and Comprehensive Income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March 31, 2021, the Company had approximately $22.4 million of potential future awards pursuant to these agreements.</w:t>
      </w:r>
    </w:p>
    <w:p>
      <w:pPr>
        <w:spacing w:after="0" w:line="331" w:lineRule="exact"/>
        <w:rPr>
          <w:sz w:val="20"/>
          <w:szCs w:val="20"/>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Information</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PWP Holdings LP and Subsidiaries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39"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Revenues of $ 28.7 million related to one individual client that accounted for more than 10% of aggregate revenue for the three months ended March 31, 2021. Revenues of $39.4 million related to three individual clients that accounted for more than 10% of aggregate revenue for the three months ended March 31, 2020.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89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gridSpan w:val="2"/>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3"/>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United States</w:t>
            </w: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$126,827</w:t>
            </w:r>
          </w:p>
        </w:tc>
        <w:tc>
          <w:tcPr>
            <w:tcW w:w="26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$55,713</w:t>
            </w:r>
          </w:p>
        </w:tc>
        <w:tc>
          <w:tcPr>
            <w:tcW w:w="60" w:type="dxa"/>
            <w:vAlign w:val="bottom"/>
          </w:tcPr>
          <w:p>
            <w:pPr>
              <w:spacing w:after="0"/>
              <w:rPr>
                <w:sz w:val="17"/>
                <w:szCs w:val="17"/>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 of the world</w:t>
            </w:r>
          </w:p>
        </w:tc>
        <w:tc>
          <w:tcPr>
            <w:tcW w:w="28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42,975</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36,683</w:t>
            </w:r>
          </w:p>
        </w:tc>
        <w:tc>
          <w:tcPr>
            <w:tcW w:w="60" w:type="dxa"/>
            <w:vAlign w:val="bottom"/>
            <w:shd w:val="clear" w:color="auto" w:fill="CCEEFF"/>
          </w:tcPr>
          <w:p>
            <w:pPr>
              <w:spacing w:after="0"/>
              <w:rPr>
                <w:sz w:val="17"/>
                <w:szCs w:val="17"/>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8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169,802</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92,396</w:t>
            </w:r>
          </w:p>
        </w:tc>
        <w:tc>
          <w:tcPr>
            <w:tcW w:w="6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8980" w:type="dxa"/>
            <w:vAlign w:val="bottom"/>
          </w:tcPr>
          <w:p>
            <w:pPr>
              <w:spacing w:after="0"/>
              <w:rPr>
                <w:sz w:val="24"/>
                <w:szCs w:val="24"/>
                <w:color w:val="auto"/>
              </w:rPr>
            </w:pPr>
          </w:p>
        </w:tc>
        <w:tc>
          <w:tcPr>
            <w:tcW w:w="10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9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182"/>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United States</w:t>
            </w: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$321,958</w:t>
            </w:r>
          </w:p>
        </w:tc>
        <w:tc>
          <w:tcPr>
            <w:tcW w:w="280" w:type="dxa"/>
            <w:vAlign w:val="bottom"/>
          </w:tcPr>
          <w:p>
            <w:pPr>
              <w:spacing w:after="0"/>
              <w:rPr>
                <w:sz w:val="17"/>
                <w:szCs w:val="17"/>
                <w:color w:val="auto"/>
              </w:rPr>
            </w:pPr>
          </w:p>
        </w:tc>
        <w:tc>
          <w:tcPr>
            <w:tcW w:w="260" w:type="dxa"/>
            <w:vAlign w:val="bottom"/>
          </w:tcPr>
          <w:p>
            <w:pPr>
              <w:jc w:val="right"/>
              <w:ind w:right="7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406,884</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 of the world</w:t>
            </w:r>
          </w:p>
        </w:tc>
        <w:tc>
          <w:tcPr>
            <w:tcW w:w="7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107,131</w:t>
            </w:r>
          </w:p>
        </w:tc>
        <w:tc>
          <w:tcPr>
            <w:tcW w:w="2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136,069</w:t>
            </w:r>
          </w:p>
        </w:tc>
        <w:tc>
          <w:tcPr>
            <w:tcW w:w="60" w:type="dxa"/>
            <w:vAlign w:val="bottom"/>
            <w:shd w:val="clear" w:color="auto" w:fill="CCEEFF"/>
          </w:tcPr>
          <w:p>
            <w:pPr>
              <w:spacing w:after="0"/>
              <w:rPr>
                <w:sz w:val="17"/>
                <w:szCs w:val="17"/>
                <w:color w:val="auto"/>
              </w:rPr>
            </w:pPr>
          </w:p>
        </w:tc>
      </w:tr>
      <w:tr>
        <w:trPr>
          <w:trHeight w:val="210"/>
        </w:trPr>
        <w:tc>
          <w:tcPr>
            <w:tcW w:w="8980" w:type="dxa"/>
            <w:vAlign w:val="bottom"/>
          </w:tcPr>
          <w:p>
            <w:pPr>
              <w:ind w:left="720"/>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429,089</w:t>
            </w:r>
          </w:p>
        </w:tc>
        <w:tc>
          <w:tcPr>
            <w:tcW w:w="28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542,953</w:t>
            </w:r>
          </w:p>
        </w:tc>
      </w:tr>
      <w:tr>
        <w:trPr>
          <w:trHeight w:val="20"/>
        </w:trPr>
        <w:tc>
          <w:tcPr>
            <w:tcW w:w="8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5" w:lineRule="exact"/>
        <w:rPr>
          <w:rFonts w:ascii="Arial" w:cs="Arial" w:eastAsia="Arial" w:hAnsi="Arial"/>
          <w:sz w:val="18"/>
          <w:szCs w:val="18"/>
          <w:b w:val="1"/>
          <w:bCs w:val="1"/>
          <w:color w:val="auto"/>
        </w:rPr>
      </w:pPr>
    </w:p>
    <w:p>
      <w:pPr>
        <w:ind w:left="660" w:right="120"/>
        <w:spacing w:after="0" w:line="485"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the issuance date of these condensed consolidated financial statements. In April 2021, PFAC Holdings repaid the $0.5 million advanced by the Company.</w:t>
      </w:r>
    </w:p>
    <w:p>
      <w:pPr>
        <w:ind w:left="120" w:right="360" w:firstLine="551"/>
        <w:spacing w:after="0" w:line="246" w:lineRule="auto"/>
        <w:rPr>
          <w:sz w:val="20"/>
          <w:szCs w:val="20"/>
          <w:color w:val="auto"/>
        </w:rPr>
      </w:pPr>
      <w:r>
        <w:rPr>
          <w:rFonts w:ascii="Arial" w:cs="Arial" w:eastAsia="Arial" w:hAnsi="Arial"/>
          <w:sz w:val="18"/>
          <w:szCs w:val="18"/>
          <w:color w:val="auto"/>
        </w:rPr>
        <w:t>In May 2021, the Company made distributions of $11.8 million to certain ILPs and to the SLP for purposes of tax distributions in accordance with the LPA.</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140"/>
          </w:cols>
          <w:pgMar w:left="32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1465580</wp:posOffset>
            </wp:positionV>
            <wp:extent cx="1714500" cy="6515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79"/>
        <w:spacing w:after="0"/>
        <w:rPr>
          <w:sz w:val="20"/>
          <w:szCs w:val="20"/>
          <w:color w:val="auto"/>
        </w:rPr>
      </w:pPr>
      <w:r>
        <w:rPr>
          <w:rFonts w:ascii="Arial" w:cs="Arial" w:eastAsia="Arial" w:hAnsi="Arial"/>
          <w:sz w:val="29"/>
          <w:szCs w:val="29"/>
          <w:b w:val="1"/>
          <w:bCs w:val="1"/>
          <w:color w:val="auto"/>
        </w:rPr>
        <w:t>Perella Weinberg Partners</w:t>
      </w:r>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70,364,353 Shares of Class A Common Stock</w:t>
      </w:r>
    </w:p>
    <w:p>
      <w:pPr>
        <w:spacing w:after="0" w:line="206"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203,333 Warrants to Purchase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1283335</wp:posOffset>
            </wp:positionV>
            <wp:extent cx="6995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803275</wp:posOffset>
            </wp:positionV>
            <wp:extent cx="6995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ectPr>
          <w:pgSz w:w="11900" w:h="16838" w:orient="portrait"/>
          <w:cols w:equalWidth="0" w:num="1">
            <w:col w:w="10680"/>
          </w:cols>
          <w:pgMar w:left="320" w:top="459" w:right="89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234"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by us in connection with the sale and distribution of the securities being registered hereby.</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107,675.90</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fees and expenses</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Registrar and transfer agent fees</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6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3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660" w:hanging="54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Estimates not presently known.</w:t>
      </w:r>
    </w:p>
    <w:p>
      <w:pPr>
        <w:spacing w:after="0" w:line="212"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We will bear all costs, expenses and fees in connection with the registration of the securities, including with regard to compliance with state securities or “blue sky” laws. The Selling Holders, however, will bear all underwriting commissions and discounts, if any, attributable to their sale of the securities. All amounts are estimates except the SEC registration fee.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6"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20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Our Certificate of Incorporation provides that our officers and directors are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202"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Our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6"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Since November 20, 2018 (the date of our inception), the Registrant has granted or issued the following securities of the Registrant which were not registered under the Securities Act.</w:t>
      </w:r>
    </w:p>
    <w:p>
      <w:pPr>
        <w:spacing w:after="0" w:line="102" w:lineRule="exact"/>
        <w:rPr>
          <w:sz w:val="20"/>
          <w:szCs w:val="20"/>
          <w:color w:val="auto"/>
        </w:rPr>
      </w:pPr>
    </w:p>
    <w:p>
      <w:pPr>
        <w:ind w:left="880" w:hanging="224"/>
        <w:spacing w:after="0"/>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November 2018, we issued 7,382,500 founder shares to the Sponsor for an aggregate purchase price of $25,000.</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 September 29, 2020, we issued 610,000 placement units to Sponsor at a price of $10.00 per unit and an aggregate purchase price of $6,100,000 concurrently with the closing of our IPO.</w:t>
      </w:r>
    </w:p>
    <w:p>
      <w:pPr>
        <w:spacing w:after="0" w:line="102"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 June 24, 2021, concurrently with the Business Combination, we issued 12,500,000 PIPE Shares to the PIPE Investors at a price of $10.00 per share for an aggregate purchase price of $125,000,000 pursuant to the Subscription Agreements.</w:t>
      </w:r>
    </w:p>
    <w:p>
      <w:pPr>
        <w:spacing w:after="0" w:line="19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sales of the above securities were exempt from the registration requirements of the Securities Act in reliance on the exemptions afforded by Section 4(a)(2) of the Securities Act. Other than the IPO, no sales involved underwriters, underwriting discounts or commissions or public offerings of securities of the Registrant.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520" w:type="dxa"/>
            <w:vAlign w:val="bottom"/>
            <w:tcBorders>
              <w:bottom w:val="single" w:sz="8" w:color="auto"/>
            </w:tcBorders>
            <w:gridSpan w:val="12"/>
          </w:tcPr>
          <w:p>
            <w:pPr>
              <w:ind w:left="200"/>
              <w:spacing w:after="0"/>
              <w:rPr>
                <w:sz w:val="20"/>
                <w:szCs w:val="20"/>
                <w:color w:val="auto"/>
              </w:rPr>
            </w:pPr>
            <w:r>
              <w:rPr>
                <w:rFonts w:ascii="Arial" w:cs="Arial" w:eastAsia="Arial" w:hAnsi="Arial"/>
                <w:sz w:val="14"/>
                <w:szCs w:val="14"/>
                <w:b w:val="1"/>
                <w:bCs w:val="1"/>
                <w:color w:val="auto"/>
              </w:rPr>
              <w:t>Exhibit Title</w:t>
            </w: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84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3"/>
                <w:szCs w:val="23"/>
                <w:color w:val="auto"/>
              </w:rPr>
            </w:pPr>
          </w:p>
        </w:tc>
        <w:tc>
          <w:tcPr>
            <w:tcW w:w="9660" w:type="dxa"/>
            <w:vAlign w:val="bottom"/>
            <w:tcBorders>
              <w:bottom w:val="single" w:sz="8" w:color="0000EE"/>
            </w:tcBorders>
            <w:gridSpan w:val="11"/>
          </w:tcPr>
          <w:p>
            <w:pPr>
              <w:spacing w:after="0"/>
              <w:rPr>
                <w:rFonts w:ascii="Arial" w:cs="Arial" w:eastAsia="Arial" w:hAnsi="Arial"/>
                <w:sz w:val="18"/>
                <w:szCs w:val="18"/>
                <w:color w:val="0000EE"/>
                <w:w w:val="99"/>
              </w:rPr>
            </w:pPr>
            <w:hyperlink r:id="rId458">
              <w:r>
                <w:rPr>
                  <w:rFonts w:ascii="Arial" w:cs="Arial" w:eastAsia="Arial" w:hAnsi="Arial"/>
                  <w:sz w:val="18"/>
                  <w:szCs w:val="18"/>
                  <w:color w:val="0000EE"/>
                  <w:w w:val="99"/>
                </w:rPr>
                <w:t>Business Combination Agreement, dated as of December 29, 2020, by and among FinTech Acquisition Corp. IV, FinTech</w:t>
              </w:r>
            </w:hyperlink>
          </w:p>
        </w:tc>
        <w:tc>
          <w:tcPr>
            <w:tcW w:w="180" w:type="dxa"/>
            <w:vAlign w:val="bottom"/>
            <w:gridSpan w:val="3"/>
          </w:tcPr>
          <w:p>
            <w:pPr>
              <w:spacing w:after="0"/>
              <w:rPr>
                <w:sz w:val="23"/>
                <w:szCs w:val="23"/>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458">
              <w:r>
                <w:rPr>
                  <w:rFonts w:ascii="Arial" w:cs="Arial" w:eastAsia="Arial" w:hAnsi="Arial"/>
                  <w:sz w:val="18"/>
                  <w:szCs w:val="18"/>
                  <w:color w:val="0000EE"/>
                  <w:w w:val="99"/>
                </w:rPr>
                <w:t>Investor Holdings IV, LLC, FinTech Masala Advisors, LLC, PWP Holdings LP, PWP GP LLC, PWP Professional Partners LP</w:t>
              </w:r>
            </w:hyperlink>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3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458">
              <w:r>
                <w:rPr>
                  <w:rFonts w:ascii="Arial" w:cs="Arial" w:eastAsia="Arial" w:hAnsi="Arial"/>
                  <w:sz w:val="18"/>
                  <w:szCs w:val="18"/>
                  <w:color w:val="0000EE"/>
                  <w:w w:val="99"/>
                </w:rPr>
                <w:t>and Perella Weinberg Partners LLC (incorporated by reference to Exhibit 2.1 to FinTech Acquisition Corp. IV’s Current</w:t>
              </w:r>
            </w:hyperlink>
          </w:p>
        </w:tc>
        <w:tc>
          <w:tcPr>
            <w:tcW w:w="460" w:type="dxa"/>
            <w:vAlign w:val="bottom"/>
            <w:gridSpan w:val="7"/>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458">
              <w:r>
                <w:rPr>
                  <w:rFonts w:ascii="Arial" w:cs="Arial" w:eastAsia="Arial" w:hAnsi="Arial"/>
                  <w:sz w:val="18"/>
                  <w:szCs w:val="18"/>
                  <w:color w:val="0000EE"/>
                  <w:w w:val="99"/>
                </w:rPr>
                <w:t>Report on Form 8-K/A, filed with the SEC on December 31, 2020).</w:t>
              </w:r>
            </w:hyperlink>
          </w:p>
        </w:tc>
        <w:tc>
          <w:tcPr>
            <w:tcW w:w="4560" w:type="dxa"/>
            <w:vAlign w:val="bottom"/>
            <w:gridSpan w:val="11"/>
          </w:tcPr>
          <w:p>
            <w:pPr>
              <w:spacing w:after="0"/>
              <w:rPr>
                <w:sz w:val="15"/>
                <w:szCs w:val="15"/>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440" w:type="dxa"/>
            <w:vAlign w:val="bottom"/>
            <w:tcBorders>
              <w:bottom w:val="single" w:sz="8" w:color="0000EE"/>
            </w:tcBorders>
            <w:gridSpan w:val="8"/>
          </w:tcPr>
          <w:p>
            <w:pPr>
              <w:spacing w:after="0"/>
              <w:rPr>
                <w:rFonts w:ascii="Arial" w:cs="Arial" w:eastAsia="Arial" w:hAnsi="Arial"/>
                <w:sz w:val="18"/>
                <w:szCs w:val="18"/>
                <w:color w:val="0000EE"/>
                <w:w w:val="99"/>
              </w:rPr>
            </w:pPr>
            <w:hyperlink r:id="rId459">
              <w:r>
                <w:rPr>
                  <w:rFonts w:ascii="Arial" w:cs="Arial" w:eastAsia="Arial" w:hAnsi="Arial"/>
                  <w:sz w:val="18"/>
                  <w:szCs w:val="18"/>
                  <w:color w:val="0000EE"/>
                  <w:w w:val="99"/>
                </w:rPr>
                <w:t>Second Amended and Restated Certificate of Incorporation of Perella Weinberg Partners (incorporated by reference to</w:t>
              </w:r>
            </w:hyperlink>
          </w:p>
        </w:tc>
        <w:tc>
          <w:tcPr>
            <w:tcW w:w="400" w:type="dxa"/>
            <w:vAlign w:val="bottom"/>
            <w:gridSpan w:val="6"/>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459">
              <w:r>
                <w:rPr>
                  <w:rFonts w:ascii="Arial" w:cs="Arial" w:eastAsia="Arial" w:hAnsi="Arial"/>
                  <w:sz w:val="18"/>
                  <w:szCs w:val="18"/>
                  <w:color w:val="0000EE"/>
                  <w:w w:val="99"/>
                </w:rPr>
                <w:t>Exhibit 3.1 to the Company’s Current Report on Form 8-K, filed with the SEC on June 30, 2021).</w:t>
              </w:r>
            </w:hyperlink>
          </w:p>
        </w:tc>
        <w:tc>
          <w:tcPr>
            <w:tcW w:w="2180" w:type="dxa"/>
            <w:vAlign w:val="bottom"/>
            <w:gridSpan w:val="9"/>
          </w:tcPr>
          <w:p>
            <w:pPr>
              <w:spacing w:after="0"/>
              <w:rPr>
                <w:sz w:val="15"/>
                <w:szCs w:val="15"/>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840" w:type="dxa"/>
            <w:vAlign w:val="bottom"/>
            <w:gridSpan w:val="14"/>
          </w:tcPr>
          <w:p>
            <w:pPr>
              <w:spacing w:after="0"/>
              <w:rPr>
                <w:rFonts w:ascii="Arial" w:cs="Arial" w:eastAsia="Arial" w:hAnsi="Arial"/>
                <w:sz w:val="18"/>
                <w:szCs w:val="18"/>
                <w:color w:val="0000EE"/>
              </w:rPr>
            </w:pPr>
            <w:hyperlink r:id="rId460">
              <w:r>
                <w:rPr>
                  <w:rFonts w:ascii="Arial" w:cs="Arial" w:eastAsia="Arial" w:hAnsi="Arial"/>
                  <w:sz w:val="18"/>
                  <w:szCs w:val="18"/>
                  <w:color w:val="0000EE"/>
                </w:rPr>
                <w:t>Amended and Restated Bylaws of Perella Weinberg Partners (incorporated by reference to Exhibit 3.2 to the Company’s</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460">
              <w:r>
                <w:rPr>
                  <w:rFonts w:ascii="Arial" w:cs="Arial" w:eastAsia="Arial" w:hAnsi="Arial"/>
                  <w:sz w:val="18"/>
                  <w:szCs w:val="18"/>
                  <w:color w:val="0000EE"/>
                  <w:w w:val="99"/>
                </w:rPr>
                <w:t>Current Report on Form 8-K, filed with the SEC on June 30, 2021).</w:t>
              </w:r>
            </w:hyperlink>
          </w:p>
        </w:tc>
        <w:tc>
          <w:tcPr>
            <w:tcW w:w="4240" w:type="dxa"/>
            <w:vAlign w:val="bottom"/>
            <w:tcBorders>
              <w:top w:val="single" w:sz="8" w:color="0000EE"/>
            </w:tcBorders>
            <w:gridSpan w:val="6"/>
          </w:tcPr>
          <w:p>
            <w:pPr>
              <w:spacing w:after="0"/>
              <w:rPr>
                <w:sz w:val="15"/>
                <w:szCs w:val="15"/>
                <w:color w:val="auto"/>
              </w:rPr>
            </w:pPr>
          </w:p>
        </w:tc>
        <w:tc>
          <w:tcPr>
            <w:tcW w:w="280" w:type="dxa"/>
            <w:vAlign w:val="bottom"/>
            <w:gridSpan w:val="4"/>
          </w:tcPr>
          <w:p>
            <w:pPr>
              <w:spacing w:after="0"/>
              <w:rPr>
                <w:sz w:val="15"/>
                <w:szCs w:val="15"/>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800" w:type="dxa"/>
            <w:vAlign w:val="bottom"/>
            <w:tcBorders>
              <w:bottom w:val="single" w:sz="8" w:color="0000EE"/>
            </w:tcBorders>
            <w:gridSpan w:val="12"/>
          </w:tcPr>
          <w:p>
            <w:pPr>
              <w:spacing w:after="0"/>
              <w:rPr>
                <w:rFonts w:ascii="Arial" w:cs="Arial" w:eastAsia="Arial" w:hAnsi="Arial"/>
                <w:sz w:val="18"/>
                <w:szCs w:val="18"/>
                <w:color w:val="0000EE"/>
                <w:w w:val="99"/>
              </w:rPr>
            </w:pPr>
            <w:hyperlink r:id="rId461">
              <w:r>
                <w:rPr>
                  <w:rFonts w:ascii="Arial" w:cs="Arial" w:eastAsia="Arial" w:hAnsi="Arial"/>
                  <w:sz w:val="18"/>
                  <w:szCs w:val="18"/>
                  <w:color w:val="0000EE"/>
                  <w:w w:val="99"/>
                </w:rPr>
                <w:t>Specimen Class A Common Stock Certificate (incorporated by reference to Exhibit 4.1 to the Company’s Current Report on</w:t>
              </w:r>
            </w:hyperlink>
          </w:p>
        </w:tc>
        <w:tc>
          <w:tcPr>
            <w:tcW w:w="40" w:type="dxa"/>
            <w:vAlign w:val="bottom"/>
            <w:gridSpan w:val="2"/>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gridSpan w:val="14"/>
          </w:tcPr>
          <w:p>
            <w:pPr>
              <w:spacing w:after="0" w:line="182" w:lineRule="exact"/>
              <w:rPr>
                <w:rFonts w:ascii="Arial" w:cs="Arial" w:eastAsia="Arial" w:hAnsi="Arial"/>
                <w:sz w:val="18"/>
                <w:szCs w:val="18"/>
                <w:color w:val="0000EE"/>
              </w:rPr>
            </w:pPr>
            <w:hyperlink r:id="rId461">
              <w:r>
                <w:rPr>
                  <w:rFonts w:ascii="Arial" w:cs="Arial" w:eastAsia="Arial" w:hAnsi="Arial"/>
                  <w:sz w:val="18"/>
                  <w:szCs w:val="18"/>
                  <w:color w:val="0000EE"/>
                </w:rPr>
                <w:t>Form 8-K, filed with the SEC on June 30, 2021).</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340" w:type="dxa"/>
            <w:vAlign w:val="bottom"/>
            <w:tcBorders>
              <w:bottom w:val="single" w:sz="8" w:color="0000EE"/>
            </w:tcBorders>
            <w:gridSpan w:val="6"/>
          </w:tcPr>
          <w:p>
            <w:pPr>
              <w:spacing w:after="0"/>
              <w:rPr>
                <w:rFonts w:ascii="Arial" w:cs="Arial" w:eastAsia="Arial" w:hAnsi="Arial"/>
                <w:sz w:val="18"/>
                <w:szCs w:val="18"/>
                <w:color w:val="0000EE"/>
              </w:rPr>
            </w:pPr>
            <w:hyperlink r:id="rId462">
              <w:r>
                <w:rPr>
                  <w:rFonts w:ascii="Arial" w:cs="Arial" w:eastAsia="Arial" w:hAnsi="Arial"/>
                  <w:sz w:val="18"/>
                  <w:szCs w:val="18"/>
                  <w:color w:val="0000EE"/>
                </w:rPr>
                <w:t>Warrant Agreement, dated September 24, 2020, by and between FinTech Acquisition Corp. IV and Continental Stock</w:t>
              </w:r>
            </w:hyperlink>
          </w:p>
        </w:tc>
        <w:tc>
          <w:tcPr>
            <w:tcW w:w="500" w:type="dxa"/>
            <w:vAlign w:val="bottom"/>
            <w:gridSpan w:val="8"/>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462">
              <w:r>
                <w:rPr>
                  <w:rFonts w:ascii="Arial" w:cs="Arial" w:eastAsia="Arial" w:hAnsi="Arial"/>
                  <w:sz w:val="18"/>
                  <w:szCs w:val="18"/>
                  <w:color w:val="0000EE"/>
                  <w:w w:val="99"/>
                </w:rPr>
                <w:t>Transfer &amp; Trust Company (incorporated by reference to Exhibit 4.1 to FinTech Acquisition Corp. IV’s Current Report on</w:t>
              </w:r>
            </w:hyperlink>
          </w:p>
        </w:tc>
        <w:tc>
          <w:tcPr>
            <w:tcW w:w="300" w:type="dxa"/>
            <w:vAlign w:val="bottom"/>
            <w:gridSpan w:val="5"/>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462">
              <w:r>
                <w:rPr>
                  <w:rFonts w:ascii="Arial" w:cs="Arial" w:eastAsia="Arial" w:hAnsi="Arial"/>
                  <w:sz w:val="18"/>
                  <w:szCs w:val="18"/>
                  <w:color w:val="0000EE"/>
                  <w:w w:val="99"/>
                </w:rPr>
                <w:t>Form 8-K, filed with the SEC on September 30, 2020).</w:t>
              </w:r>
            </w:hyperlink>
          </w:p>
        </w:tc>
        <w:tc>
          <w:tcPr>
            <w:tcW w:w="5520" w:type="dxa"/>
            <w:vAlign w:val="bottom"/>
            <w:gridSpan w:val="12"/>
          </w:tcPr>
          <w:p>
            <w:pPr>
              <w:spacing w:after="0"/>
              <w:rPr>
                <w:sz w:val="15"/>
                <w:szCs w:val="15"/>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520" w:type="dxa"/>
            <w:vAlign w:val="bottom"/>
            <w:tcBorders>
              <w:bottom w:val="single" w:sz="8" w:color="auto"/>
            </w:tcBorders>
            <w:gridSpan w:val="22"/>
          </w:tcPr>
          <w:p>
            <w:pPr>
              <w:ind w:left="160"/>
              <w:spacing w:after="0"/>
              <w:rPr>
                <w:sz w:val="20"/>
                <w:szCs w:val="20"/>
                <w:color w:val="auto"/>
              </w:rPr>
            </w:pPr>
            <w:r>
              <w:rPr>
                <w:rFonts w:ascii="Arial" w:cs="Arial" w:eastAsia="Arial" w:hAnsi="Arial"/>
                <w:sz w:val="14"/>
                <w:szCs w:val="14"/>
                <w:b w:val="1"/>
                <w:bCs w:val="1"/>
                <w:color w:val="auto"/>
              </w:rPr>
              <w:t>Exhibit Title</w:t>
            </w:r>
          </w:p>
        </w:tc>
      </w:tr>
      <w:tr>
        <w:trPr>
          <w:trHeight w:val="270"/>
        </w:trPr>
        <w:tc>
          <w:tcPr>
            <w:tcW w:w="540" w:type="dxa"/>
            <w:vAlign w:val="bottom"/>
          </w:tcPr>
          <w:p>
            <w:pPr>
              <w:ind w:left="10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3"/>
                <w:szCs w:val="23"/>
                <w:color w:val="auto"/>
              </w:rPr>
            </w:pPr>
          </w:p>
        </w:tc>
        <w:tc>
          <w:tcPr>
            <w:tcW w:w="44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41">
              <w:r>
                <w:rPr>
                  <w:rFonts w:ascii="Arial" w:cs="Arial" w:eastAsia="Arial" w:hAnsi="Arial"/>
                  <w:sz w:val="18"/>
                  <w:szCs w:val="18"/>
                  <w:color w:val="0000EE"/>
                  <w:w w:val="99"/>
                </w:rPr>
                <w:t>Opinion of Skadden, Arps, Slate, Meagher &amp; Flom LLP.</w:t>
              </w:r>
            </w:hyperlink>
          </w:p>
        </w:tc>
        <w:tc>
          <w:tcPr>
            <w:tcW w:w="5520" w:type="dxa"/>
            <w:vAlign w:val="bottom"/>
            <w:gridSpan w:val="22"/>
          </w:tcPr>
          <w:p>
            <w:pPr>
              <w:spacing w:after="0"/>
              <w:rPr>
                <w:sz w:val="23"/>
                <w:szCs w:val="23"/>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840" w:type="dxa"/>
            <w:vAlign w:val="bottom"/>
            <w:tcBorders>
              <w:bottom w:val="single" w:sz="8" w:color="0000EE"/>
            </w:tcBorders>
            <w:gridSpan w:val="27"/>
          </w:tcPr>
          <w:p>
            <w:pPr>
              <w:spacing w:after="0"/>
              <w:rPr>
                <w:rFonts w:ascii="Arial" w:cs="Arial" w:eastAsia="Arial" w:hAnsi="Arial"/>
                <w:sz w:val="18"/>
                <w:szCs w:val="18"/>
                <w:color w:val="0000EE"/>
                <w:w w:val="99"/>
              </w:rPr>
            </w:pPr>
            <w:hyperlink r:id="rId464">
              <w:r>
                <w:rPr>
                  <w:rFonts w:ascii="Arial" w:cs="Arial" w:eastAsia="Arial" w:hAnsi="Arial"/>
                  <w:sz w:val="18"/>
                  <w:szCs w:val="18"/>
                  <w:color w:val="0000EE"/>
                  <w:w w:val="99"/>
                </w:rPr>
                <w:t>Form of Subscription Agreement (incorporated by reference to Exhibit 10.1 to FinTech Acquisition Corp. IV’s Current Report</w:t>
              </w:r>
            </w:hyperlink>
          </w:p>
        </w:tc>
        <w:tc>
          <w:tcPr>
            <w:tcW w:w="80" w:type="dxa"/>
            <w:vAlign w:val="bottom"/>
            <w:gridSpan w:val="2"/>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920" w:type="dxa"/>
            <w:vAlign w:val="bottom"/>
            <w:gridSpan w:val="29"/>
          </w:tcPr>
          <w:p>
            <w:pPr>
              <w:spacing w:after="0" w:line="182" w:lineRule="exact"/>
              <w:rPr>
                <w:rFonts w:ascii="Arial" w:cs="Arial" w:eastAsia="Arial" w:hAnsi="Arial"/>
                <w:sz w:val="18"/>
                <w:szCs w:val="18"/>
                <w:color w:val="0000EE"/>
              </w:rPr>
            </w:pPr>
            <w:hyperlink r:id="rId464">
              <w:r>
                <w:rPr>
                  <w:rFonts w:ascii="Arial" w:cs="Arial" w:eastAsia="Arial" w:hAnsi="Arial"/>
                  <w:sz w:val="18"/>
                  <w:szCs w:val="18"/>
                  <w:color w:val="0000EE"/>
                </w:rPr>
                <w:t>on Form 8-K/A, filed with the SEC on December 31, 2020).</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rPr>
            </w:pPr>
            <w:hyperlink r:id="rId465">
              <w:r>
                <w:rPr>
                  <w:rFonts w:ascii="Arial" w:cs="Arial" w:eastAsia="Arial" w:hAnsi="Arial"/>
                  <w:sz w:val="18"/>
                  <w:szCs w:val="18"/>
                  <w:color w:val="0000EE"/>
                </w:rPr>
                <w:t>Amended and Restated Registration Rights Agreement, dated June 24, 2021, by and among the Company, FinTech</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7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r:id="rId465">
              <w:r>
                <w:rPr>
                  <w:rFonts w:ascii="Arial" w:cs="Arial" w:eastAsia="Arial" w:hAnsi="Arial"/>
                  <w:sz w:val="18"/>
                  <w:szCs w:val="18"/>
                  <w:color w:val="0000EE"/>
                  <w:w w:val="99"/>
                </w:rPr>
                <w:t>Investor Holdings IV, LLC, FinTech Masala Advisors, LLC and the other Holders party thereto (incorporated by reference to</w:t>
              </w:r>
            </w:hyperlink>
          </w:p>
        </w:tc>
        <w:tc>
          <w:tcPr>
            <w:tcW w:w="140" w:type="dxa"/>
            <w:vAlign w:val="bottom"/>
            <w:gridSpan w:val="4"/>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7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465">
              <w:r>
                <w:rPr>
                  <w:rFonts w:ascii="Arial" w:cs="Arial" w:eastAsia="Arial" w:hAnsi="Arial"/>
                  <w:sz w:val="18"/>
                  <w:szCs w:val="18"/>
                  <w:color w:val="0000EE"/>
                  <w:w w:val="99"/>
                </w:rPr>
                <w:t>Exhibit 10.1 to the Company’s Current Report on Form 8-K, filed with the SEC on June 30, 2021).</w:t>
              </w:r>
            </w:hyperlink>
          </w:p>
        </w:tc>
        <w:tc>
          <w:tcPr>
            <w:tcW w:w="2160" w:type="dxa"/>
            <w:vAlign w:val="bottom"/>
            <w:gridSpan w:val="19"/>
          </w:tcPr>
          <w:p>
            <w:pPr>
              <w:spacing w:after="0"/>
              <w:rPr>
                <w:sz w:val="15"/>
                <w:szCs w:val="15"/>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rPr>
            </w:pPr>
            <w:hyperlink r:id="rId466">
              <w:r>
                <w:rPr>
                  <w:rFonts w:ascii="Arial" w:cs="Arial" w:eastAsia="Arial" w:hAnsi="Arial"/>
                  <w:sz w:val="18"/>
                  <w:szCs w:val="18"/>
                  <w:color w:val="0000EE"/>
                </w:rPr>
                <w:t>Stockholders Agreement, dated June 24, 2021, by and between the Company and PWP Professional Partners LP</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5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466">
              <w:r>
                <w:rPr>
                  <w:rFonts w:ascii="Arial" w:cs="Arial" w:eastAsia="Arial" w:hAnsi="Arial"/>
                  <w:sz w:val="18"/>
                  <w:szCs w:val="18"/>
                  <w:color w:val="0000EE"/>
                  <w:w w:val="99"/>
                </w:rPr>
                <w:t>(incorporated by reference to Exhibit 10.3 to the Company’s Current Report on Form 8-K, filed with the SEC on June 30,</w:t>
              </w:r>
            </w:hyperlink>
          </w:p>
        </w:tc>
        <w:tc>
          <w:tcPr>
            <w:tcW w:w="360" w:type="dxa"/>
            <w:vAlign w:val="bottom"/>
            <w:gridSpan w:val="12"/>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466">
              <w:r>
                <w:rPr>
                  <w:rFonts w:ascii="Arial" w:cs="Arial" w:eastAsia="Arial" w:hAnsi="Arial"/>
                  <w:sz w:val="18"/>
                  <w:szCs w:val="18"/>
                  <w:color w:val="0000EE"/>
                  <w:w w:val="97"/>
                </w:rPr>
                <w:t>2021).</w:t>
              </w:r>
            </w:hyperlink>
          </w:p>
        </w:tc>
        <w:tc>
          <w:tcPr>
            <w:tcW w:w="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Arial" w:cs="Arial" w:eastAsia="Arial" w:hAnsi="Arial"/>
                <w:sz w:val="18"/>
                <w:szCs w:val="18"/>
                <w:color w:val="0000EE"/>
                <w:w w:val="99"/>
              </w:rPr>
            </w:pPr>
            <w:hyperlink r:id="rId467">
              <w:r>
                <w:rPr>
                  <w:rFonts w:ascii="Arial" w:cs="Arial" w:eastAsia="Arial" w:hAnsi="Arial"/>
                  <w:sz w:val="18"/>
                  <w:szCs w:val="18"/>
                  <w:color w:val="0000EE"/>
                  <w:w w:val="99"/>
                </w:rPr>
                <w:t>Tax Receivable Agreement, dated June 24, 2021, by and between the Company, PWP Holdings LP, PWP Professional</w:t>
              </w:r>
            </w:hyperlink>
          </w:p>
        </w:tc>
        <w:tc>
          <w:tcPr>
            <w:tcW w:w="440" w:type="dxa"/>
            <w:vAlign w:val="bottom"/>
            <w:gridSpan w:val="13"/>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920" w:type="dxa"/>
            <w:vAlign w:val="bottom"/>
            <w:gridSpan w:val="29"/>
          </w:tcPr>
          <w:p>
            <w:pPr>
              <w:spacing w:after="0" w:line="182" w:lineRule="exact"/>
              <w:rPr>
                <w:rFonts w:ascii="Arial" w:cs="Arial" w:eastAsia="Arial" w:hAnsi="Arial"/>
                <w:sz w:val="18"/>
                <w:szCs w:val="18"/>
                <w:color w:val="0000EE"/>
              </w:rPr>
            </w:pPr>
            <w:hyperlink r:id="rId467">
              <w:r>
                <w:rPr>
                  <w:rFonts w:ascii="Arial" w:cs="Arial" w:eastAsia="Arial" w:hAnsi="Arial"/>
                  <w:sz w:val="18"/>
                  <w:szCs w:val="18"/>
                  <w:color w:val="0000EE"/>
                </w:rPr>
                <w:t>Partners LP and certain partners party thereto (incorporated by reference to Exhibit 10.2 to the Company’s Current Report</w:t>
              </w:r>
            </w:hyperlink>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467">
              <w:r>
                <w:rPr>
                  <w:rFonts w:ascii="Arial" w:cs="Arial" w:eastAsia="Arial" w:hAnsi="Arial"/>
                  <w:sz w:val="18"/>
                  <w:szCs w:val="18"/>
                  <w:color w:val="0000EE"/>
                  <w:w w:val="99"/>
                </w:rPr>
                <w:t>on Form 8-K, filed with the SEC on June 30, 2021).</w:t>
              </w:r>
            </w:hyperlink>
          </w:p>
        </w:tc>
        <w:tc>
          <w:tcPr>
            <w:tcW w:w="5620" w:type="dxa"/>
            <w:vAlign w:val="bottom"/>
            <w:tcBorders>
              <w:top w:val="single" w:sz="8" w:color="0000EE"/>
            </w:tcBorders>
            <w:gridSpan w:val="17"/>
          </w:tcPr>
          <w:p>
            <w:pPr>
              <w:spacing w:after="0"/>
              <w:rPr>
                <w:sz w:val="15"/>
                <w:szCs w:val="15"/>
                <w:color w:val="auto"/>
              </w:rPr>
            </w:pPr>
          </w:p>
        </w:tc>
        <w:tc>
          <w:tcPr>
            <w:tcW w:w="220" w:type="dxa"/>
            <w:vAlign w:val="bottom"/>
            <w:gridSpan w:val="7"/>
          </w:tcPr>
          <w:p>
            <w:pPr>
              <w:spacing w:after="0"/>
              <w:rPr>
                <w:sz w:val="15"/>
                <w:szCs w:val="15"/>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rPr>
            </w:pPr>
            <w:hyperlink r:id="rId468">
              <w:r>
                <w:rPr>
                  <w:rFonts w:ascii="Arial" w:cs="Arial" w:eastAsia="Arial" w:hAnsi="Arial"/>
                  <w:sz w:val="18"/>
                  <w:szCs w:val="18"/>
                  <w:color w:val="0000EE"/>
                </w:rPr>
                <w:t>Sponsor Share Surrender and Share Restriction Agreement, dated as of December 29, 2020, by and among PWP Holdings</w:t>
              </w:r>
            </w:hyperlink>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8"/>
              </w:rPr>
            </w:pPr>
            <w:hyperlink r:id="rId468">
              <w:r>
                <w:rPr>
                  <w:rFonts w:ascii="Arial" w:cs="Arial" w:eastAsia="Arial" w:hAnsi="Arial"/>
                  <w:sz w:val="18"/>
                  <w:szCs w:val="18"/>
                  <w:color w:val="0000EE"/>
                  <w:w w:val="98"/>
                </w:rPr>
                <w:t>LP, FinTech Acquisition Corp. IV, FinTech Investor Holdings IV, LLC, FinTech Masala Advisors, LLC and the other parties</w:t>
              </w:r>
            </w:hyperlink>
          </w:p>
        </w:tc>
        <w:tc>
          <w:tcPr>
            <w:tcW w:w="280" w:type="dxa"/>
            <w:vAlign w:val="bottom"/>
            <w:tcBorders>
              <w:top w:val="single" w:sz="8" w:color="0000EE"/>
            </w:tcBorders>
            <w:gridSpan w:val="9"/>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r:id="rId468">
              <w:r>
                <w:rPr>
                  <w:rFonts w:ascii="Arial" w:cs="Arial" w:eastAsia="Arial" w:hAnsi="Arial"/>
                  <w:sz w:val="18"/>
                  <w:szCs w:val="18"/>
                  <w:color w:val="0000EE"/>
                  <w:w w:val="99"/>
                </w:rPr>
                <w:t>thereto (incorporated by reference to Exhibit 10.5 to FinTech Acquisition Corp. IV’s Current Report on Form 8-K/A, filed with</w:t>
              </w:r>
            </w:hyperlink>
          </w:p>
        </w:tc>
        <w:tc>
          <w:tcPr>
            <w:tcW w:w="100" w:type="dxa"/>
            <w:vAlign w:val="bottom"/>
            <w:gridSpan w:val="3"/>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920" w:type="dxa"/>
            <w:vAlign w:val="bottom"/>
            <w:gridSpan w:val="29"/>
          </w:tcPr>
          <w:p>
            <w:pPr>
              <w:spacing w:after="0" w:line="182" w:lineRule="exact"/>
              <w:rPr>
                <w:rFonts w:ascii="Arial" w:cs="Arial" w:eastAsia="Arial" w:hAnsi="Arial"/>
                <w:sz w:val="18"/>
                <w:szCs w:val="18"/>
                <w:color w:val="0000EE"/>
              </w:rPr>
            </w:pPr>
            <w:hyperlink r:id="rId468">
              <w:r>
                <w:rPr>
                  <w:rFonts w:ascii="Arial" w:cs="Arial" w:eastAsia="Arial" w:hAnsi="Arial"/>
                  <w:sz w:val="18"/>
                  <w:szCs w:val="18"/>
                  <w:color w:val="0000EE"/>
                </w:rPr>
                <w:t>the SEC on December 31, 2020).</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780" w:type="dxa"/>
            <w:vAlign w:val="bottom"/>
            <w:tcBorders>
              <w:bottom w:val="single" w:sz="8" w:color="0000EE"/>
            </w:tcBorders>
            <w:gridSpan w:val="25"/>
          </w:tcPr>
          <w:p>
            <w:pPr>
              <w:spacing w:after="0"/>
              <w:rPr>
                <w:rFonts w:ascii="Arial" w:cs="Arial" w:eastAsia="Arial" w:hAnsi="Arial"/>
                <w:sz w:val="18"/>
                <w:szCs w:val="18"/>
                <w:color w:val="0000EE"/>
              </w:rPr>
            </w:pPr>
            <w:hyperlink r:id="rId469">
              <w:r>
                <w:rPr>
                  <w:rFonts w:ascii="Arial" w:cs="Arial" w:eastAsia="Arial" w:hAnsi="Arial"/>
                  <w:sz w:val="18"/>
                  <w:szCs w:val="18"/>
                  <w:color w:val="0000EE"/>
                </w:rPr>
                <w:t>Amendment to Sponsor Share Surrender and Share Restriction Agreement, dated as of May 4, 2021, by and among PWP</w:t>
              </w:r>
            </w:hyperlink>
          </w:p>
        </w:tc>
        <w:tc>
          <w:tcPr>
            <w:tcW w:w="140" w:type="dxa"/>
            <w:vAlign w:val="bottom"/>
            <w:gridSpan w:val="4"/>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740" w:type="dxa"/>
            <w:vAlign w:val="bottom"/>
            <w:tcBorders>
              <w:bottom w:val="single" w:sz="8" w:color="0000EE"/>
            </w:tcBorders>
            <w:gridSpan w:val="23"/>
          </w:tcPr>
          <w:p>
            <w:pPr>
              <w:spacing w:after="0" w:line="182" w:lineRule="exact"/>
              <w:rPr>
                <w:rFonts w:ascii="Arial" w:cs="Arial" w:eastAsia="Arial" w:hAnsi="Arial"/>
                <w:sz w:val="18"/>
                <w:szCs w:val="18"/>
                <w:color w:val="0000EE"/>
                <w:w w:val="98"/>
              </w:rPr>
            </w:pPr>
            <w:hyperlink r:id="rId469">
              <w:r>
                <w:rPr>
                  <w:rFonts w:ascii="Arial" w:cs="Arial" w:eastAsia="Arial" w:hAnsi="Arial"/>
                  <w:sz w:val="18"/>
                  <w:szCs w:val="18"/>
                  <w:color w:val="0000EE"/>
                  <w:w w:val="98"/>
                </w:rPr>
                <w:t>Holdings LP, FinTech Acquisition Corp. IV, FinTech Investor Holdings IV, LLC, FinTech Masala Advisors, LLC and the other</w:t>
              </w:r>
            </w:hyperlink>
          </w:p>
        </w:tc>
        <w:tc>
          <w:tcPr>
            <w:tcW w:w="180" w:type="dxa"/>
            <w:vAlign w:val="bottom"/>
            <w:gridSpan w:val="6"/>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r:id="rId469">
              <w:r>
                <w:rPr>
                  <w:rFonts w:ascii="Arial" w:cs="Arial" w:eastAsia="Arial" w:hAnsi="Arial"/>
                  <w:sz w:val="18"/>
                  <w:szCs w:val="18"/>
                  <w:color w:val="0000EE"/>
                  <w:w w:val="99"/>
                </w:rPr>
                <w:t>parties thereto (incorporated by reference to FinTech Acquisition Corp. IV’s definitive proxy statement, filed with the SEC on</w:t>
              </w:r>
            </w:hyperlink>
          </w:p>
        </w:tc>
        <w:tc>
          <w:tcPr>
            <w:tcW w:w="100" w:type="dxa"/>
            <w:vAlign w:val="bottom"/>
            <w:gridSpan w:val="3"/>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920" w:type="dxa"/>
            <w:vAlign w:val="bottom"/>
            <w:gridSpan w:val="29"/>
          </w:tcPr>
          <w:p>
            <w:pPr>
              <w:spacing w:after="0" w:line="182" w:lineRule="exact"/>
              <w:rPr>
                <w:rFonts w:ascii="Arial" w:cs="Arial" w:eastAsia="Arial" w:hAnsi="Arial"/>
                <w:sz w:val="18"/>
                <w:szCs w:val="18"/>
                <w:color w:val="0000EE"/>
              </w:rPr>
            </w:pPr>
            <w:hyperlink r:id="rId469">
              <w:r>
                <w:rPr>
                  <w:rFonts w:ascii="Arial" w:cs="Arial" w:eastAsia="Arial" w:hAnsi="Arial"/>
                  <w:sz w:val="18"/>
                  <w:szCs w:val="18"/>
                  <w:color w:val="0000EE"/>
                </w:rPr>
                <w:t>May 27, 2021).</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760" w:type="dxa"/>
            <w:vAlign w:val="bottom"/>
            <w:tcBorders>
              <w:bottom w:val="single" w:sz="8" w:color="0000EE"/>
            </w:tcBorders>
            <w:gridSpan w:val="24"/>
          </w:tcPr>
          <w:p>
            <w:pPr>
              <w:spacing w:after="0"/>
              <w:rPr>
                <w:rFonts w:ascii="Arial" w:cs="Arial" w:eastAsia="Arial" w:hAnsi="Arial"/>
                <w:sz w:val="18"/>
                <w:szCs w:val="18"/>
                <w:color w:val="0000EE"/>
              </w:rPr>
            </w:pPr>
            <w:hyperlink r:id="rId470">
              <w:r>
                <w:rPr>
                  <w:rFonts w:ascii="Arial" w:cs="Arial" w:eastAsia="Arial" w:hAnsi="Arial"/>
                  <w:sz w:val="18"/>
                  <w:szCs w:val="18"/>
                  <w:color w:val="0000EE"/>
                </w:rPr>
                <w:t>Amended and Restated Agreement of Limited Partnership of PWP Holdings LP, dated as of June 24, 2021, by and among</w:t>
              </w:r>
            </w:hyperlink>
          </w:p>
        </w:tc>
        <w:tc>
          <w:tcPr>
            <w:tcW w:w="160" w:type="dxa"/>
            <w:vAlign w:val="bottom"/>
            <w:gridSpan w:val="5"/>
          </w:tcPr>
          <w:p>
            <w:pPr>
              <w:spacing w:after="0"/>
              <w:rPr>
                <w:sz w:val="24"/>
                <w:szCs w:val="24"/>
                <w:color w:val="auto"/>
              </w:rPr>
            </w:pPr>
          </w:p>
        </w:tc>
      </w:tr>
      <w:tr>
        <w:trPr>
          <w:trHeight w:val="182"/>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470">
              <w:r>
                <w:rPr>
                  <w:rFonts w:ascii="Arial" w:cs="Arial" w:eastAsia="Arial" w:hAnsi="Arial"/>
                  <w:sz w:val="18"/>
                  <w:szCs w:val="18"/>
                  <w:color w:val="0000EE"/>
                  <w:w w:val="99"/>
                </w:rPr>
                <w:t>PWP GP LLC, the Company, PWP Professional Partners LP, and the other limited partners party thereto (incorporated by</w:t>
              </w:r>
            </w:hyperlink>
          </w:p>
        </w:tc>
        <w:tc>
          <w:tcPr>
            <w:tcW w:w="280" w:type="dxa"/>
            <w:vAlign w:val="bottom"/>
            <w:gridSpan w:val="9"/>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920" w:type="dxa"/>
            <w:vAlign w:val="bottom"/>
            <w:gridSpan w:val="29"/>
          </w:tcPr>
          <w:p>
            <w:pPr>
              <w:spacing w:after="0" w:line="182" w:lineRule="exact"/>
              <w:rPr>
                <w:rFonts w:ascii="Arial" w:cs="Arial" w:eastAsia="Arial" w:hAnsi="Arial"/>
                <w:sz w:val="18"/>
                <w:szCs w:val="18"/>
                <w:color w:val="0000EE"/>
              </w:rPr>
            </w:pPr>
            <w:hyperlink r:id="rId470">
              <w:r>
                <w:rPr>
                  <w:rFonts w:ascii="Arial" w:cs="Arial" w:eastAsia="Arial" w:hAnsi="Arial"/>
                  <w:sz w:val="18"/>
                  <w:szCs w:val="18"/>
                  <w:color w:val="0000EE"/>
                </w:rPr>
                <w:t>reference to Exhibit 10.4 to the Company’s Current Report on Form 8-K, filed with the SEC on June 30, 2021).</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420" w:type="dxa"/>
            <w:vAlign w:val="bottom"/>
            <w:tcBorders>
              <w:bottom w:val="single" w:sz="8" w:color="0000EE"/>
            </w:tcBorders>
            <w:gridSpan w:val="15"/>
          </w:tcPr>
          <w:p>
            <w:pPr>
              <w:spacing w:after="0"/>
              <w:rPr>
                <w:rFonts w:ascii="Arial" w:cs="Arial" w:eastAsia="Arial" w:hAnsi="Arial"/>
                <w:sz w:val="18"/>
                <w:szCs w:val="18"/>
                <w:color w:val="0000EE"/>
              </w:rPr>
            </w:pPr>
            <w:hyperlink r:id="rId471">
              <w:r>
                <w:rPr>
                  <w:rFonts w:ascii="Arial" w:cs="Arial" w:eastAsia="Arial" w:hAnsi="Arial"/>
                  <w:sz w:val="18"/>
                  <w:szCs w:val="18"/>
                  <w:color w:val="0000EE"/>
                </w:rPr>
                <w:t>Amended and Restated Limited Liability Company Agreement of PWP GP LLC, dated June 24, 2021 (incorporated by</w:t>
              </w:r>
            </w:hyperlink>
          </w:p>
        </w:tc>
        <w:tc>
          <w:tcPr>
            <w:tcW w:w="500" w:type="dxa"/>
            <w:vAlign w:val="bottom"/>
            <w:gridSpan w:val="14"/>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920" w:type="dxa"/>
            <w:vAlign w:val="bottom"/>
            <w:gridSpan w:val="29"/>
          </w:tcPr>
          <w:p>
            <w:pPr>
              <w:spacing w:after="0" w:line="182" w:lineRule="exact"/>
              <w:rPr>
                <w:rFonts w:ascii="Arial" w:cs="Arial" w:eastAsia="Arial" w:hAnsi="Arial"/>
                <w:sz w:val="18"/>
                <w:szCs w:val="18"/>
                <w:color w:val="0000EE"/>
              </w:rPr>
            </w:pPr>
            <w:hyperlink r:id="rId471">
              <w:r>
                <w:rPr>
                  <w:rFonts w:ascii="Arial" w:cs="Arial" w:eastAsia="Arial" w:hAnsi="Arial"/>
                  <w:sz w:val="18"/>
                  <w:szCs w:val="18"/>
                  <w:color w:val="0000EE"/>
                </w:rPr>
                <w:t>reference to Exhibit 10.5 to the Company’s Current Report on Form 8-K, filed with the SEC on June 30, 2021).</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rPr>
            </w:pPr>
            <w:hyperlink r:id="rId472">
              <w:r>
                <w:rPr>
                  <w:rFonts w:ascii="Arial" w:cs="Arial" w:eastAsia="Arial" w:hAnsi="Arial"/>
                  <w:sz w:val="18"/>
                  <w:szCs w:val="18"/>
                  <w:color w:val="0000EE"/>
                </w:rPr>
                <w:t>Perella Weinberg Partners 2021 Omnibus Incentive Plan (incorporated by reference to Exhibit 10.6 to the Company’s</w:t>
              </w:r>
            </w:hyperlink>
          </w:p>
        </w:tc>
      </w:tr>
      <w:tr>
        <w:trPr>
          <w:trHeight w:val="182"/>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472">
              <w:r>
                <w:rPr>
                  <w:rFonts w:ascii="Arial" w:cs="Arial" w:eastAsia="Arial" w:hAnsi="Arial"/>
                  <w:sz w:val="18"/>
                  <w:szCs w:val="18"/>
                  <w:color w:val="0000EE"/>
                  <w:w w:val="99"/>
                </w:rPr>
                <w:t>Current Report on Form 8-K, filed with the SEC on June 30, 2021).</w:t>
              </w:r>
            </w:hyperlink>
          </w:p>
        </w:tc>
        <w:tc>
          <w:tcPr>
            <w:tcW w:w="3980" w:type="dxa"/>
            <w:vAlign w:val="bottom"/>
            <w:tcBorders>
              <w:top w:val="single" w:sz="8" w:color="0000EE"/>
            </w:tcBorders>
            <w:gridSpan w:val="5"/>
          </w:tcPr>
          <w:p>
            <w:pPr>
              <w:spacing w:after="0"/>
              <w:rPr>
                <w:sz w:val="15"/>
                <w:szCs w:val="15"/>
                <w:color w:val="auto"/>
              </w:rPr>
            </w:pPr>
          </w:p>
        </w:tc>
        <w:tc>
          <w:tcPr>
            <w:tcW w:w="620" w:type="dxa"/>
            <w:vAlign w:val="bottom"/>
            <w:gridSpan w:val="15"/>
          </w:tcPr>
          <w:p>
            <w:pPr>
              <w:spacing w:after="0"/>
              <w:rPr>
                <w:sz w:val="15"/>
                <w:szCs w:val="15"/>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w w:val="94"/>
              </w:rPr>
              <w:t>10.10‡</w:t>
            </w:r>
          </w:p>
        </w:tc>
        <w:tc>
          <w:tcPr>
            <w:tcW w:w="5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rPr>
            </w:pPr>
            <w:hyperlink r:id="rId473">
              <w:r>
                <w:rPr>
                  <w:rFonts w:ascii="Arial" w:cs="Arial" w:eastAsia="Arial" w:hAnsi="Arial"/>
                  <w:sz w:val="18"/>
                  <w:szCs w:val="18"/>
                  <w:color w:val="0000EE"/>
                </w:rPr>
                <w:t>French Sub-Plan Under the Perella Weinberg Partners 2021 Omnibus Equity Incentive Plan (incorporated by reference to</w:t>
              </w:r>
            </w:hyperlink>
          </w:p>
        </w:tc>
      </w:tr>
      <w:tr>
        <w:trPr>
          <w:trHeight w:val="182"/>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7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473">
              <w:r>
                <w:rPr>
                  <w:rFonts w:ascii="Arial" w:cs="Arial" w:eastAsia="Arial" w:hAnsi="Arial"/>
                  <w:sz w:val="18"/>
                  <w:szCs w:val="18"/>
                  <w:color w:val="0000EE"/>
                  <w:w w:val="99"/>
                </w:rPr>
                <w:t>Exhibit 10.7 to the Company’s Current Report on Form 8-K, filed with the SEC on June 30, 2021).</w:t>
              </w:r>
            </w:hyperlink>
          </w:p>
        </w:tc>
        <w:tc>
          <w:tcPr>
            <w:tcW w:w="1900" w:type="dxa"/>
            <w:vAlign w:val="bottom"/>
            <w:tcBorders>
              <w:top w:val="single" w:sz="8" w:color="0000EE"/>
            </w:tcBorders>
            <w:gridSpan w:val="11"/>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9580" w:type="dxa"/>
            <w:vAlign w:val="bottom"/>
            <w:tcBorders>
              <w:bottom w:val="single" w:sz="8" w:color="0000EE"/>
            </w:tcBorders>
            <w:gridSpan w:val="18"/>
          </w:tcPr>
          <w:p>
            <w:pPr>
              <w:spacing w:after="0"/>
              <w:rPr>
                <w:rFonts w:ascii="Arial" w:cs="Arial" w:eastAsia="Arial" w:hAnsi="Arial"/>
                <w:sz w:val="18"/>
                <w:szCs w:val="18"/>
                <w:color w:val="0000EE"/>
                <w:w w:val="99"/>
              </w:rPr>
            </w:pPr>
            <w:hyperlink r:id="rId474">
              <w:r>
                <w:rPr>
                  <w:rFonts w:ascii="Arial" w:cs="Arial" w:eastAsia="Arial" w:hAnsi="Arial"/>
                  <w:sz w:val="18"/>
                  <w:szCs w:val="18"/>
                  <w:color w:val="0000EE"/>
                  <w:w w:val="99"/>
                </w:rPr>
                <w:t>Form of Indemnification Agreement (incorporated by reference to Exhibit 10.8 to the Company’s Current Report on Form</w:t>
              </w:r>
            </w:hyperlink>
          </w:p>
        </w:tc>
        <w:tc>
          <w:tcPr>
            <w:tcW w:w="340" w:type="dxa"/>
            <w:vAlign w:val="bottom"/>
            <w:gridSpan w:val="11"/>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474">
              <w:r>
                <w:rPr>
                  <w:rFonts w:ascii="Arial" w:cs="Arial" w:eastAsia="Arial" w:hAnsi="Arial"/>
                  <w:sz w:val="18"/>
                  <w:szCs w:val="18"/>
                  <w:color w:val="0000EE"/>
                  <w:w w:val="99"/>
                </w:rPr>
                <w:t>8-K, filed with the SEC on June 30, 2021).</w:t>
              </w:r>
            </w:hyperlink>
          </w:p>
        </w:tc>
        <w:tc>
          <w:tcPr>
            <w:tcW w:w="6560" w:type="dxa"/>
            <w:vAlign w:val="bottom"/>
            <w:gridSpan w:val="25"/>
          </w:tcPr>
          <w:p>
            <w:pPr>
              <w:spacing w:after="0"/>
              <w:rPr>
                <w:sz w:val="15"/>
                <w:szCs w:val="15"/>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rPr>
            </w:pPr>
            <w:hyperlink r:id="rId475">
              <w:r>
                <w:rPr>
                  <w:rFonts w:ascii="Arial" w:cs="Arial" w:eastAsia="Arial" w:hAnsi="Arial"/>
                  <w:sz w:val="18"/>
                  <w:szCs w:val="18"/>
                  <w:color w:val="0000EE"/>
                </w:rPr>
                <w:t>Letter Agreement, dated September 24, 2020, by and among FinTech Acquisition Corp. IV and certain of its security</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20" w:type="dxa"/>
            <w:vAlign w:val="bottom"/>
            <w:gridSpan w:val="6"/>
            <w:shd w:val="clear" w:color="auto" w:fill="0000EE"/>
          </w:tcPr>
          <w:p>
            <w:pPr>
              <w:spacing w:after="0" w:line="20" w:lineRule="exact"/>
              <w:rPr>
                <w:sz w:val="1"/>
                <w:szCs w:val="1"/>
                <w:color w:val="auto"/>
              </w:rPr>
            </w:pPr>
          </w:p>
        </w:tc>
        <w:tc>
          <w:tcPr>
            <w:tcW w:w="4940" w:type="dxa"/>
            <w:vAlign w:val="bottom"/>
            <w:gridSpan w:val="7"/>
            <w:shd w:val="clear" w:color="auto" w:fill="0000EE"/>
          </w:tcPr>
          <w:p>
            <w:pPr>
              <w:spacing w:after="0" w:line="20" w:lineRule="exact"/>
              <w:rPr>
                <w:sz w:val="1"/>
                <w:szCs w:val="1"/>
                <w:color w:val="auto"/>
              </w:rPr>
            </w:pPr>
          </w:p>
        </w:tc>
        <w:tc>
          <w:tcPr>
            <w:tcW w:w="580" w:type="dxa"/>
            <w:vAlign w:val="bottom"/>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4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r:id="rId475">
              <w:r>
                <w:rPr>
                  <w:rFonts w:ascii="Arial" w:cs="Arial" w:eastAsia="Arial" w:hAnsi="Arial"/>
                  <w:sz w:val="18"/>
                  <w:szCs w:val="18"/>
                  <w:color w:val="0000EE"/>
                  <w:w w:val="99"/>
                </w:rPr>
                <w:t>holders, officers and directors (incorporated by reference to Exhibit 10.1 to FinTech Acquisition Corp. IV’s Current Report on</w:t>
              </w:r>
            </w:hyperlink>
          </w:p>
        </w:tc>
        <w:tc>
          <w:tcPr>
            <w:tcW w:w="80" w:type="dxa"/>
            <w:vAlign w:val="bottom"/>
            <w:gridSpan w:val="2"/>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32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475">
              <w:r>
                <w:rPr>
                  <w:rFonts w:ascii="Arial" w:cs="Arial" w:eastAsia="Arial" w:hAnsi="Arial"/>
                  <w:sz w:val="18"/>
                  <w:szCs w:val="18"/>
                  <w:color w:val="0000EE"/>
                  <w:w w:val="99"/>
                </w:rPr>
                <w:t>Form 8-K, filed with the SEC on September 30, 2020).</w:t>
              </w:r>
            </w:hyperlink>
          </w:p>
        </w:tc>
        <w:tc>
          <w:tcPr>
            <w:tcW w:w="5600" w:type="dxa"/>
            <w:vAlign w:val="bottom"/>
            <w:gridSpan w:val="23"/>
          </w:tcPr>
          <w:p>
            <w:pPr>
              <w:spacing w:after="0"/>
              <w:rPr>
                <w:sz w:val="15"/>
                <w:szCs w:val="15"/>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0" w:type="dxa"/>
            <w:vAlign w:val="bottom"/>
            <w:gridSpan w:val="9"/>
          </w:tcPr>
          <w:p>
            <w:pPr>
              <w:ind w:left="540"/>
              <w:spacing w:after="0"/>
              <w:rPr>
                <w:sz w:val="20"/>
                <w:szCs w:val="20"/>
                <w:color w:val="auto"/>
              </w:rPr>
            </w:pPr>
            <w:r>
              <w:rPr>
                <w:rFonts w:ascii="Arial" w:cs="Arial" w:eastAsia="Arial" w:hAnsi="Arial"/>
                <w:sz w:val="14"/>
                <w:szCs w:val="14"/>
                <w:b w:val="1"/>
                <w:bCs w:val="1"/>
                <w:color w:val="auto"/>
              </w:rPr>
              <w:t>Exhibit Title</w:t>
            </w:r>
          </w:p>
        </w:tc>
      </w:tr>
      <w:tr>
        <w:trPr>
          <w:trHeight w:val="270"/>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10.13</w:t>
            </w:r>
          </w:p>
        </w:tc>
        <w:tc>
          <w:tcPr>
            <w:tcW w:w="780" w:type="dxa"/>
            <w:vAlign w:val="bottom"/>
          </w:tcPr>
          <w:p>
            <w:pPr>
              <w:spacing w:after="0"/>
              <w:rPr>
                <w:sz w:val="23"/>
                <w:szCs w:val="23"/>
                <w:color w:val="auto"/>
              </w:rPr>
            </w:pPr>
          </w:p>
        </w:tc>
        <w:tc>
          <w:tcPr>
            <w:tcW w:w="9440" w:type="dxa"/>
            <w:vAlign w:val="bottom"/>
            <w:tcBorders>
              <w:top w:val="single" w:sz="8" w:color="auto"/>
              <w:bottom w:val="single" w:sz="8" w:color="0000EE"/>
            </w:tcBorders>
            <w:gridSpan w:val="8"/>
          </w:tcPr>
          <w:p>
            <w:pPr>
              <w:spacing w:after="0"/>
              <w:rPr>
                <w:rFonts w:ascii="Arial" w:cs="Arial" w:eastAsia="Arial" w:hAnsi="Arial"/>
                <w:sz w:val="18"/>
                <w:szCs w:val="18"/>
                <w:color w:val="0000EE"/>
                <w:w w:val="99"/>
              </w:rPr>
            </w:pPr>
            <w:hyperlink r:id="rId477">
              <w:r>
                <w:rPr>
                  <w:rFonts w:ascii="Arial" w:cs="Arial" w:eastAsia="Arial" w:hAnsi="Arial"/>
                  <w:sz w:val="18"/>
                  <w:szCs w:val="18"/>
                  <w:color w:val="0000EE"/>
                  <w:w w:val="99"/>
                </w:rPr>
                <w:t>Amendment Agreement, dated as of June 15, 2021, by and among Perella Weinberg Partners Group LP, as Borrower,</w:t>
              </w:r>
            </w:hyperlink>
          </w:p>
        </w:tc>
        <w:tc>
          <w:tcPr>
            <w:tcW w:w="260" w:type="dxa"/>
            <w:vAlign w:val="bottom"/>
            <w:tcBorders>
              <w:top w:val="single" w:sz="8" w:color="auto"/>
            </w:tcBorders>
            <w:gridSpan w:val="3"/>
          </w:tcPr>
          <w:p>
            <w:pPr>
              <w:spacing w:after="0"/>
              <w:rPr>
                <w:sz w:val="23"/>
                <w:szCs w:val="23"/>
                <w:color w:val="auto"/>
              </w:rPr>
            </w:pPr>
          </w:p>
        </w:tc>
      </w:tr>
      <w:tr>
        <w:trPr>
          <w:trHeight w:val="183"/>
        </w:trPr>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700" w:type="dxa"/>
            <w:vAlign w:val="bottom"/>
            <w:gridSpan w:val="11"/>
          </w:tcPr>
          <w:p>
            <w:pPr>
              <w:spacing w:after="0" w:line="182" w:lineRule="exact"/>
              <w:rPr>
                <w:rFonts w:ascii="Arial" w:cs="Arial" w:eastAsia="Arial" w:hAnsi="Arial"/>
                <w:sz w:val="18"/>
                <w:szCs w:val="18"/>
                <w:color w:val="0000EE"/>
              </w:rPr>
            </w:pPr>
            <w:hyperlink r:id="rId477">
              <w:r>
                <w:rPr>
                  <w:rFonts w:ascii="Arial" w:cs="Arial" w:eastAsia="Arial" w:hAnsi="Arial"/>
                  <w:sz w:val="18"/>
                  <w:szCs w:val="18"/>
                  <w:color w:val="0000EE"/>
                </w:rPr>
                <w:t>PWP Holdings LP, the subsidiary guarantors party thereto, each Lender under the Credit Agreement and Cadence Bank,</w:t>
              </w:r>
            </w:hyperlink>
          </w:p>
        </w:tc>
      </w:tr>
      <w:tr>
        <w:trPr>
          <w:trHeight w:val="182"/>
        </w:trPr>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477">
              <w:r>
                <w:rPr>
                  <w:rFonts w:ascii="Arial" w:cs="Arial" w:eastAsia="Arial" w:hAnsi="Arial"/>
                  <w:sz w:val="18"/>
                  <w:szCs w:val="18"/>
                  <w:color w:val="0000EE"/>
                  <w:w w:val="99"/>
                </w:rPr>
                <w:t>N.A., as administrative agent (incorporated by reference to Exhibit 10.9 to the Company’s Current Report on Form 8-K,</w:t>
              </w:r>
            </w:hyperlink>
          </w:p>
        </w:tc>
        <w:tc>
          <w:tcPr>
            <w:tcW w:w="140" w:type="dxa"/>
            <w:vAlign w:val="bottom"/>
            <w:tcBorders>
              <w:top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700" w:type="dxa"/>
            <w:vAlign w:val="bottom"/>
            <w:gridSpan w:val="11"/>
          </w:tcPr>
          <w:p>
            <w:pPr>
              <w:spacing w:after="0" w:line="182" w:lineRule="exact"/>
              <w:rPr>
                <w:rFonts w:ascii="Arial" w:cs="Arial" w:eastAsia="Arial" w:hAnsi="Arial"/>
                <w:sz w:val="18"/>
                <w:szCs w:val="18"/>
                <w:color w:val="0000EE"/>
              </w:rPr>
            </w:pPr>
            <w:hyperlink r:id="rId477">
              <w:r>
                <w:rPr>
                  <w:rFonts w:ascii="Arial" w:cs="Arial" w:eastAsia="Arial" w:hAnsi="Arial"/>
                  <w:sz w:val="18"/>
                  <w:szCs w:val="18"/>
                  <w:color w:val="0000EE"/>
                </w:rPr>
                <w:t>filed with the SEC on June 30, 2021).</w:t>
              </w:r>
            </w:hyperlink>
          </w:p>
        </w:tc>
      </w:tr>
      <w:tr>
        <w:trPr>
          <w:trHeight w:val="20"/>
        </w:trPr>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16.1</w:t>
            </w:r>
          </w:p>
        </w:tc>
        <w:tc>
          <w:tcPr>
            <w:tcW w:w="780" w:type="dxa"/>
            <w:vAlign w:val="bottom"/>
          </w:tcPr>
          <w:p>
            <w:pPr>
              <w:spacing w:after="0"/>
              <w:rPr>
                <w:sz w:val="24"/>
                <w:szCs w:val="24"/>
                <w:color w:val="auto"/>
              </w:rPr>
            </w:pPr>
          </w:p>
        </w:tc>
        <w:tc>
          <w:tcPr>
            <w:tcW w:w="9700" w:type="dxa"/>
            <w:vAlign w:val="bottom"/>
            <w:gridSpan w:val="11"/>
          </w:tcPr>
          <w:p>
            <w:pPr>
              <w:spacing w:after="0"/>
              <w:rPr>
                <w:rFonts w:ascii="Arial" w:cs="Arial" w:eastAsia="Arial" w:hAnsi="Arial"/>
                <w:sz w:val="18"/>
                <w:szCs w:val="18"/>
                <w:color w:val="0000EE"/>
              </w:rPr>
            </w:pPr>
            <w:hyperlink r:id="rId478">
              <w:r>
                <w:rPr>
                  <w:rFonts w:ascii="Arial" w:cs="Arial" w:eastAsia="Arial" w:hAnsi="Arial"/>
                  <w:sz w:val="18"/>
                  <w:szCs w:val="18"/>
                  <w:color w:val="0000EE"/>
                </w:rPr>
                <w:t>Letter of WithumSmith+Brown, PC to the SEC, dated June 30, 2021 (incorporated by reference to Exhibit 16.1 to the</w:t>
              </w:r>
            </w:hyperlink>
          </w:p>
        </w:tc>
      </w:tr>
      <w:tr>
        <w:trPr>
          <w:trHeight w:val="183"/>
        </w:trPr>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478">
              <w:r>
                <w:rPr>
                  <w:rFonts w:ascii="Arial" w:cs="Arial" w:eastAsia="Arial" w:hAnsi="Arial"/>
                  <w:sz w:val="18"/>
                  <w:szCs w:val="18"/>
                  <w:color w:val="0000EE"/>
                  <w:w w:val="99"/>
                </w:rPr>
                <w:t>Company’s Current Report on Form 8-K, filed with the SEC on June 30, 2021).</w:t>
              </w:r>
            </w:hyperlink>
          </w:p>
        </w:tc>
        <w:tc>
          <w:tcPr>
            <w:tcW w:w="3040" w:type="dxa"/>
            <w:vAlign w:val="bottom"/>
            <w:tcBorders>
              <w:top w:val="single" w:sz="8" w:color="0000EE"/>
            </w:tcBorders>
            <w:gridSpan w:val="4"/>
          </w:tcPr>
          <w:p>
            <w:pPr>
              <w:spacing w:after="0"/>
              <w:rPr>
                <w:sz w:val="15"/>
                <w:szCs w:val="15"/>
                <w:color w:val="auto"/>
              </w:rPr>
            </w:pPr>
          </w:p>
        </w:tc>
        <w:tc>
          <w:tcPr>
            <w:tcW w:w="400" w:type="dxa"/>
            <w:vAlign w:val="bottom"/>
            <w:gridSpan w:val="4"/>
          </w:tcPr>
          <w:p>
            <w:pPr>
              <w:spacing w:after="0"/>
              <w:rPr>
                <w:sz w:val="15"/>
                <w:szCs w:val="15"/>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21.1</w:t>
            </w:r>
          </w:p>
        </w:tc>
        <w:tc>
          <w:tcPr>
            <w:tcW w:w="780" w:type="dxa"/>
            <w:vAlign w:val="bottom"/>
          </w:tcPr>
          <w:p>
            <w:pPr>
              <w:spacing w:after="0"/>
              <w:rPr>
                <w:sz w:val="24"/>
                <w:szCs w:val="24"/>
                <w:color w:val="auto"/>
              </w:rPr>
            </w:pPr>
          </w:p>
        </w:tc>
        <w:tc>
          <w:tcPr>
            <w:tcW w:w="9700" w:type="dxa"/>
            <w:vAlign w:val="bottom"/>
            <w:gridSpan w:val="11"/>
          </w:tcPr>
          <w:p>
            <w:pPr>
              <w:spacing w:after="0"/>
              <w:rPr>
                <w:rFonts w:ascii="Arial" w:cs="Arial" w:eastAsia="Arial" w:hAnsi="Arial"/>
                <w:sz w:val="18"/>
                <w:szCs w:val="18"/>
                <w:color w:val="0000EE"/>
              </w:rPr>
            </w:pPr>
            <w:hyperlink r:id="rId479">
              <w:r>
                <w:rPr>
                  <w:rFonts w:ascii="Arial" w:cs="Arial" w:eastAsia="Arial" w:hAnsi="Arial"/>
                  <w:sz w:val="18"/>
                  <w:szCs w:val="18"/>
                  <w:color w:val="0000EE"/>
                </w:rPr>
                <w:t>Subsidiaries of the Registrant (incorporated by reference to Exhibit 21.1 to the Company’s Current Report on Form 8-K,</w:t>
              </w:r>
            </w:hyperlink>
          </w:p>
        </w:tc>
      </w:tr>
      <w:tr>
        <w:trPr>
          <w:trHeight w:val="183"/>
        </w:trPr>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479">
              <w:r>
                <w:rPr>
                  <w:rFonts w:ascii="Arial" w:cs="Arial" w:eastAsia="Arial" w:hAnsi="Arial"/>
                  <w:sz w:val="18"/>
                  <w:szCs w:val="18"/>
                  <w:color w:val="0000EE"/>
                </w:rPr>
                <w:t>filed with the SEC on June 30, 2021).</w:t>
              </w:r>
            </w:hyperlink>
          </w:p>
        </w:tc>
        <w:tc>
          <w:tcPr>
            <w:tcW w:w="220" w:type="dxa"/>
            <w:vAlign w:val="bottom"/>
            <w:gridSpan w:val="2"/>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9700" w:type="dxa"/>
            <w:vAlign w:val="bottom"/>
            <w:gridSpan w:val="11"/>
          </w:tcPr>
          <w:p>
            <w:pPr>
              <w:spacing w:after="0"/>
              <w:rPr>
                <w:rFonts w:ascii="Arial" w:cs="Arial" w:eastAsia="Arial" w:hAnsi="Arial"/>
                <w:sz w:val="18"/>
                <w:szCs w:val="18"/>
                <w:color w:val="0000EE"/>
              </w:rPr>
            </w:pPr>
            <w:hyperlink w:anchor="page347">
              <w:r>
                <w:rPr>
                  <w:rFonts w:ascii="Arial" w:cs="Arial" w:eastAsia="Arial" w:hAnsi="Arial"/>
                  <w:sz w:val="18"/>
                  <w:szCs w:val="18"/>
                  <w:color w:val="0000EE"/>
                </w:rPr>
                <w:t>Consent of WithumSmith+Brown, PC, independent registered accounting firm for FinTech Acquisition Corp. IV.</w:t>
              </w:r>
            </w:hyperlink>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8760" w:type="dxa"/>
            <w:vAlign w:val="bottom"/>
            <w:tcBorders>
              <w:top w:val="single" w:sz="8" w:color="0000EE"/>
            </w:tcBorders>
            <w:gridSpan w:val="6"/>
          </w:tcPr>
          <w:p>
            <w:pPr>
              <w:spacing w:after="0"/>
              <w:rPr>
                <w:rFonts w:ascii="Arial" w:cs="Arial" w:eastAsia="Arial" w:hAnsi="Arial"/>
                <w:sz w:val="18"/>
                <w:szCs w:val="18"/>
                <w:color w:val="0000EE"/>
              </w:rPr>
            </w:pPr>
            <w:hyperlink w:anchor="page348">
              <w:r>
                <w:rPr>
                  <w:rFonts w:ascii="Arial" w:cs="Arial" w:eastAsia="Arial" w:hAnsi="Arial"/>
                  <w:sz w:val="18"/>
                  <w:szCs w:val="18"/>
                  <w:color w:val="0000EE"/>
                </w:rPr>
                <w:t>Consent of Ernst &amp; Young LLP, independent registered accounting firm for PWP Holdings LP.</w:t>
              </w:r>
            </w:hyperlink>
          </w:p>
        </w:tc>
        <w:tc>
          <w:tcPr>
            <w:tcW w:w="940" w:type="dxa"/>
            <w:vAlign w:val="bottom"/>
            <w:gridSpan w:val="5"/>
          </w:tcPr>
          <w:p>
            <w:pPr>
              <w:spacing w:after="0"/>
              <w:rPr>
                <w:sz w:val="24"/>
                <w:szCs w:val="24"/>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63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341">
              <w:r>
                <w:rPr>
                  <w:rFonts w:ascii="Arial" w:cs="Arial" w:eastAsia="Arial" w:hAnsi="Arial"/>
                  <w:sz w:val="18"/>
                  <w:szCs w:val="18"/>
                  <w:color w:val="0000EE"/>
                  <w:w w:val="99"/>
                </w:rPr>
                <w:t>Consent of Skadden, Arps, Slate, Meagher &amp; Flom LLP (included in Exhibit 5.1).</w:t>
              </w:r>
            </w:hyperlink>
          </w:p>
        </w:tc>
        <w:tc>
          <w:tcPr>
            <w:tcW w:w="1000" w:type="dxa"/>
            <w:vAlign w:val="bottom"/>
            <w:tcBorders>
              <w:top w:val="single" w:sz="8" w:color="0000EE"/>
            </w:tcBorders>
          </w:tcPr>
          <w:p>
            <w:pPr>
              <w:spacing w:after="0"/>
              <w:rPr>
                <w:sz w:val="24"/>
                <w:szCs w:val="24"/>
                <w:color w:val="auto"/>
              </w:rPr>
            </w:pPr>
          </w:p>
        </w:tc>
        <w:tc>
          <w:tcPr>
            <w:tcW w:w="2320" w:type="dxa"/>
            <w:vAlign w:val="bottom"/>
            <w:gridSpan w:val="6"/>
          </w:tcPr>
          <w:p>
            <w:pPr>
              <w:spacing w:after="0"/>
              <w:rPr>
                <w:sz w:val="24"/>
                <w:szCs w:val="24"/>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390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339">
              <w:r>
                <w:rPr>
                  <w:rFonts w:ascii="Arial" w:cs="Arial" w:eastAsia="Arial" w:hAnsi="Arial"/>
                  <w:sz w:val="18"/>
                  <w:szCs w:val="18"/>
                  <w:color w:val="0000EE"/>
                  <w:w w:val="99"/>
                </w:rPr>
                <w:t>Powers of Attorney (included on signature page).</w:t>
              </w:r>
            </w:hyperlink>
          </w:p>
        </w:tc>
        <w:tc>
          <w:tcPr>
            <w:tcW w:w="5800" w:type="dxa"/>
            <w:vAlign w:val="bottom"/>
            <w:gridSpan w:val="9"/>
          </w:tcPr>
          <w:p>
            <w:pPr>
              <w:spacing w:after="0"/>
              <w:rPr>
                <w:sz w:val="24"/>
                <w:szCs w:val="24"/>
                <w:color w:val="auto"/>
              </w:rPr>
            </w:pPr>
          </w:p>
        </w:tc>
      </w:tr>
      <w:tr>
        <w:trPr>
          <w:trHeight w:val="331"/>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Instance Document Herewith</w:t>
            </w:r>
          </w:p>
        </w:tc>
      </w:tr>
      <w:tr>
        <w:trPr>
          <w:trHeight w:val="310"/>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 Herewith</w:t>
            </w:r>
          </w:p>
        </w:tc>
      </w:tr>
      <w:tr>
        <w:trPr>
          <w:trHeight w:val="311"/>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 Herewith</w:t>
            </w:r>
          </w:p>
        </w:tc>
      </w:tr>
      <w:tr>
        <w:trPr>
          <w:trHeight w:val="310"/>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Definitions Linkbase Document Herewith</w:t>
            </w:r>
          </w:p>
        </w:tc>
      </w:tr>
      <w:tr>
        <w:trPr>
          <w:trHeight w:val="311"/>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 Herewith</w:t>
            </w:r>
          </w:p>
        </w:tc>
      </w:tr>
      <w:tr>
        <w:trPr>
          <w:trHeight w:val="310"/>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660" w:right="500" w:hanging="544"/>
        <w:spacing w:after="0" w:line="248" w:lineRule="auto"/>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ind w:left="660" w:hanging="544"/>
        <w:spacing w:after="0" w:line="235"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Filed herewith.</w:t>
      </w:r>
    </w:p>
    <w:p>
      <w:pPr>
        <w:ind w:left="660" w:hanging="544"/>
        <w:spacing w:after="0" w:line="235"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Indicates a management or compensatory plan.</w:t>
      </w:r>
    </w:p>
    <w:p>
      <w:pPr>
        <w:spacing w:after="0" w:line="1" w:lineRule="exact"/>
        <w:rPr>
          <w:sz w:val="20"/>
          <w:szCs w:val="20"/>
          <w:color w:val="auto"/>
        </w:rPr>
      </w:pPr>
    </w:p>
    <w:p>
      <w:pPr>
        <w:ind w:left="660" w:right="380" w:hanging="544"/>
        <w:spacing w:after="0" w:line="246"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Item 601(b)(2) of Regulation S-K. The Company hereby agrees to hereby furnish supplementally a copy of all omitted schedules to the SEC upon request.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6" w:lineRule="exact"/>
        <w:rPr>
          <w:sz w:val="20"/>
          <w:szCs w:val="20"/>
          <w:color w:val="auto"/>
        </w:rPr>
      </w:pPr>
    </w:p>
    <w:p>
      <w:pPr>
        <w:ind w:left="120" w:right="180" w:hanging="4"/>
        <w:spacing w:after="0"/>
        <w:tabs>
          <w:tab w:leader="none" w:pos="5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202" w:lineRule="exact"/>
        <w:rPr>
          <w:rFonts w:ascii="Arial" w:cs="Arial" w:eastAsia="Arial" w:hAnsi="Arial"/>
          <w:sz w:val="18"/>
          <w:szCs w:val="18"/>
          <w:color w:val="auto"/>
        </w:rPr>
      </w:pPr>
    </w:p>
    <w:p>
      <w:pPr>
        <w:ind w:left="120" w:right="20" w:hanging="4"/>
        <w:spacing w:after="0" w:line="236"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6" w:lineRule="exact"/>
        <w:rPr>
          <w:rFonts w:ascii="Arial" w:cs="Arial" w:eastAsia="Arial" w:hAnsi="Arial"/>
          <w:sz w:val="18"/>
          <w:szCs w:val="18"/>
          <w:color w:val="auto"/>
        </w:rPr>
      </w:pPr>
    </w:p>
    <w:p>
      <w:pPr>
        <w:ind w:left="540" w:hanging="424"/>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20" w:right="100" w:hanging="4"/>
        <w:spacing w:after="0" w:line="238" w:lineRule="auto"/>
        <w:tabs>
          <w:tab w:leader="none" w:pos="5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4" w:lineRule="exact"/>
        <w:rPr>
          <w:rFonts w:ascii="Arial" w:cs="Arial" w:eastAsia="Arial" w:hAnsi="Arial"/>
          <w:sz w:val="18"/>
          <w:szCs w:val="18"/>
          <w:color w:val="auto"/>
        </w:rPr>
      </w:pPr>
    </w:p>
    <w:p>
      <w:pPr>
        <w:ind w:left="120" w:hanging="4"/>
        <w:spacing w:after="0"/>
        <w:tabs>
          <w:tab w:leader="none" w:pos="5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80"/>
          </w:cols>
          <w:pgMar w:left="320" w:top="459" w:right="49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New York, New York, on July 15, 2021.</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PERELLA WEINBERG PARTNERS</w:t>
      </w:r>
    </w:p>
    <w:p>
      <w:pPr>
        <w:spacing w:after="0" w:line="10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Name: Peter A. Weinberg</w:t>
      </w:r>
    </w:p>
    <w:p>
      <w:pPr>
        <w:ind w:left="7100"/>
        <w:spacing w:after="0"/>
        <w:tabs>
          <w:tab w:leader="none" w:pos="7660" w:val="left"/>
        </w:tabs>
        <w:rPr>
          <w:sz w:val="20"/>
          <w:szCs w:val="20"/>
          <w:color w:val="auto"/>
        </w:rPr>
      </w:pPr>
      <w:r>
        <w:rPr>
          <w:rFonts w:ascii="Arial" w:cs="Arial" w:eastAsia="Arial" w:hAnsi="Arial"/>
          <w:sz w:val="18"/>
          <w:szCs w:val="18"/>
          <w:color w:val="auto"/>
        </w:rPr>
        <w:t>Title:</w:t>
        <w:tab/>
        <w:t>Chief Executive Officer</w:t>
      </w:r>
    </w:p>
    <w:p>
      <w:pPr>
        <w:spacing w:after="0" w:line="1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880"/>
          </w:cols>
          <w:pgMar w:left="320" w:top="459" w:right="69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Peter A. Weinberg,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208"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 indicated.</w:t>
      </w:r>
    </w:p>
    <w:p>
      <w:pPr>
        <w:sectPr>
          <w:pgSz w:w="11900" w:h="16838" w:orient="portrait"/>
          <w:cols w:equalWidth="0" w:num="1">
            <w:col w:w="11140"/>
          </w:cols>
          <w:pgMar w:left="320" w:top="459" w:right="43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A. Weinberg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Gary S. Barancik</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261429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Alexandra Gottschalk</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Joseph R. Perella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Joseph R. Perella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Robert K. Steel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Robert K. Steel</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Dietrich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Dietrich Becker</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Andrew Bednar</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Jorma Ollila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Jorma Ollila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Ivan G.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Ivan G. Seidenberg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Jane C. Sherburne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Jane C. Sherburne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1429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Daniel G. Cohen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17"/>
        </w:trPr>
        <w:tc>
          <w:tcPr>
            <w:tcW w:w="4780" w:type="dxa"/>
            <w:vAlign w:val="bottom"/>
            <w:gridSpan w:val="2"/>
          </w:tcPr>
          <w:p>
            <w:pPr>
              <w:spacing w:after="0"/>
              <w:rPr>
                <w:sz w:val="20"/>
                <w:szCs w:val="20"/>
                <w:color w:val="auto"/>
              </w:rPr>
            </w:pPr>
            <w:r>
              <w:rPr>
                <w:rFonts w:ascii="Arial" w:cs="Arial" w:eastAsia="Arial" w:hAnsi="Arial"/>
                <w:sz w:val="18"/>
                <w:szCs w:val="18"/>
                <w:color w:val="auto"/>
              </w:rPr>
              <w:t>Chairman and Chief Executive Officer (Principal</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217"/>
        </w:trPr>
        <w:tc>
          <w:tcPr>
            <w:tcW w:w="4780" w:type="dxa"/>
            <w:vAlign w:val="bottom"/>
            <w:gridSpan w:val="2"/>
          </w:tcPr>
          <w:p>
            <w:pPr>
              <w:spacing w:after="0"/>
              <w:rPr>
                <w:sz w:val="20"/>
                <w:szCs w:val="20"/>
                <w:color w:val="auto"/>
              </w:rPr>
            </w:pPr>
            <w:r>
              <w:rPr>
                <w:rFonts w:ascii="Arial" w:cs="Arial" w:eastAsia="Arial" w:hAnsi="Arial"/>
                <w:sz w:val="18"/>
                <w:szCs w:val="18"/>
                <w:color w:val="auto"/>
              </w:rPr>
              <w:t>Executive Office)</w:t>
            </w:r>
          </w:p>
        </w:tc>
        <w:tc>
          <w:tcPr>
            <w:tcW w:w="2020" w:type="dxa"/>
            <w:vAlign w:val="bottom"/>
          </w:tcPr>
          <w:p>
            <w:pPr>
              <w:spacing w:after="0"/>
              <w:rPr>
                <w:sz w:val="18"/>
                <w:szCs w:val="18"/>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217"/>
        </w:trPr>
        <w:tc>
          <w:tcPr>
            <w:tcW w:w="47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020" w:type="dxa"/>
            <w:vAlign w:val="bottom"/>
          </w:tcPr>
          <w:p>
            <w:pPr>
              <w:spacing w:after="0"/>
              <w:rPr>
                <w:sz w:val="18"/>
                <w:szCs w:val="18"/>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217"/>
        </w:trPr>
        <w:tc>
          <w:tcPr>
            <w:tcW w:w="47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2020" w:type="dxa"/>
            <w:vAlign w:val="bottom"/>
          </w:tcPr>
          <w:p>
            <w:pPr>
              <w:spacing w:after="0"/>
              <w:rPr>
                <w:sz w:val="18"/>
                <w:szCs w:val="18"/>
                <w:color w:val="auto"/>
              </w:rPr>
            </w:pPr>
          </w:p>
        </w:tc>
      </w:tr>
      <w:tr>
        <w:trPr>
          <w:trHeight w:val="338"/>
        </w:trPr>
        <w:tc>
          <w:tcPr>
            <w:tcW w:w="4780" w:type="dxa"/>
            <w:vAlign w:val="bottom"/>
            <w:gridSpan w:val="2"/>
          </w:tcPr>
          <w:p>
            <w:pPr>
              <w:spacing w:after="0"/>
              <w:rPr>
                <w:sz w:val="20"/>
                <w:szCs w:val="20"/>
                <w:color w:val="auto"/>
              </w:rPr>
            </w:pPr>
            <w:r>
              <w:rPr>
                <w:rFonts w:ascii="Arial" w:cs="Arial" w:eastAsia="Arial" w:hAnsi="Arial"/>
                <w:sz w:val="18"/>
                <w:szCs w:val="18"/>
                <w:color w:val="auto"/>
              </w:rPr>
              <w:t>Chairman Emeritus</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color w:val="auto"/>
              </w:rPr>
              <w:t>Vice Chairman</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July 15, 2021</w:t>
            </w:r>
          </w:p>
        </w:tc>
      </w:tr>
      <w:tr>
        <w:trPr>
          <w:trHeight w:val="553"/>
        </w:trPr>
        <w:tc>
          <w:tcPr>
            <w:tcW w:w="4780" w:type="dxa"/>
            <w:vAlign w:val="bottom"/>
            <w:gridSpan w:val="2"/>
          </w:tcPr>
          <w:p>
            <w:pPr>
              <w:ind w:left="1160"/>
              <w:spacing w:after="0"/>
              <w:rPr>
                <w:sz w:val="20"/>
                <w:szCs w:val="20"/>
                <w:color w:val="auto"/>
              </w:rPr>
            </w:pPr>
            <w:r>
              <w:rPr>
                <w:rFonts w:ascii="Arial" w:cs="Arial" w:eastAsia="Arial" w:hAnsi="Arial"/>
                <w:sz w:val="18"/>
                <w:szCs w:val="18"/>
                <w:color w:val="auto"/>
              </w:rPr>
              <w:t>II-7</w:t>
            </w:r>
          </w:p>
        </w:tc>
        <w:tc>
          <w:tcPr>
            <w:tcW w:w="2020" w:type="dxa"/>
            <w:vAlign w:val="bottom"/>
          </w:tcPr>
          <w:p>
            <w:pPr>
              <w:spacing w:after="0"/>
              <w:rPr>
                <w:sz w:val="24"/>
                <w:szCs w:val="24"/>
                <w:color w:val="auto"/>
              </w:rPr>
            </w:pPr>
          </w:p>
        </w:tc>
      </w:tr>
    </w:tbl>
    <w:p>
      <w:pPr>
        <w:sectPr>
          <w:pgSz w:w="11900" w:h="16838" w:orient="portrait"/>
          <w:cols w:equalWidth="0" w:num="2">
            <w:col w:w="3620" w:space="720"/>
            <w:col w:w="6800"/>
          </w:cols>
          <w:pgMar w:left="320" w:top="459" w:right="439" w:bottom="1440" w:gutter="0" w:footer="0" w:header="0"/>
          <w:type w:val="continuous"/>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5.1</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w:t>
      </w:r>
      <w:r>
        <w:rPr>
          <w:rFonts w:ascii="Arial" w:cs="Arial" w:eastAsia="Arial" w:hAnsi="Arial"/>
          <w:sz w:val="20"/>
          <w:szCs w:val="20"/>
          <w:color w:val="auto"/>
        </w:rPr>
        <w:t>KADDEN</w:t>
      </w:r>
      <w:r>
        <w:rPr>
          <w:rFonts w:ascii="Arial" w:cs="Arial" w:eastAsia="Arial" w:hAnsi="Arial"/>
          <w:sz w:val="25"/>
          <w:szCs w:val="25"/>
          <w:color w:val="auto"/>
        </w:rPr>
        <w:t>, A</w:t>
      </w:r>
      <w:r>
        <w:rPr>
          <w:rFonts w:ascii="Arial" w:cs="Arial" w:eastAsia="Arial" w:hAnsi="Arial"/>
          <w:sz w:val="20"/>
          <w:szCs w:val="20"/>
          <w:color w:val="auto"/>
        </w:rPr>
        <w:t>RPS</w:t>
      </w:r>
      <w:r>
        <w:rPr>
          <w:rFonts w:ascii="Arial" w:cs="Arial" w:eastAsia="Arial" w:hAnsi="Arial"/>
          <w:sz w:val="25"/>
          <w:szCs w:val="25"/>
          <w:color w:val="auto"/>
        </w:rPr>
        <w:t>, S</w:t>
      </w:r>
      <w:r>
        <w:rPr>
          <w:rFonts w:ascii="Arial" w:cs="Arial" w:eastAsia="Arial" w:hAnsi="Arial"/>
          <w:sz w:val="20"/>
          <w:szCs w:val="20"/>
          <w:color w:val="auto"/>
        </w:rPr>
        <w:t>LATE</w:t>
      </w:r>
      <w:r>
        <w:rPr>
          <w:rFonts w:ascii="Arial" w:cs="Arial" w:eastAsia="Arial" w:hAnsi="Arial"/>
          <w:sz w:val="25"/>
          <w:szCs w:val="25"/>
          <w:color w:val="auto"/>
        </w:rPr>
        <w:t>, M</w:t>
      </w:r>
      <w:r>
        <w:rPr>
          <w:rFonts w:ascii="Arial" w:cs="Arial" w:eastAsia="Arial" w:hAnsi="Arial"/>
          <w:sz w:val="20"/>
          <w:szCs w:val="20"/>
          <w:color w:val="auto"/>
        </w:rPr>
        <w:t>EAGHER</w:t>
      </w:r>
      <w:r>
        <w:rPr>
          <w:rFonts w:ascii="Arial" w:cs="Arial" w:eastAsia="Arial" w:hAnsi="Arial"/>
          <w:sz w:val="25"/>
          <w:szCs w:val="25"/>
          <w:color w:val="auto"/>
        </w:rPr>
        <w:t xml:space="preserve"> &amp; F</w:t>
      </w:r>
      <w:r>
        <w:rPr>
          <w:rFonts w:ascii="Arial" w:cs="Arial" w:eastAsia="Arial" w:hAnsi="Arial"/>
          <w:sz w:val="20"/>
          <w:szCs w:val="20"/>
          <w:color w:val="auto"/>
        </w:rPr>
        <w:t>LOM LLP</w:t>
      </w:r>
    </w:p>
    <w:p>
      <w:pPr>
        <w:sectPr>
          <w:pgSz w:w="11900" w:h="16838" w:orient="portrait"/>
          <w:cols w:equalWidth="0" w:num="1">
            <w:col w:w="11020"/>
          </w:cols>
          <w:pgMar w:left="440" w:top="121" w:right="439" w:bottom="1440" w:gutter="0" w:footer="0" w:header="0"/>
        </w:sectPr>
      </w:pPr>
    </w:p>
    <w:p>
      <w:pPr>
        <w:spacing w:after="0" w:line="2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ONE MANHATTAN WEST</w:t>
      </w:r>
    </w:p>
    <w:p>
      <w:pPr>
        <w:spacing w:after="0" w:line="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177165</wp:posOffset>
            </wp:positionV>
            <wp:extent cx="28575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36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TEL: (212) 735-3000</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FAX: (212) 735-2000</w:t>
      </w:r>
    </w:p>
    <w:p>
      <w:pPr>
        <w:spacing w:after="0" w:line="1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July 15,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10153</w:t>
      </w:r>
    </w:p>
    <w:p>
      <w:pPr>
        <w:spacing w:after="0" w:line="251"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Perella Weinberg Partners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Registration Statement on Form S-1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FIRM/AFFILIATE</w:t>
      </w:r>
    </w:p>
    <w:p>
      <w:pPr>
        <w:jc w:val="center"/>
        <w:ind w:right="460"/>
        <w:spacing w:after="0"/>
        <w:rPr>
          <w:sz w:val="20"/>
          <w:szCs w:val="20"/>
          <w:color w:val="auto"/>
        </w:rPr>
      </w:pPr>
      <w:r>
        <w:rPr>
          <w:rFonts w:ascii="Arial" w:cs="Arial" w:eastAsia="Arial" w:hAnsi="Arial"/>
          <w:sz w:val="14"/>
          <w:szCs w:val="14"/>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133350</wp:posOffset>
            </wp:positionV>
            <wp:extent cx="2286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66"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BOSTON</w:t>
      </w:r>
    </w:p>
    <w:p>
      <w:pPr>
        <w:jc w:val="center"/>
        <w:ind w:right="460"/>
        <w:spacing w:after="0" w:line="221" w:lineRule="auto"/>
        <w:rPr>
          <w:sz w:val="20"/>
          <w:szCs w:val="20"/>
          <w:color w:val="auto"/>
        </w:rPr>
      </w:pPr>
      <w:r>
        <w:rPr>
          <w:rFonts w:ascii="Arial" w:cs="Arial" w:eastAsia="Arial" w:hAnsi="Arial"/>
          <w:sz w:val="14"/>
          <w:szCs w:val="14"/>
          <w:color w:val="auto"/>
        </w:rPr>
        <w:t>CHICAGO</w:t>
      </w:r>
    </w:p>
    <w:p>
      <w:pPr>
        <w:jc w:val="center"/>
        <w:ind w:right="460"/>
        <w:spacing w:after="0" w:line="221" w:lineRule="auto"/>
        <w:rPr>
          <w:sz w:val="20"/>
          <w:szCs w:val="20"/>
          <w:color w:val="auto"/>
        </w:rPr>
      </w:pPr>
      <w:r>
        <w:rPr>
          <w:rFonts w:ascii="Arial" w:cs="Arial" w:eastAsia="Arial" w:hAnsi="Arial"/>
          <w:sz w:val="14"/>
          <w:szCs w:val="14"/>
          <w:color w:val="auto"/>
        </w:rPr>
        <w:t>HOUSTON</w:t>
      </w:r>
    </w:p>
    <w:p>
      <w:pPr>
        <w:jc w:val="center"/>
        <w:ind w:right="460"/>
        <w:spacing w:after="0" w:line="222" w:lineRule="auto"/>
        <w:rPr>
          <w:sz w:val="20"/>
          <w:szCs w:val="20"/>
          <w:color w:val="auto"/>
        </w:rPr>
      </w:pPr>
      <w:r>
        <w:rPr>
          <w:rFonts w:ascii="Arial" w:cs="Arial" w:eastAsia="Arial" w:hAnsi="Arial"/>
          <w:sz w:val="14"/>
          <w:szCs w:val="14"/>
          <w:color w:val="auto"/>
        </w:rPr>
        <w:t>LOS ANGELES</w:t>
      </w:r>
    </w:p>
    <w:p>
      <w:pPr>
        <w:jc w:val="center"/>
        <w:ind w:right="460"/>
        <w:spacing w:after="0" w:line="221" w:lineRule="auto"/>
        <w:rPr>
          <w:sz w:val="20"/>
          <w:szCs w:val="20"/>
          <w:color w:val="auto"/>
        </w:rPr>
      </w:pPr>
      <w:r>
        <w:rPr>
          <w:rFonts w:ascii="Arial" w:cs="Arial" w:eastAsia="Arial" w:hAnsi="Arial"/>
          <w:sz w:val="14"/>
          <w:szCs w:val="14"/>
          <w:color w:val="auto"/>
        </w:rPr>
        <w:t>PALO ALTO</w:t>
      </w:r>
    </w:p>
    <w:p>
      <w:pPr>
        <w:jc w:val="center"/>
        <w:ind w:right="460"/>
        <w:spacing w:after="0"/>
        <w:rPr>
          <w:sz w:val="20"/>
          <w:szCs w:val="20"/>
          <w:color w:val="auto"/>
        </w:rPr>
      </w:pPr>
      <w:r>
        <w:rPr>
          <w:rFonts w:ascii="Arial" w:cs="Arial" w:eastAsia="Arial" w:hAnsi="Arial"/>
          <w:sz w:val="13"/>
          <w:szCs w:val="13"/>
          <w:color w:val="auto"/>
        </w:rPr>
        <w:t>WASHINGTON, D.C.</w:t>
      </w:r>
    </w:p>
    <w:p>
      <w:pPr>
        <w:jc w:val="center"/>
        <w:ind w:right="460"/>
        <w:spacing w:after="0"/>
        <w:rPr>
          <w:sz w:val="20"/>
          <w:szCs w:val="20"/>
          <w:color w:val="auto"/>
        </w:rPr>
      </w:pPr>
      <w:r>
        <w:rPr>
          <w:rFonts w:ascii="Arial" w:cs="Arial" w:eastAsia="Arial" w:hAnsi="Arial"/>
          <w:sz w:val="14"/>
          <w:szCs w:val="14"/>
          <w:color w:val="auto"/>
        </w:rPr>
        <w:t>WILMINGTON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133350</wp:posOffset>
            </wp:positionV>
            <wp:extent cx="2286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66"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BEIJING</w:t>
      </w:r>
    </w:p>
    <w:p>
      <w:pPr>
        <w:jc w:val="center"/>
        <w:ind w:right="460"/>
        <w:spacing w:after="0" w:line="221" w:lineRule="auto"/>
        <w:rPr>
          <w:sz w:val="20"/>
          <w:szCs w:val="20"/>
          <w:color w:val="auto"/>
        </w:rPr>
      </w:pPr>
      <w:r>
        <w:rPr>
          <w:rFonts w:ascii="Arial" w:cs="Arial" w:eastAsia="Arial" w:hAnsi="Arial"/>
          <w:sz w:val="14"/>
          <w:szCs w:val="14"/>
          <w:color w:val="auto"/>
        </w:rPr>
        <w:t>BRUSSELS</w:t>
      </w:r>
    </w:p>
    <w:p>
      <w:pPr>
        <w:jc w:val="center"/>
        <w:ind w:right="460"/>
        <w:spacing w:after="0" w:line="221" w:lineRule="auto"/>
        <w:rPr>
          <w:sz w:val="20"/>
          <w:szCs w:val="20"/>
          <w:color w:val="auto"/>
        </w:rPr>
      </w:pPr>
      <w:r>
        <w:rPr>
          <w:rFonts w:ascii="Arial" w:cs="Arial" w:eastAsia="Arial" w:hAnsi="Arial"/>
          <w:sz w:val="14"/>
          <w:szCs w:val="14"/>
          <w:color w:val="auto"/>
        </w:rPr>
        <w:t>FRANKFURT</w:t>
      </w:r>
    </w:p>
    <w:p>
      <w:pPr>
        <w:jc w:val="center"/>
        <w:ind w:right="460"/>
        <w:spacing w:after="0" w:line="222" w:lineRule="auto"/>
        <w:rPr>
          <w:sz w:val="20"/>
          <w:szCs w:val="20"/>
          <w:color w:val="auto"/>
        </w:rPr>
      </w:pPr>
      <w:r>
        <w:rPr>
          <w:rFonts w:ascii="Arial" w:cs="Arial" w:eastAsia="Arial" w:hAnsi="Arial"/>
          <w:sz w:val="14"/>
          <w:szCs w:val="14"/>
          <w:color w:val="auto"/>
        </w:rPr>
        <w:t>HONG KONG</w:t>
      </w:r>
    </w:p>
    <w:p>
      <w:pPr>
        <w:jc w:val="center"/>
        <w:ind w:right="460"/>
        <w:spacing w:after="0" w:line="221" w:lineRule="auto"/>
        <w:rPr>
          <w:sz w:val="20"/>
          <w:szCs w:val="20"/>
          <w:color w:val="auto"/>
        </w:rPr>
      </w:pPr>
      <w:r>
        <w:rPr>
          <w:rFonts w:ascii="Arial" w:cs="Arial" w:eastAsia="Arial" w:hAnsi="Arial"/>
          <w:sz w:val="14"/>
          <w:szCs w:val="14"/>
          <w:color w:val="auto"/>
        </w:rPr>
        <w:t>LONDON</w:t>
      </w:r>
    </w:p>
    <w:p>
      <w:pPr>
        <w:jc w:val="center"/>
        <w:ind w:right="460"/>
        <w:spacing w:after="0" w:line="221" w:lineRule="auto"/>
        <w:rPr>
          <w:sz w:val="20"/>
          <w:szCs w:val="20"/>
          <w:color w:val="auto"/>
        </w:rPr>
      </w:pPr>
      <w:r>
        <w:rPr>
          <w:rFonts w:ascii="Arial" w:cs="Arial" w:eastAsia="Arial" w:hAnsi="Arial"/>
          <w:sz w:val="14"/>
          <w:szCs w:val="14"/>
          <w:color w:val="auto"/>
        </w:rPr>
        <w:t>MOSCOW</w:t>
      </w:r>
    </w:p>
    <w:p>
      <w:pPr>
        <w:jc w:val="center"/>
        <w:ind w:right="460"/>
        <w:spacing w:after="0" w:line="222" w:lineRule="auto"/>
        <w:rPr>
          <w:sz w:val="20"/>
          <w:szCs w:val="20"/>
          <w:color w:val="auto"/>
        </w:rPr>
      </w:pPr>
      <w:r>
        <w:rPr>
          <w:rFonts w:ascii="Arial" w:cs="Arial" w:eastAsia="Arial" w:hAnsi="Arial"/>
          <w:sz w:val="14"/>
          <w:szCs w:val="14"/>
          <w:color w:val="auto"/>
        </w:rPr>
        <w:t>MUNICH</w:t>
      </w:r>
    </w:p>
    <w:p>
      <w:pPr>
        <w:jc w:val="center"/>
        <w:ind w:right="460"/>
        <w:spacing w:after="0" w:line="221" w:lineRule="auto"/>
        <w:rPr>
          <w:sz w:val="20"/>
          <w:szCs w:val="20"/>
          <w:color w:val="auto"/>
        </w:rPr>
      </w:pPr>
      <w:r>
        <w:rPr>
          <w:rFonts w:ascii="Arial" w:cs="Arial" w:eastAsia="Arial" w:hAnsi="Arial"/>
          <w:sz w:val="14"/>
          <w:szCs w:val="14"/>
          <w:color w:val="auto"/>
        </w:rPr>
        <w:t>PARIS</w:t>
      </w:r>
    </w:p>
    <w:p>
      <w:pPr>
        <w:jc w:val="center"/>
        <w:ind w:right="460"/>
        <w:spacing w:after="0" w:line="221" w:lineRule="auto"/>
        <w:rPr>
          <w:sz w:val="20"/>
          <w:szCs w:val="20"/>
          <w:color w:val="auto"/>
        </w:rPr>
      </w:pPr>
      <w:r>
        <w:rPr>
          <w:rFonts w:ascii="Arial" w:cs="Arial" w:eastAsia="Arial" w:hAnsi="Arial"/>
          <w:sz w:val="14"/>
          <w:szCs w:val="14"/>
          <w:color w:val="auto"/>
        </w:rPr>
        <w:t>SÃO PAULO</w:t>
      </w:r>
    </w:p>
    <w:p>
      <w:pPr>
        <w:jc w:val="center"/>
        <w:ind w:right="460"/>
        <w:spacing w:after="0" w:line="222" w:lineRule="auto"/>
        <w:rPr>
          <w:sz w:val="20"/>
          <w:szCs w:val="20"/>
          <w:color w:val="auto"/>
        </w:rPr>
      </w:pPr>
      <w:r>
        <w:rPr>
          <w:rFonts w:ascii="Arial" w:cs="Arial" w:eastAsia="Arial" w:hAnsi="Arial"/>
          <w:sz w:val="14"/>
          <w:szCs w:val="14"/>
          <w:color w:val="auto"/>
        </w:rPr>
        <w:t>SEOUL</w:t>
      </w:r>
    </w:p>
    <w:p>
      <w:pPr>
        <w:jc w:val="center"/>
        <w:ind w:right="460"/>
        <w:spacing w:after="0" w:line="221" w:lineRule="auto"/>
        <w:rPr>
          <w:sz w:val="20"/>
          <w:szCs w:val="20"/>
          <w:color w:val="auto"/>
        </w:rPr>
      </w:pPr>
      <w:r>
        <w:rPr>
          <w:rFonts w:ascii="Arial" w:cs="Arial" w:eastAsia="Arial" w:hAnsi="Arial"/>
          <w:sz w:val="14"/>
          <w:szCs w:val="14"/>
          <w:color w:val="auto"/>
        </w:rPr>
        <w:t>SHANGHAI</w:t>
      </w:r>
    </w:p>
    <w:p>
      <w:pPr>
        <w:jc w:val="center"/>
        <w:ind w:right="460"/>
        <w:spacing w:after="0" w:line="222" w:lineRule="auto"/>
        <w:rPr>
          <w:sz w:val="20"/>
          <w:szCs w:val="20"/>
          <w:color w:val="auto"/>
        </w:rPr>
      </w:pPr>
      <w:r>
        <w:rPr>
          <w:rFonts w:ascii="Arial" w:cs="Arial" w:eastAsia="Arial" w:hAnsi="Arial"/>
          <w:sz w:val="14"/>
          <w:szCs w:val="14"/>
          <w:color w:val="auto"/>
        </w:rPr>
        <w:t>SINGAPORE</w:t>
      </w:r>
    </w:p>
    <w:p>
      <w:pPr>
        <w:jc w:val="center"/>
        <w:ind w:right="460"/>
        <w:spacing w:after="0" w:line="221" w:lineRule="auto"/>
        <w:rPr>
          <w:sz w:val="20"/>
          <w:szCs w:val="20"/>
          <w:color w:val="auto"/>
        </w:rPr>
      </w:pPr>
      <w:r>
        <w:rPr>
          <w:rFonts w:ascii="Arial" w:cs="Arial" w:eastAsia="Arial" w:hAnsi="Arial"/>
          <w:sz w:val="14"/>
          <w:szCs w:val="14"/>
          <w:color w:val="auto"/>
        </w:rPr>
        <w:t>TOKYO</w:t>
      </w:r>
    </w:p>
    <w:p>
      <w:pPr>
        <w:jc w:val="center"/>
        <w:ind w:right="460"/>
        <w:spacing w:after="0"/>
        <w:rPr>
          <w:sz w:val="20"/>
          <w:szCs w:val="20"/>
          <w:color w:val="auto"/>
        </w:rPr>
      </w:pPr>
      <w:r>
        <w:rPr>
          <w:rFonts w:ascii="Arial" w:cs="Arial" w:eastAsia="Arial" w:hAnsi="Arial"/>
          <w:sz w:val="14"/>
          <w:szCs w:val="14"/>
          <w:color w:val="auto"/>
        </w:rPr>
        <w:t>TORONTO</w:t>
      </w:r>
    </w:p>
    <w:p>
      <w:pPr>
        <w:spacing w:after="0" w:line="1291" w:lineRule="exact"/>
        <w:rPr>
          <w:sz w:val="20"/>
          <w:szCs w:val="20"/>
          <w:color w:val="auto"/>
        </w:rPr>
      </w:pPr>
    </w:p>
    <w:p>
      <w:pPr>
        <w:sectPr>
          <w:pgSz w:w="11900" w:h="16838" w:orient="portrait"/>
          <w:cols w:equalWidth="0" w:num="2">
            <w:col w:w="8540" w:space="720"/>
            <w:col w:w="1760"/>
          </w:cols>
          <w:pgMar w:left="440" w:top="121" w:right="439" w:bottom="1440" w:gutter="0" w:footer="0" w:header="0"/>
          <w:type w:val="continuous"/>
        </w:sectPr>
      </w:pPr>
    </w:p>
    <w:p>
      <w:pPr>
        <w:spacing w:after="0" w:line="25"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We have acted as special United States counsel to Perella Weinberg Partners,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(a) the issuance of up to 7,870,000 shares of Class A Common Stock, par value $0.0001 per share, of the Company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upon the exercise of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issued pursuant to the Warrant Agreement, dated as of September 24, 2020 (including the form of Warrant Certificate included therein, the “</w:t>
      </w:r>
      <w:r>
        <w:rPr>
          <w:rFonts w:ascii="Arial" w:cs="Arial" w:eastAsia="Arial" w:hAnsi="Arial"/>
          <w:sz w:val="17"/>
          <w:szCs w:val="17"/>
          <w:u w:val="single" w:color="auto"/>
          <w:color w:val="auto"/>
        </w:rPr>
        <w:t>Warrant Agreement</w:t>
      </w:r>
      <w:r>
        <w:rPr>
          <w:rFonts w:ascii="Arial" w:cs="Arial" w:eastAsia="Arial" w:hAnsi="Arial"/>
          <w:sz w:val="17"/>
          <w:szCs w:val="17"/>
          <w:color w:val="auto"/>
        </w:rPr>
        <w:t>”), among the Company (f/k/a FinTech Acquisition Corp. IV) and Continental Stock Transfer &amp; Trust Company (such shares, the “</w:t>
      </w:r>
      <w:r>
        <w:rPr>
          <w:rFonts w:ascii="Arial" w:cs="Arial" w:eastAsia="Arial" w:hAnsi="Arial"/>
          <w:sz w:val="17"/>
          <w:szCs w:val="17"/>
          <w:u w:val="single" w:color="auto"/>
          <w:color w:val="auto"/>
        </w:rPr>
        <w:t>Warrant Shares</w:t>
      </w:r>
      <w:r>
        <w:rPr>
          <w:rFonts w:ascii="Arial" w:cs="Arial" w:eastAsia="Arial" w:hAnsi="Arial"/>
          <w:sz w:val="17"/>
          <w:szCs w:val="17"/>
          <w:color w:val="auto"/>
        </w:rPr>
        <w:t>”), and (b) the resale by the selling stockholders (the “</w:t>
      </w:r>
      <w:r>
        <w:rPr>
          <w:rFonts w:ascii="Arial" w:cs="Arial" w:eastAsia="Arial" w:hAnsi="Arial"/>
          <w:sz w:val="17"/>
          <w:szCs w:val="17"/>
          <w:u w:val="single" w:color="auto"/>
          <w:color w:val="auto"/>
        </w:rPr>
        <w:t>Selling Stockholders</w:t>
      </w:r>
      <w:r>
        <w:rPr>
          <w:rFonts w:ascii="Arial" w:cs="Arial" w:eastAsia="Arial" w:hAnsi="Arial"/>
          <w:sz w:val="17"/>
          <w:szCs w:val="17"/>
          <w:color w:val="auto"/>
        </w:rPr>
        <w:t>”) of (i) up to 203,333 Warrants held by the Selling Stockholders (the “</w:t>
      </w:r>
      <w:r>
        <w:rPr>
          <w:rFonts w:ascii="Arial" w:cs="Arial" w:eastAsia="Arial" w:hAnsi="Arial"/>
          <w:sz w:val="17"/>
          <w:szCs w:val="17"/>
          <w:u w:val="single" w:color="auto"/>
          <w:color w:val="auto"/>
        </w:rPr>
        <w:t>Secondary Warrants</w:t>
      </w:r>
      <w:r>
        <w:rPr>
          <w:rFonts w:ascii="Arial" w:cs="Arial" w:eastAsia="Arial" w:hAnsi="Arial"/>
          <w:sz w:val="17"/>
          <w:szCs w:val="17"/>
          <w:color w:val="auto"/>
        </w:rPr>
        <w:t>”), and (ii) up to 70,364,353 shares of Class A Common Stock held by or to be issued to the Selling Stockholders (the “</w:t>
      </w:r>
      <w:r>
        <w:rPr>
          <w:rFonts w:ascii="Arial" w:cs="Arial" w:eastAsia="Arial" w:hAnsi="Arial"/>
          <w:sz w:val="17"/>
          <w:szCs w:val="17"/>
          <w:u w:val="single" w:color="auto"/>
          <w:color w:val="auto"/>
        </w:rPr>
        <w:t>Secondary Shares</w:t>
      </w:r>
      <w:r>
        <w:rPr>
          <w:rFonts w:ascii="Arial" w:cs="Arial" w:eastAsia="Arial" w:hAnsi="Arial"/>
          <w:sz w:val="17"/>
          <w:szCs w:val="17"/>
          <w:color w:val="auto"/>
        </w:rPr>
        <w:t>”), which consist of up to (1) 6,846,667 shares of Class A Common Stock held by the Sponsor (as defined below) as founder shares, (2) 12,500,000 shares of Class A Common Stock issued pursuant to the Subscription Agreements (as defined below), (3) 203,333 shares of Class A Common Stock issuable upon exercise of the Secondary Warrants, (4) 610,000 shares of Class A Common Stock issued pursuant to the Unit Subscription Agreement (as defined below), and (5) 50,204,353 shares of Class A Common Stock (the “</w:t>
      </w:r>
      <w:r>
        <w:rPr>
          <w:rFonts w:ascii="Arial" w:cs="Arial" w:eastAsia="Arial" w:hAnsi="Arial"/>
          <w:sz w:val="17"/>
          <w:szCs w:val="17"/>
          <w:u w:val="single" w:color="auto"/>
          <w:color w:val="auto"/>
        </w:rPr>
        <w:t>Exchange Shares</w:t>
      </w:r>
      <w:r>
        <w:rPr>
          <w:rFonts w:ascii="Arial" w:cs="Arial" w:eastAsia="Arial" w:hAnsi="Arial"/>
          <w:sz w:val="17"/>
          <w:szCs w:val="17"/>
          <w:color w:val="auto"/>
        </w:rPr>
        <w:t>”) issuable pursuant to the terms of the LPA (as defined below). The Warrant Shares, the Secondary Warrants and the Secondary Shares are collectively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Secondary Shares were issued or will be issued pursuant to the following agreements (the “</w:t>
      </w:r>
      <w:r>
        <w:rPr>
          <w:rFonts w:ascii="Arial" w:cs="Arial" w:eastAsia="Arial" w:hAnsi="Arial"/>
          <w:sz w:val="18"/>
          <w:szCs w:val="18"/>
          <w:u w:val="single" w:color="auto"/>
          <w:color w:val="auto"/>
        </w:rPr>
        <w:t>Share Agreements</w:t>
      </w:r>
      <w:r>
        <w:rPr>
          <w:rFonts w:ascii="Arial" w:cs="Arial" w:eastAsia="Arial" w:hAnsi="Arial"/>
          <w:sz w:val="18"/>
          <w:szCs w:val="18"/>
          <w:color w:val="auto"/>
        </w:rPr>
        <w:t>” and, collectively with the Warrant Agreement, the “</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(i) those certain Subscription Agreements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entered into between the Company and certain of the Selling Stockholders as are listed on Schedule A to the Merger Secretary’s Certificate (as defined below); (ii) the Unit Subscription</w:t>
      </w:r>
    </w:p>
    <w:p>
      <w:pPr>
        <w:sectPr>
          <w:pgSz w:w="11900" w:h="16838" w:orient="portrait"/>
          <w:cols w:equalWidth="0" w:num="1">
            <w:col w:w="11020"/>
          </w:cols>
          <w:pgMar w:left="440" w:top="121" w:right="439" w:bottom="1440" w:gutter="0" w:footer="0" w:header="0"/>
          <w:type w:val="continuous"/>
        </w:sectPr>
      </w:pPr>
    </w:p>
    <w:bookmarkStart w:id="341" w:name="page342"/>
    <w:bookmarkEnd w:id="3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Agreement, dated as of September 24, 2020 (the “</w:t>
      </w:r>
      <w:r>
        <w:rPr>
          <w:rFonts w:ascii="Arial" w:cs="Arial" w:eastAsia="Arial" w:hAnsi="Arial"/>
          <w:sz w:val="18"/>
          <w:szCs w:val="18"/>
          <w:u w:val="single" w:color="auto"/>
          <w:color w:val="auto"/>
        </w:rPr>
        <w:t>Unit Subscription Agreement</w:t>
      </w:r>
      <w:r>
        <w:rPr>
          <w:rFonts w:ascii="Arial" w:cs="Arial" w:eastAsia="Arial" w:hAnsi="Arial"/>
          <w:sz w:val="18"/>
          <w:szCs w:val="18"/>
          <w:color w:val="auto"/>
        </w:rPr>
        <w:t>”), between the Company, and FinTech Investor Holdings IV, LLC, a Delaware limited liability company, and FinTech Masala Advisors, LLC, a Delaware limited liability company (collectively, the “</w:t>
      </w:r>
      <w:r>
        <w:rPr>
          <w:rFonts w:ascii="Arial" w:cs="Arial" w:eastAsia="Arial" w:hAnsi="Arial"/>
          <w:sz w:val="18"/>
          <w:szCs w:val="18"/>
          <w:u w:val="single" w:color="auto"/>
          <w:color w:val="auto"/>
        </w:rPr>
        <w:t>Sponsor</w:t>
      </w:r>
      <w:r>
        <w:rPr>
          <w:rFonts w:ascii="Arial" w:cs="Arial" w:eastAsia="Arial" w:hAnsi="Arial"/>
          <w:sz w:val="18"/>
          <w:szCs w:val="18"/>
          <w:color w:val="auto"/>
        </w:rPr>
        <w:t>”); and (iii) the Amended and Restated Limited Partnership Agreement, dated as of June 24, 2021 (the “</w:t>
      </w:r>
      <w:r>
        <w:rPr>
          <w:rFonts w:ascii="Arial" w:cs="Arial" w:eastAsia="Arial" w:hAnsi="Arial"/>
          <w:sz w:val="18"/>
          <w:szCs w:val="18"/>
          <w:u w:val="single" w:color="auto"/>
          <w:color w:val="auto"/>
        </w:rPr>
        <w:t>LPA</w:t>
      </w:r>
      <w:r>
        <w:rPr>
          <w:rFonts w:ascii="Arial" w:cs="Arial" w:eastAsia="Arial" w:hAnsi="Arial"/>
          <w:sz w:val="18"/>
          <w:szCs w:val="18"/>
          <w:color w:val="auto"/>
        </w:rPr>
        <w:t>”), of PWP Holdings LP, a Delaware limited partnership (as the same may be amended, modified or restated from time to time).</w:t>
      </w:r>
    </w:p>
    <w:p>
      <w:pPr>
        <w:spacing w:after="0" w:line="18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225" w:lineRule="exact"/>
        <w:rPr>
          <w:sz w:val="20"/>
          <w:szCs w:val="20"/>
          <w:color w:val="auto"/>
        </w:rPr>
      </w:pPr>
    </w:p>
    <w:p>
      <w:pPr>
        <w:jc w:val="both"/>
        <w:ind w:right="60" w:firstLine="987"/>
        <w:spacing w:after="0" w:line="301" w:lineRule="auto"/>
        <w:tabs>
          <w:tab w:leader="none" w:pos="137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registration statement on Form S-1 of the Company relating to the Securities filed on the date hereof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allowing for delayed offerings pursuant to Rule 415 of the General Rules and Regulations under the Securities Act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including the information deemed to be a part of the registration statement pursuant to Rule 430B of the Rules and Regulations (such registration statement being hereinafter referred to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right="240" w:firstLine="987"/>
        <w:spacing w:after="0" w:line="277" w:lineRule="auto"/>
        <w:tabs>
          <w:tab w:leader="none" w:pos="138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executed copy of a certificate of James J. McEntee, III, President and Secretary of the Company, dated September 29 (the “</w:t>
      </w:r>
      <w:r>
        <w:rPr>
          <w:rFonts w:ascii="Arial" w:cs="Arial" w:eastAsia="Arial" w:hAnsi="Arial"/>
          <w:sz w:val="18"/>
          <w:szCs w:val="18"/>
          <w:u w:val="single" w:color="auto"/>
          <w:color w:val="auto"/>
        </w:rPr>
        <w:t>IPO</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987"/>
        <w:spacing w:after="0" w:line="277" w:lineRule="auto"/>
        <w:tabs>
          <w:tab w:leader="none" w:pos="137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executed copy of a certificate of James J. McEntee, III, President and Secretary of the Company, dated June 24, 2021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 executed copy of a certificate of Gary Barancik, Chief Financial Officer and Partner of the Company, dated the date hereof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and, collectively with the IPO Secretary’s Certificate and the Merger Secretary’s Certificate, the “</w:t>
      </w:r>
      <w:r>
        <w:rPr>
          <w:rFonts w:ascii="Arial" w:cs="Arial" w:eastAsia="Arial" w:hAnsi="Arial"/>
          <w:sz w:val="18"/>
          <w:szCs w:val="18"/>
          <w:u w:val="single" w:color="auto"/>
          <w:color w:val="auto"/>
        </w:rPr>
        <w:t>Officer Certificates</w:t>
      </w:r>
      <w:r>
        <w:rPr>
          <w:rFonts w:ascii="Arial" w:cs="Arial" w:eastAsia="Arial" w:hAnsi="Arial"/>
          <w:sz w:val="18"/>
          <w:szCs w:val="18"/>
          <w:color w:val="auto"/>
        </w:rPr>
        <w:t>”);</w:t>
      </w:r>
    </w:p>
    <w:p>
      <w:pPr>
        <w:spacing w:after="0" w:line="211" w:lineRule="exact"/>
        <w:rPr>
          <w:sz w:val="20"/>
          <w:szCs w:val="20"/>
          <w:color w:val="auto"/>
        </w:rPr>
      </w:pPr>
    </w:p>
    <w:p>
      <w:pPr>
        <w:ind w:right="40" w:firstLine="987"/>
        <w:spacing w:after="0" w:line="277" w:lineRule="auto"/>
        <w:tabs>
          <w:tab w:leader="none" w:pos="137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copy of the Company’s Certificate of Incorporation, as amended on June 13, 2019, certified by the Secretary of State of the State of Delaware as of November 20, 2018, as in effect as of the date of each of the IPO Board Resolution (as defined below);</w:t>
      </w:r>
    </w:p>
    <w:p>
      <w:pPr>
        <w:spacing w:after="0" w:line="170" w:lineRule="exact"/>
        <w:rPr>
          <w:rFonts w:ascii="Arial" w:cs="Arial" w:eastAsia="Arial" w:hAnsi="Arial"/>
          <w:sz w:val="18"/>
          <w:szCs w:val="18"/>
          <w:color w:val="auto"/>
        </w:rPr>
      </w:pPr>
    </w:p>
    <w:p>
      <w:pPr>
        <w:ind w:right="780" w:firstLine="987"/>
        <w:spacing w:after="0" w:line="277" w:lineRule="auto"/>
        <w:tabs>
          <w:tab w:leader="none" w:pos="135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copy of the Company’s Amended and Restated Certificate of Incorporation as in effect as of the date of the Merger Board Resolutions (as defined below), and certified pursuant to the IPO Secretary’s Certificate;</w:t>
      </w:r>
    </w:p>
    <w:p>
      <w:pPr>
        <w:spacing w:after="0" w:line="170" w:lineRule="exact"/>
        <w:rPr>
          <w:rFonts w:ascii="Arial" w:cs="Arial" w:eastAsia="Arial" w:hAnsi="Arial"/>
          <w:sz w:val="18"/>
          <w:szCs w:val="18"/>
          <w:color w:val="auto"/>
        </w:rPr>
      </w:pPr>
    </w:p>
    <w:p>
      <w:pPr>
        <w:ind w:right="140" w:firstLine="987"/>
        <w:spacing w:after="0" w:line="277" w:lineRule="auto"/>
        <w:tabs>
          <w:tab w:leader="none" w:pos="138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copy of the Company’s Second Amended and Restated Certificate of Incorporation, certified by the Secretary of State of the State of Delaware as of the date hereof, and certified pursuant to the Officer’s Certificate;</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copy of the Company’s Bylaws, as amended and in effect as of the date of each of the IPO Board Resolutions;</w:t>
      </w:r>
    </w:p>
    <w:p>
      <w:pPr>
        <w:sectPr>
          <w:pgSz w:w="11900" w:h="16838" w:orient="portrait"/>
          <w:cols w:equalWidth="0" w:num="1">
            <w:col w:w="11000"/>
          </w:cols>
          <w:pgMar w:left="440" w:top="274" w:right="459" w:bottom="1440" w:gutter="0" w:footer="0" w:header="0"/>
        </w:sectPr>
      </w:pPr>
    </w:p>
    <w:bookmarkStart w:id="342" w:name="page343"/>
    <w:bookmarkEnd w:id="34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15,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right="80" w:firstLine="987"/>
        <w:spacing w:after="0" w:line="277" w:lineRule="auto"/>
        <w:tabs>
          <w:tab w:leader="none" w:pos="134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the Company’s Bylaws, as amended and in effect as of the date of the Merger Board Resolutions, and certified pursuant to the IPO Secretary’s Certificate;</w:t>
      </w:r>
    </w:p>
    <w:p>
      <w:pPr>
        <w:spacing w:after="0" w:line="170" w:lineRule="exact"/>
        <w:rPr>
          <w:rFonts w:ascii="Arial" w:cs="Arial" w:eastAsia="Arial" w:hAnsi="Arial"/>
          <w:sz w:val="18"/>
          <w:szCs w:val="18"/>
          <w:color w:val="auto"/>
        </w:rPr>
      </w:pPr>
    </w:p>
    <w:p>
      <w:pPr>
        <w:ind w:left="4" w:firstLine="987"/>
        <w:spacing w:after="0" w:line="277" w:lineRule="auto"/>
        <w:tabs>
          <w:tab w:leader="none" w:pos="134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the Company’s Amended and Restated Bylaws, as amended and in effect as of the date hereof, and certified pursuant to the Officer’s Certificate;</w:t>
      </w:r>
    </w:p>
    <w:p>
      <w:pPr>
        <w:spacing w:after="0" w:line="170" w:lineRule="exact"/>
        <w:rPr>
          <w:rFonts w:ascii="Arial" w:cs="Arial" w:eastAsia="Arial" w:hAnsi="Arial"/>
          <w:sz w:val="18"/>
          <w:szCs w:val="18"/>
          <w:color w:val="auto"/>
        </w:rPr>
      </w:pPr>
    </w:p>
    <w:p>
      <w:pPr>
        <w:ind w:left="4" w:right="40" w:firstLine="987"/>
        <w:spacing w:after="0" w:line="291" w:lineRule="auto"/>
        <w:tabs>
          <w:tab w:leader="none" w:pos="1385"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 copy of certain resolutions of the Board of Directors of the Company, adopted on: (i) November 20, 2018, May 14, 2019, June 12, 2019, August 7, 2020 and September 24, 2020 (collectively, the “</w:t>
      </w:r>
      <w:r>
        <w:rPr>
          <w:rFonts w:ascii="Arial" w:cs="Arial" w:eastAsia="Arial" w:hAnsi="Arial"/>
          <w:sz w:val="16"/>
          <w:szCs w:val="16"/>
          <w:u w:val="single" w:color="auto"/>
          <w:color w:val="auto"/>
        </w:rPr>
        <w:t>IPO Board Resolutions</w:t>
      </w:r>
      <w:r>
        <w:rPr>
          <w:rFonts w:ascii="Arial" w:cs="Arial" w:eastAsia="Arial" w:hAnsi="Arial"/>
          <w:sz w:val="16"/>
          <w:szCs w:val="16"/>
          <w:color w:val="auto"/>
        </w:rPr>
        <w:t>”), certified pursuant to the IPO Secretary’s Certificate;</w:t>
      </w:r>
    </w:p>
    <w:p>
      <w:pPr>
        <w:ind w:left="264" w:hanging="264"/>
        <w:spacing w:after="0"/>
        <w:tabs>
          <w:tab w:leader="none" w:pos="26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December 28, 2020, May 3, 2021 and June 23, 2021 (the “</w:t>
      </w:r>
      <w:r>
        <w:rPr>
          <w:rFonts w:ascii="Arial" w:cs="Arial" w:eastAsia="Arial" w:hAnsi="Arial"/>
          <w:sz w:val="16"/>
          <w:szCs w:val="16"/>
          <w:u w:val="single" w:color="auto"/>
          <w:color w:val="auto"/>
        </w:rPr>
        <w:t>Merger Board Resolutions</w:t>
      </w:r>
      <w:r>
        <w:rPr>
          <w:rFonts w:ascii="Arial" w:cs="Arial" w:eastAsia="Arial" w:hAnsi="Arial"/>
          <w:sz w:val="16"/>
          <w:szCs w:val="16"/>
          <w:color w:val="auto"/>
        </w:rPr>
        <w:t>”), certified pursuant to the Merger Secretary’s Certificate; and</w:t>
      </w:r>
    </w:p>
    <w:p>
      <w:pPr>
        <w:spacing w:after="0" w:line="32" w:lineRule="exact"/>
        <w:rPr>
          <w:rFonts w:ascii="Arial" w:cs="Arial" w:eastAsia="Arial" w:hAnsi="Arial"/>
          <w:sz w:val="16"/>
          <w:szCs w:val="16"/>
          <w:color w:val="auto"/>
        </w:rPr>
      </w:pPr>
    </w:p>
    <w:p>
      <w:pPr>
        <w:ind w:left="324" w:hanging="324"/>
        <w:spacing w:after="0"/>
        <w:tabs>
          <w:tab w:leader="none" w:pos="3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June 24. 2021, certified pursuant to the Officer’s Certificate;</w:t>
      </w:r>
    </w:p>
    <w:p>
      <w:pPr>
        <w:spacing w:after="0" w:line="210" w:lineRule="exact"/>
        <w:rPr>
          <w:rFonts w:ascii="Arial" w:cs="Arial" w:eastAsia="Arial" w:hAnsi="Arial"/>
          <w:sz w:val="18"/>
          <w:szCs w:val="18"/>
          <w:color w:val="auto"/>
        </w:rPr>
      </w:pPr>
    </w:p>
    <w:p>
      <w:pPr>
        <w:ind w:left="1344" w:hanging="353"/>
        <w:spacing w:after="0"/>
        <w:tabs>
          <w:tab w:leader="none" w:pos="134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 executed copy of the Warrant Agreement;</w:t>
      </w:r>
    </w:p>
    <w:p>
      <w:pPr>
        <w:spacing w:after="0" w:line="225" w:lineRule="exact"/>
        <w:rPr>
          <w:rFonts w:ascii="Arial" w:cs="Arial" w:eastAsia="Arial" w:hAnsi="Arial"/>
          <w:sz w:val="18"/>
          <w:szCs w:val="18"/>
          <w:color w:val="auto"/>
        </w:rPr>
      </w:pPr>
    </w:p>
    <w:p>
      <w:pPr>
        <w:ind w:left="1424" w:hanging="433"/>
        <w:spacing w:after="0"/>
        <w:tabs>
          <w:tab w:leader="none" w:pos="142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executed copies of the Share Agreements; and</w:t>
      </w:r>
    </w:p>
    <w:p>
      <w:pPr>
        <w:spacing w:after="0" w:line="225" w:lineRule="exact"/>
        <w:rPr>
          <w:rFonts w:ascii="Arial" w:cs="Arial" w:eastAsia="Arial" w:hAnsi="Arial"/>
          <w:sz w:val="18"/>
          <w:szCs w:val="18"/>
          <w:color w:val="auto"/>
        </w:rPr>
      </w:pPr>
    </w:p>
    <w:p>
      <w:pPr>
        <w:ind w:left="4" w:right="120" w:firstLine="987"/>
        <w:spacing w:after="0" w:line="277" w:lineRule="auto"/>
        <w:tabs>
          <w:tab w:leader="none" w:pos="138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certificate, dated July 15, 2021, from the Secretary of State of the State of Delaware with respect to the Company’s existence and good standing in the State of Delaware.</w:t>
      </w:r>
    </w:p>
    <w:p>
      <w:pPr>
        <w:spacing w:after="0" w:line="170"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the Selling Stockholders and such agreements, certificates and receipts of public officials, certificates of officers or other representatives of the Company and the Selling Stockholders and others, and such other documents as we have deemed necessary or appropriate as a basis for the opinions stated below, including the facts and conclusions set forth in the Officer’s Certificates.</w:t>
      </w:r>
    </w:p>
    <w:p>
      <w:pPr>
        <w:spacing w:after="0" w:line="187"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 set forth in paragraph 2 below, we have assumed that (i) the Company received (or, in the case of the Exchange Shares, will receive at issuance) the consideration for the Secondary Shares set forth in the applicable Transaction Agreements and the applicable board resolutions and (ii) the issuance of the Secondary Shares has been registered (or, in the case of the Exchange Shares, will be registered) in the Company’s share registry. As to any facts relevant to the opinions stated herein that we did not independently establish or verify, we have relied upon statements and representations of officers and other representatives of the Company and the Selling Stockholders and others and of public officials, including those in the Officer’s Certificates.</w:t>
      </w:r>
    </w:p>
    <w:p>
      <w:pPr>
        <w:spacing w:after="0" w:line="16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(i) the laws of the State of New York and (ii)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(all of the foregoing being referred to as “</w:t>
      </w:r>
      <w:r>
        <w:rPr>
          <w:rFonts w:ascii="Arial" w:cs="Arial" w:eastAsia="Arial" w:hAnsi="Arial"/>
          <w:sz w:val="18"/>
          <w:szCs w:val="18"/>
          <w:u w:val="single" w:color="auto"/>
          <w:color w:val="auto"/>
        </w:rPr>
        <w:t>Opined-on Law</w:t>
      </w:r>
      <w:r>
        <w:rPr>
          <w:rFonts w:ascii="Arial" w:cs="Arial" w:eastAsia="Arial" w:hAnsi="Arial"/>
          <w:sz w:val="18"/>
          <w:szCs w:val="18"/>
          <w:color w:val="auto"/>
        </w:rPr>
        <w:t>”).</w:t>
      </w:r>
    </w:p>
    <w:p>
      <w:pPr>
        <w:sectPr>
          <w:pgSz w:w="11900" w:h="16838" w:orient="portrait"/>
          <w:cols w:equalWidth="0" w:num="1">
            <w:col w:w="10924"/>
          </w:cols>
          <w:pgMar w:left="436" w:top="274" w:right="5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ind w:right="240" w:firstLine="436"/>
        <w:spacing w:after="0" w:line="259" w:lineRule="auto"/>
        <w:tabs>
          <w:tab w:leader="none" w:pos="7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When the Registration Statement, as finally amended (including all necessary post-effective amendments), has become effective under the Securities Act, the Warrant Shares, when issued in accordance with the terms of the Warrant Agreement by the Company against payment of the exercise price therefor and registered in the Company’s share registry, will be validly issued, fully paid and nonassessable, provided that the consideration therefor is not less than $0.0001 per share.</w:t>
      </w:r>
    </w:p>
    <w:p>
      <w:pPr>
        <w:spacing w:after="0" w:line="186" w:lineRule="exact"/>
        <w:rPr>
          <w:rFonts w:ascii="Arial" w:cs="Arial" w:eastAsia="Arial" w:hAnsi="Arial"/>
          <w:sz w:val="18"/>
          <w:szCs w:val="18"/>
          <w:color w:val="auto"/>
        </w:rPr>
      </w:pPr>
    </w:p>
    <w:p>
      <w:pPr>
        <w:ind w:right="320" w:firstLine="436"/>
        <w:spacing w:after="0" w:line="259" w:lineRule="auto"/>
        <w:tabs>
          <w:tab w:leader="none" w:pos="7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Secondary Shares (except for the Exchange Shares) have been duly authorized by all requisite corporate action on the part of the Company under the DGCL and have been validly issued and are fully paid and nonassessable. When the Exchange Shares being sold by the Selling Stockholders are issued, in accordance with the terms of the LPA in exchange for Class A Partnership Units and Class B Common Stock of PWP Holdings LP, will be validly issued, fully paid and nonassessable.</w:t>
      </w:r>
    </w:p>
    <w:p>
      <w:pPr>
        <w:spacing w:after="0" w:line="186" w:lineRule="exact"/>
        <w:rPr>
          <w:rFonts w:ascii="Arial" w:cs="Arial" w:eastAsia="Arial" w:hAnsi="Arial"/>
          <w:sz w:val="18"/>
          <w:szCs w:val="18"/>
          <w:color w:val="auto"/>
        </w:rPr>
      </w:pPr>
    </w:p>
    <w:p>
      <w:pPr>
        <w:ind w:right="60" w:firstLine="436"/>
        <w:spacing w:after="0" w:line="277" w:lineRule="auto"/>
        <w:tabs>
          <w:tab w:leader="none" w:pos="7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Secondary Warrants constitute valid and binding obligations of the Company, enforceable against the Company in accordance with their terms under the laws of the State of New York.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225" w:lineRule="exact"/>
        <w:rPr>
          <w:sz w:val="20"/>
          <w:szCs w:val="20"/>
          <w:color w:val="auto"/>
        </w:rPr>
      </w:pPr>
    </w:p>
    <w:p>
      <w:pPr>
        <w:ind w:right="80" w:firstLine="987"/>
        <w:spacing w:after="0" w:line="311" w:lineRule="auto"/>
        <w:tabs>
          <w:tab w:leader="none" w:pos="137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orders and by general principles of equity (regardless of whether enforcement is sought in equity or at law);</w:t>
      </w:r>
    </w:p>
    <w:p>
      <w:pPr>
        <w:spacing w:after="0" w:line="148" w:lineRule="exact"/>
        <w:rPr>
          <w:rFonts w:ascii="Arial" w:cs="Arial" w:eastAsia="Arial" w:hAnsi="Arial"/>
          <w:sz w:val="16"/>
          <w:szCs w:val="16"/>
          <w:color w:val="auto"/>
        </w:rPr>
      </w:pPr>
    </w:p>
    <w:p>
      <w:pPr>
        <w:ind w:right="220" w:firstLine="987"/>
        <w:spacing w:after="0" w:line="286" w:lineRule="auto"/>
        <w:tabs>
          <w:tab w:leader="none" w:pos="138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we do not express any opinion with respect to any law, rule or regulation that is applicable to any party to any of the Transaction Agreements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65" w:lineRule="exact"/>
        <w:rPr>
          <w:rFonts w:ascii="Arial" w:cs="Arial" w:eastAsia="Arial" w:hAnsi="Arial"/>
          <w:sz w:val="17"/>
          <w:szCs w:val="17"/>
          <w:color w:val="auto"/>
        </w:rPr>
      </w:pPr>
    </w:p>
    <w:p>
      <w:pPr>
        <w:ind w:right="160" w:firstLine="987"/>
        <w:spacing w:after="0" w:line="342" w:lineRule="auto"/>
        <w:tabs>
          <w:tab w:leader="none" w:pos="137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opinions contained herein, we have assumed that each of the Transaction Agreements constitutes the valid and binding obligation of each party to such Transaction Agreement, enforceable against such party in accordance with its terms;</w:t>
      </w:r>
    </w:p>
    <w:p>
      <w:pPr>
        <w:spacing w:after="0" w:line="123" w:lineRule="exact"/>
        <w:rPr>
          <w:rFonts w:ascii="Arial" w:cs="Arial" w:eastAsia="Arial" w:hAnsi="Arial"/>
          <w:sz w:val="16"/>
          <w:szCs w:val="16"/>
          <w:color w:val="auto"/>
        </w:rPr>
      </w:pPr>
    </w:p>
    <w:p>
      <w:pPr>
        <w:ind w:firstLine="987"/>
        <w:spacing w:after="0" w:line="259" w:lineRule="auto"/>
        <w:tabs>
          <w:tab w:leader="none" w:pos="13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Agreement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ectPr>
          <w:pgSz w:w="11900" w:h="16838" w:orient="portrait"/>
          <w:cols w:equalWidth="0" w:num="1">
            <w:col w:w="10940"/>
          </w:cols>
          <w:pgMar w:left="440" w:top="274" w:right="51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right="40" w:firstLine="987"/>
        <w:spacing w:after="0" w:line="263" w:lineRule="auto"/>
        <w:tabs>
          <w:tab w:leader="none" w:pos="137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the Warrant Agreement with respect to the choice of law or the choice of forum of the parties to such Warrant Agreement and we have assumed that such choices are valid and effective under all applicable laws; and</w:t>
      </w:r>
    </w:p>
    <w:p>
      <w:pPr>
        <w:spacing w:after="0" w:line="183" w:lineRule="exact"/>
        <w:rPr>
          <w:rFonts w:ascii="Arial" w:cs="Arial" w:eastAsia="Arial" w:hAnsi="Arial"/>
          <w:sz w:val="18"/>
          <w:szCs w:val="18"/>
          <w:color w:val="auto"/>
        </w:rPr>
      </w:pPr>
    </w:p>
    <w:p>
      <w:pPr>
        <w:ind w:right="240" w:firstLine="987"/>
        <w:spacing w:after="0" w:line="259" w:lineRule="auto"/>
        <w:tabs>
          <w:tab w:leader="none" w:pos="135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we call to your attention that irrespective of any agreement the parties may have to the Warrant Agreement,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the Warrant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in rendering the foregoing opinions we have assumed that, at all applicable times:</w:t>
      </w:r>
    </w:p>
    <w:p>
      <w:pPr>
        <w:spacing w:after="0" w:line="225" w:lineRule="exact"/>
        <w:rPr>
          <w:sz w:val="20"/>
          <w:szCs w:val="20"/>
          <w:color w:val="auto"/>
        </w:rPr>
      </w:pPr>
    </w:p>
    <w:p>
      <w:pPr>
        <w:ind w:firstLine="987"/>
        <w:spacing w:after="0" w:line="272" w:lineRule="auto"/>
        <w:tabs>
          <w:tab w:leader="none" w:pos="137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performance by the Company of its obligations thereunder, including the issuance or sale, as applicable, of the Securities: (i) constituted or will constitute a violation of, or a default under, any lease, indenture, instrument or other agreement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(ii) contravened or will contravene any order or decree of any governmental authority to which the Company or its property is subject, or (iii) violated or will violate any law, rule or regulation to which the Company or its property is subject (except that we do not make the assumption set forth in this clause (iii) with respect to the Opined-on Law);</w:t>
      </w:r>
    </w:p>
    <w:p>
      <w:pPr>
        <w:spacing w:after="0" w:line="177" w:lineRule="exact"/>
        <w:rPr>
          <w:rFonts w:ascii="Arial" w:cs="Arial" w:eastAsia="Arial" w:hAnsi="Arial"/>
          <w:sz w:val="17"/>
          <w:szCs w:val="17"/>
          <w:color w:val="auto"/>
        </w:rPr>
      </w:pPr>
    </w:p>
    <w:p>
      <w:pPr>
        <w:ind w:right="260" w:firstLine="987"/>
        <w:spacing w:after="0" w:line="279" w:lineRule="auto"/>
        <w:tabs>
          <w:tab w:leader="none" w:pos="138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performance by the Company of its obligations thereunder, including the issuance or sale, as applicable, of the Securities, required or will require the consent, approval, licensing or authorization of, or any filing, recording or registration with, any governmental authority under any law, rule or regulation of any jurisdiction (except that we do not make the assumption set forth in this clause (b) with respect to the Opined-on Law); and</w:t>
      </w:r>
    </w:p>
    <w:p>
      <w:pPr>
        <w:spacing w:after="0" w:line="171" w:lineRule="exact"/>
        <w:rPr>
          <w:rFonts w:ascii="Arial" w:cs="Arial" w:eastAsia="Arial" w:hAnsi="Arial"/>
          <w:sz w:val="17"/>
          <w:szCs w:val="17"/>
          <w:color w:val="auto"/>
        </w:rPr>
      </w:pPr>
    </w:p>
    <w:p>
      <w:pPr>
        <w:ind w:right="20" w:firstLine="987"/>
        <w:spacing w:after="0" w:line="259" w:lineRule="auto"/>
        <w:tabs>
          <w:tab w:leader="none" w:pos="137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issuance of the Warrant Shares and the Secondary Shares does not or will not violate or conflict with any agreement or instrument binding on the Company (except that we do not make this assumption with respect to the Company’s Second Amended and Restated Certificate of Incorporation, the Company’s Amended and Restated Bylaws, the Transaction Agreements or those agreements or instruments expressed to be governed by the laws of the State of New York which are listed in Part II of the Registration Statement).</w:t>
      </w:r>
    </w:p>
    <w:p>
      <w:pPr>
        <w:sectPr>
          <w:pgSz w:w="11900" w:h="16838" w:orient="portrait"/>
          <w:cols w:equalWidth="0" w:num="1">
            <w:col w:w="11000"/>
          </w:cols>
          <w:pgMar w:left="440" w:top="274" w:right="45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0820"/>
          </w:cols>
          <w:pgMar w:left="440" w:top="274" w:right="6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hereby consent to the use in this Registration Statement on Form S-1, of our report dated May 4, 2021, relating to the balance sheets of FinTech Acquisition Corp. IV as of December 31, 2020 and 2019, and the related statements of operations, changes in stockholders’ equity and cash flows for the years ended December 31, 2020 and 2019, and to the reference to our Firm under the caption “Experts” in the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ectPr>
          <w:pgSz w:w="11900" w:h="16838" w:orient="portrait"/>
          <w:cols w:equalWidth="0" w:num="1">
            <w:col w:w="11020"/>
          </w:cols>
          <w:pgMar w:left="440" w:top="121" w:right="43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March 10, 2021, with respect to the consolidated financial statements of PWP Holdings LP and Subsidiaries included in the Registration Statement (Form S-1) and related Prospectus of Perella Weinberg Partners for the registration of 78,234,353 shares of its Class A Common Stock and 203,333 Warrants to purchase its Class A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decimal"/>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lvl w:ilvl="1">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1)"/>
      <w:numFmt w:val="lowerRoman"/>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1)"/>
      <w:numFmt w:val="decimal"/>
      <w:start w:val="1"/>
    </w:lvl>
  </w:abstractNum>
  <w:abstractNum w:abstractNumId="15">
    <w:nsid w:val="50801EE1"/>
    <w:multiLevelType w:val="hybridMultilevel"/>
    <w:lvl w:ilvl="0">
      <w:lvlJc w:val="left"/>
      <w:lvlText w:val="(%1)"/>
      <w:numFmt w:val="decimal"/>
      <w:start w:val="1"/>
    </w:lvl>
  </w:abstractNum>
  <w:abstractNum w:abstractNumId="16">
    <w:nsid w:val="488AC1A"/>
    <w:multiLevelType w:val="hybridMultilevel"/>
    <w:lvl w:ilvl="0">
      <w:lvlJc w:val="left"/>
      <w:lvlText w:val="(%1)"/>
      <w:numFmt w:val="decimal"/>
      <w:start w:val="1"/>
    </w:lvl>
  </w:abstractNum>
  <w:abstractNum w:abstractNumId="17">
    <w:nsid w:val="5FB8011C"/>
    <w:multiLevelType w:val="hybridMultilevel"/>
    <w:lvl w:ilvl="0">
      <w:lvlJc w:val="left"/>
      <w:lvlText w:val="•"/>
      <w:numFmt w:val="bullet"/>
      <w:start w:val="1"/>
    </w:lvl>
    <w:lvl w:ilvl="1">
      <w:lvlJc w:val="left"/>
      <w:lvlText w:val="(%2)"/>
      <w:numFmt w:val="lowerRoman"/>
      <w:start w:val="2"/>
    </w:lvl>
  </w:abstractNum>
  <w:abstractNum w:abstractNumId="18">
    <w:nsid w:val="6AA78F7F"/>
    <w:multiLevelType w:val="hybridMultilevel"/>
    <w:lvl w:ilvl="0">
      <w:lvlJc w:val="left"/>
      <w:lvlText w:val="•"/>
      <w:numFmt w:val="bullet"/>
      <w:start w:val="1"/>
    </w:lvl>
    <w:lvl w:ilvl="1">
      <w:lvlJc w:val="left"/>
      <w:lvlText w:val="(%2)"/>
      <w:numFmt w:val="lowerRoman"/>
      <w:start w:val="4"/>
    </w:lvl>
  </w:abstractNum>
  <w:abstractNum w:abstractNumId="19">
    <w:nsid w:val="7672BD23"/>
    <w:multiLevelType w:val="hybridMultilevel"/>
    <w:lvl w:ilvl="0">
      <w:lvlJc w:val="left"/>
      <w:lvlText w:val="•"/>
      <w:numFmt w:val="bullet"/>
      <w:start w:val="1"/>
    </w:lvl>
    <w:lvl w:ilvl="1">
      <w:lvlJc w:val="left"/>
      <w:lvlText w:val="(%2)"/>
      <w:numFmt w:val="lowerRoman"/>
      <w:start w:val="2"/>
    </w:lvl>
  </w:abstractNum>
  <w:abstractNum w:abstractNumId="20">
    <w:nsid w:val="6FC75AF8"/>
    <w:multiLevelType w:val="hybridMultilevel"/>
    <w:lvl w:ilvl="0">
      <w:lvlJc w:val="left"/>
      <w:lvlText w:val="(%1)"/>
      <w:numFmt w:val="decimal"/>
      <w:start w:val="1"/>
    </w:lvl>
  </w:abstractNum>
  <w:abstractNum w:abstractNumId="21">
    <w:nsid w:val="6A5F7029"/>
    <w:multiLevelType w:val="hybridMultilevel"/>
    <w:lvl w:ilvl="0">
      <w:lvlJc w:val="left"/>
      <w:lvlText w:val="(%1)"/>
      <w:numFmt w:val="decimal"/>
      <w:start w:val="1"/>
    </w:lvl>
    <w:lvl w:ilvl="1">
      <w:lvlJc w:val="left"/>
      <w:lvlText w:val="(%2)"/>
      <w:numFmt w:val="decimal"/>
      <w:start w:val="2"/>
    </w:lvl>
  </w:abstractNum>
  <w:abstractNum w:abstractNumId="22">
    <w:nsid w:val="7D5E18F8"/>
    <w:multiLevelType w:val="hybridMultilevel"/>
    <w:lvl w:ilvl="0">
      <w:lvlJc w:val="left"/>
      <w:lvlText w:val="(%1)"/>
      <w:numFmt w:val="decimal"/>
      <w:start w:val="1"/>
    </w:lvl>
  </w:abstractNum>
  <w:abstractNum w:abstractNumId="23">
    <w:nsid w:val="5F3534A4"/>
    <w:multiLevelType w:val="hybridMultilevel"/>
    <w:lvl w:ilvl="0">
      <w:lvlJc w:val="left"/>
      <w:lvlText w:val="(%1)"/>
      <w:numFmt w:val="lowerLetter"/>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1)"/>
      <w:numFmt w:val="decimal"/>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
      <w:numFmt w:val="bullet"/>
      <w:start w:val="1"/>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1)"/>
      <w:numFmt w:val="lowerRoman"/>
      <w:start w:val="2"/>
    </w:lvl>
  </w:abstractNum>
  <w:abstractNum w:abstractNumId="35">
    <w:nsid w:val="1D545C4D"/>
    <w:multiLevelType w:val="hybridMultilevel"/>
    <w:lvl w:ilvl="0">
      <w:lvlJc w:val="left"/>
      <w:lvlText w:val="(%1)"/>
      <w:numFmt w:val="lowerLetter"/>
      <w:start w:val="1"/>
    </w:lvl>
  </w:abstractNum>
  <w:abstractNum w:abstractNumId="36">
    <w:nsid w:val="59ADEA3D"/>
    <w:multiLevelType w:val="hybridMultilevel"/>
    <w:lvl w:ilvl="0">
      <w:lvlJc w:val="left"/>
      <w:lvlText w:val="(%1)"/>
      <w:numFmt w:val="upperLetter"/>
      <w:start w:val="4"/>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1)"/>
      <w:numFmt w:val="lowerRoman"/>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
      <w:numFmt w:val="bullet"/>
      <w:start w:val="1"/>
    </w:lvl>
  </w:abstractNum>
  <w:abstractNum w:abstractNumId="42">
    <w:nsid w:val="1CA0C5FA"/>
    <w:multiLevelType w:val="hybridMultilevel"/>
    <w:lvl w:ilvl="0">
      <w:lvlJc w:val="left"/>
      <w:lvlText w:val="%1."/>
      <w:numFmt w:val="decimal"/>
      <w:start w:val="2"/>
    </w:lvl>
  </w:abstractNum>
  <w:abstractNum w:abstractNumId="43">
    <w:nsid w:val="53584BCB"/>
    <w:multiLevelType w:val="hybridMultilevel"/>
    <w:lvl w:ilvl="0">
      <w:lvlJc w:val="left"/>
      <w:lvlText w:val="(%1)"/>
      <w:numFmt w:val="lowerLetter"/>
      <w:start w:val="1"/>
    </w:lvl>
  </w:abstractNum>
  <w:abstractNum w:abstractNumId="44">
    <w:nsid w:val="415E286C"/>
    <w:multiLevelType w:val="hybridMultilevel"/>
    <w:lvl w:ilvl="0">
      <w:lvlJc w:val="left"/>
      <w:lvlText w:val="(%1)"/>
      <w:numFmt w:val="lowerLetter"/>
      <w:start w:val="7"/>
    </w:lvl>
  </w:abstractNum>
  <w:abstractNum w:abstractNumId="45">
    <w:nsid w:val="7C58FD05"/>
    <w:multiLevelType w:val="hybridMultilevel"/>
    <w:lvl w:ilvl="0">
      <w:lvlJc w:val="left"/>
      <w:lvlText w:val="%1"/>
      <w:numFmt w:val="decimal"/>
      <w:start w:val="1"/>
    </w:lvl>
    <w:lvl w:ilvl="1">
      <w:lvlJc w:val="left"/>
      <w:lvlText w:val="(%2)"/>
      <w:numFmt w:val="lowerLetter"/>
      <w:start w:val="17"/>
    </w:lvl>
  </w:abstractNum>
  <w:abstractNum w:abstractNumId="46">
    <w:nsid w:val="23D86AAC"/>
    <w:multiLevelType w:val="hybridMultilevel"/>
    <w:lvl w:ilvl="0">
      <w:lvlJc w:val="left"/>
      <w:lvlText w:val="%1."/>
      <w:numFmt w:val="decimal"/>
      <w:start w:val="3"/>
    </w:lvl>
    <w:lvl w:ilvl="1">
      <w:lvlJc w:val="left"/>
      <w:lvlText w:val="%2"/>
      <w:numFmt w:val="lowerLetter"/>
      <w:start w:val="1"/>
    </w:lvl>
  </w:abstractNum>
  <w:abstractNum w:abstractNumId="47">
    <w:nsid w:val="45E6D486"/>
    <w:multiLevelType w:val="hybridMultilevel"/>
    <w:lvl w:ilvl="0">
      <w:lvlJc w:val="left"/>
      <w:lvlText w:val="(%1)"/>
      <w:numFmt w:val="lowerLetter"/>
      <w:start w:val="27"/>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
      <w:numFmt w:val="bullet"/>
      <w:start w:val="1"/>
    </w:lvl>
  </w:abstractNum>
  <w:abstractNum w:abstractNumId="51">
    <w:nsid w:val="4BD8591A"/>
    <w:multiLevelType w:val="hybridMultilevel"/>
    <w:lvl w:ilvl="0">
      <w:lvlJc w:val="left"/>
      <w:lvlText w:val="(%1)"/>
      <w:numFmt w:val="lowerLetter"/>
      <w:start w:val="34"/>
    </w:lvl>
  </w:abstractNum>
  <w:abstractNum w:abstractNumId="52">
    <w:nsid w:val="78DF6A55"/>
    <w:multiLevelType w:val="hybridMultilevel"/>
    <w:lvl w:ilvl="0">
      <w:lvlJc w:val="left"/>
      <w:lvlText w:val="%1"/>
      <w:numFmt w:val="decimal"/>
      <w:start w:val="1"/>
    </w:lvl>
    <w:lvl w:ilvl="1">
      <w:lvlJc w:val="left"/>
      <w:lvlText w:val="(%2)"/>
      <w:numFmt w:val="lowerLetter"/>
      <w:start w:val="39"/>
    </w:lvl>
  </w:abstractNum>
  <w:abstractNum w:abstractNumId="53">
    <w:nsid w:val="39B7AAA2"/>
    <w:multiLevelType w:val="hybridMultilevel"/>
    <w:lvl w:ilvl="0">
      <w:lvlJc w:val="left"/>
      <w:lvlText w:val="%1."/>
      <w:numFmt w:val="decimal"/>
      <w:start w:val="4"/>
    </w:lvl>
    <w:lvl w:ilvl="1">
      <w:lvlJc w:val="left"/>
      <w:lvlText w:val="%2"/>
      <w:numFmt w:val="lowerLetter"/>
      <w:start w:val="1"/>
    </w:lvl>
  </w:abstractNum>
  <w:abstractNum w:abstractNumId="54">
    <w:nsid w:val="2B0D8DBE"/>
    <w:multiLevelType w:val="hybridMultilevel"/>
    <w:lvl w:ilvl="0">
      <w:lvlJc w:val="left"/>
      <w:lvlText w:val="(%1)"/>
      <w:numFmt w:val="lowerLetter"/>
      <w:start w:val="40"/>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1)"/>
      <w:numFmt w:val="lowerLetter"/>
      <w:start w:val="47"/>
    </w:lvl>
  </w:abstractNum>
  <w:abstractNum w:abstractNumId="59">
    <w:nsid w:val="4C9B0904"/>
    <w:multiLevelType w:val="hybridMultilevel"/>
    <w:lvl w:ilvl="0">
      <w:lvlJc w:val="left"/>
      <w:lvlText w:val="•"/>
      <w:numFmt w:val="bullet"/>
      <w:start w:val="1"/>
    </w:lvl>
  </w:abstractNum>
  <w:abstractNum w:abstractNumId="60">
    <w:nsid w:val="6AA7B75C"/>
    <w:multiLevelType w:val="hybridMultilevel"/>
    <w:lvl w:ilvl="0">
      <w:lvlJc w:val="left"/>
      <w:lvlText w:val="(%1)"/>
      <w:numFmt w:val="decimal"/>
      <w:start w:val="1"/>
    </w:lvl>
  </w:abstractNum>
  <w:abstractNum w:abstractNumId="61">
    <w:nsid w:val="1DF029D3"/>
    <w:multiLevelType w:val="hybridMultilevel"/>
    <w:lvl w:ilvl="0">
      <w:lvlJc w:val="left"/>
      <w:lvlText w:val="(%1)"/>
      <w:numFmt w:val="lowerRoman"/>
      <w:start w:val="1"/>
    </w:lvl>
  </w:abstractNum>
  <w:abstractNum w:abstractNumId="62">
    <w:nsid w:val="5675FF36"/>
    <w:multiLevelType w:val="hybridMultilevel"/>
    <w:lvl w:ilvl="0">
      <w:lvlJc w:val="left"/>
      <w:lvlText w:val="(%1)"/>
      <w:numFmt w:val="decimal"/>
      <w:start w:val="1"/>
    </w:lvl>
  </w:abstractNum>
  <w:abstractNum w:abstractNumId="63">
    <w:nsid w:val="3DD15094"/>
    <w:multiLevelType w:val="hybridMultilevel"/>
    <w:lvl w:ilvl="0">
      <w:lvlJc w:val="left"/>
      <w:lvlText w:val="(%1)"/>
      <w:numFmt w:val="lowerRoman"/>
      <w:start w:val="1"/>
    </w:lvl>
  </w:abstractNum>
  <w:abstractNum w:abstractNumId="64">
    <w:nsid w:val="3DB012B3"/>
    <w:multiLevelType w:val="hybridMultilevel"/>
    <w:lvl w:ilvl="0">
      <w:lvlJc w:val="left"/>
      <w:lvlText w:val="•"/>
      <w:numFmt w:val="bullet"/>
      <w:start w:val="1"/>
    </w:lvl>
    <w:lvl w:ilvl="1">
      <w:lvlJc w:val="left"/>
      <w:lvlText w:val="(%2)"/>
      <w:numFmt w:val="upperLetter"/>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
      <w:numFmt w:val="bullet"/>
      <w:start w:val="1"/>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1)"/>
      <w:numFmt w:val="lowerLetter"/>
      <w:start w:val="3"/>
    </w:lvl>
  </w:abstractNum>
  <w:abstractNum w:abstractNumId="70">
    <w:nsid w:val="34FD6B4F"/>
    <w:multiLevelType w:val="hybridMultilevel"/>
    <w:lvl w:ilvl="0">
      <w:lvlJc w:val="left"/>
      <w:lvlText w:val="(%1)"/>
      <w:numFmt w:val="decimal"/>
      <w:start w:val="1"/>
    </w:lvl>
  </w:abstractNum>
  <w:abstractNum w:abstractNumId="71">
    <w:nsid w:val="5915FF32"/>
    <w:multiLevelType w:val="hybridMultilevel"/>
    <w:lvl w:ilvl="0">
      <w:lvlJc w:val="left"/>
      <w:lvlText w:val="(%1)"/>
      <w:numFmt w:val="lowerRoman"/>
      <w:start w:val="2"/>
    </w:lvl>
  </w:abstractNum>
  <w:abstractNum w:abstractNumId="72">
    <w:nsid w:val="56438D15"/>
    <w:multiLevelType w:val="hybridMultilevel"/>
    <w:lvl w:ilvl="0">
      <w:lvlJc w:val="left"/>
      <w:lvlText w:val="(%1)"/>
      <w:numFmt w:val="lowerRoman"/>
      <w:start w:val="1"/>
    </w:lvl>
  </w:abstractNum>
  <w:abstractNum w:abstractNumId="73">
    <w:nsid w:val="519E3149"/>
    <w:multiLevelType w:val="hybridMultilevel"/>
    <w:lvl w:ilvl="0">
      <w:lvlJc w:val="left"/>
      <w:lvlText w:val="•"/>
      <w:numFmt w:val="bullet"/>
      <w:start w:val="1"/>
    </w:lvl>
  </w:abstractNum>
  <w:abstractNum w:abstractNumId="74">
    <w:nsid w:val="2C6E4AFD"/>
    <w:multiLevelType w:val="hybridMultilevel"/>
    <w:lvl w:ilvl="0">
      <w:lvlJc w:val="left"/>
      <w:lvlText w:val="(%1)"/>
      <w:numFmt w:val="decimal"/>
      <w:start w:val="1"/>
    </w:lvl>
  </w:abstractNum>
  <w:abstractNum w:abstractNumId="75">
    <w:nsid w:val="17A1B582"/>
    <w:multiLevelType w:val="hybridMultilevel"/>
    <w:lvl w:ilvl="0">
      <w:lvlJc w:val="left"/>
      <w:lvlText w:val="•"/>
      <w:numFmt w:val="bullet"/>
      <w:start w:val="1"/>
    </w:lvl>
  </w:abstractNum>
  <w:abstractNum w:abstractNumId="76">
    <w:nsid w:val="4DF72E4E"/>
    <w:multiLevelType w:val="hybridMultilevel"/>
    <w:lvl w:ilvl="0">
      <w:lvlJc w:val="left"/>
      <w:lvlText w:val="(%1)"/>
      <w:numFmt w:val="decimal"/>
      <w:start w:val="1"/>
    </w:lvl>
  </w:abstractNum>
  <w:abstractNum w:abstractNumId="77">
    <w:nsid w:val="5046B5A9"/>
    <w:multiLevelType w:val="hybridMultilevel"/>
    <w:lvl w:ilvl="0">
      <w:lvlJc w:val="left"/>
      <w:lvlText w:val="(%1)"/>
      <w:numFmt w:val="decimal"/>
      <w:start w:val="5"/>
    </w:lvl>
  </w:abstractNum>
  <w:abstractNum w:abstractNumId="78">
    <w:nsid w:val="5D888A08"/>
    <w:multiLevelType w:val="hybridMultilevel"/>
    <w:lvl w:ilvl="0">
      <w:lvlJc w:val="left"/>
      <w:lvlText w:val="•"/>
      <w:numFmt w:val="bullet"/>
      <w:start w:val="1"/>
    </w:lvl>
  </w:abstractNum>
  <w:abstractNum w:abstractNumId="79">
    <w:nsid w:val="2A082C70"/>
    <w:multiLevelType w:val="hybridMultilevel"/>
    <w:lvl w:ilvl="0">
      <w:lvlJc w:val="left"/>
      <w:lvlText w:val="•"/>
      <w:numFmt w:val="bullet"/>
      <w:start w:val="1"/>
    </w:lvl>
  </w:abstractNum>
  <w:abstractNum w:abstractNumId="80">
    <w:nsid w:val="5EC6AFD4"/>
    <w:multiLevelType w:val="hybridMultilevel"/>
    <w:lvl w:ilvl="0">
      <w:lvlJc w:val="left"/>
      <w:lvlText w:val="(%1)"/>
      <w:numFmt w:val="decimal"/>
      <w:start w:val="1"/>
    </w:lvl>
  </w:abstractNum>
  <w:abstractNum w:abstractNumId="81">
    <w:nsid w:val="19E21BB2"/>
    <w:multiLevelType w:val="hybridMultilevel"/>
    <w:lvl w:ilvl="0">
      <w:lvlJc w:val="left"/>
      <w:lvlText w:val="•"/>
      <w:numFmt w:val="bullet"/>
      <w:start w:val="1"/>
    </w:lvl>
  </w:abstractNum>
  <w:abstractNum w:abstractNumId="82">
    <w:nsid w:val="75E0858A"/>
    <w:multiLevelType w:val="hybridMultilevel"/>
    <w:lvl w:ilvl="0">
      <w:lvlJc w:val="left"/>
      <w:lvlText w:val="%1"/>
      <w:numFmt w:val="upperLetter"/>
      <w:start w:val="6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
      <w:numFmt w:val="bullet"/>
      <w:start w:val="1"/>
    </w:lvl>
  </w:abstractNum>
  <w:abstractNum w:abstractNumId="85">
    <w:nsid w:val="20EE1348"/>
    <w:multiLevelType w:val="hybridMultilevel"/>
    <w:lvl w:ilvl="0">
      <w:lvlJc w:val="left"/>
      <w:lvlText w:val="•"/>
      <w:numFmt w:val="bullet"/>
      <w:start w:val="1"/>
    </w:lvl>
  </w:abstractNum>
  <w:abstractNum w:abstractNumId="86">
    <w:nsid w:val="4427069A"/>
    <w:multiLevelType w:val="hybridMultilevel"/>
    <w:lvl w:ilvl="0">
      <w:lvlJc w:val="left"/>
      <w:lvlText w:val="(%1)"/>
      <w:numFmt w:val="lowerRoman"/>
      <w:start w:val="5"/>
    </w:lvl>
  </w:abstractNum>
  <w:abstractNum w:abstractNumId="87">
    <w:nsid w:val="B37E80A"/>
    <w:multiLevelType w:val="hybridMultilevel"/>
    <w:lvl w:ilvl="0">
      <w:lvlJc w:val="left"/>
      <w:lvlText w:val="•"/>
      <w:numFmt w:val="bullet"/>
      <w:start w:val="1"/>
    </w:lvl>
  </w:abstractNum>
  <w:abstractNum w:abstractNumId="88">
    <w:nsid w:val="2157F6BC"/>
    <w:multiLevelType w:val="hybridMultilevel"/>
    <w:lvl w:ilvl="0">
      <w:lvlJc w:val="left"/>
      <w:lvlText w:val="•"/>
      <w:numFmt w:val="bullet"/>
      <w:start w:val="1"/>
    </w:lvl>
  </w:abstractNum>
  <w:abstractNum w:abstractNumId="89">
    <w:nsid w:val="704E1DD5"/>
    <w:multiLevelType w:val="hybridMultilevel"/>
    <w:lvl w:ilvl="0">
      <w:lvlJc w:val="left"/>
      <w:lvlText w:val="(%1)"/>
      <w:numFmt w:val="decimal"/>
      <w:start w:val="10"/>
    </w:lvl>
  </w:abstractNum>
  <w:abstractNum w:abstractNumId="90">
    <w:nsid w:val="57D2F10E"/>
    <w:multiLevelType w:val="hybridMultilevel"/>
    <w:lvl w:ilvl="0">
      <w:lvlJc w:val="left"/>
      <w:lvlText w:val="•"/>
      <w:numFmt w:val="bullet"/>
      <w:start w:val="1"/>
    </w:lvl>
  </w:abstractNum>
  <w:abstractNum w:abstractNumId="91">
    <w:nsid w:val="BFFAE18"/>
    <w:multiLevelType w:val="hybridMultilevel"/>
    <w:lvl w:ilvl="0">
      <w:lvlJc w:val="left"/>
      <w:lvlText w:val="•"/>
      <w:numFmt w:val="bullet"/>
      <w:start w:val="1"/>
    </w:lvl>
  </w:abstractNum>
  <w:abstractNum w:abstractNumId="92">
    <w:nsid w:val="E3E47A8"/>
    <w:multiLevelType w:val="hybridMultilevel"/>
    <w:lvl w:ilvl="0">
      <w:lvlJc w:val="left"/>
      <w:lvlText w:val="(%1)"/>
      <w:numFmt w:val="lowerLetter"/>
      <w:start w:val="9"/>
    </w:lvl>
  </w:abstractNum>
  <w:abstractNum w:abstractNumId="93">
    <w:nsid w:val="2E48F044"/>
    <w:multiLevelType w:val="hybridMultilevel"/>
    <w:lvl w:ilvl="0">
      <w:lvlJc w:val="left"/>
      <w:lvlText w:val="(%1)"/>
      <w:numFmt w:val="lowerLetter"/>
      <w:start w:val="2"/>
    </w:lvl>
  </w:abstractNum>
  <w:abstractNum w:abstractNumId="94">
    <w:nsid w:val="49D0FEAC"/>
    <w:multiLevelType w:val="hybridMultilevel"/>
    <w:lvl w:ilvl="0">
      <w:lvlJc w:val="left"/>
      <w:lvlText w:val="•"/>
      <w:numFmt w:val="bullet"/>
      <w:start w:val="1"/>
    </w:lvl>
  </w:abstractNum>
  <w:abstractNum w:abstractNumId="95">
    <w:nsid w:val="4BEE5A5B"/>
    <w:multiLevelType w:val="hybridMultilevel"/>
    <w:lvl w:ilvl="0">
      <w:lvlJc w:val="left"/>
      <w:lvlText w:val="*"/>
      <w:numFmt w:val="bullet"/>
      <w:start w:val="1"/>
    </w:lvl>
  </w:abstractNum>
  <w:abstractNum w:abstractNumId="96">
    <w:nsid w:val="5551B9F3"/>
    <w:multiLevelType w:val="hybridMultilevel"/>
    <w:lvl w:ilvl="0">
      <w:lvlJc w:val="left"/>
      <w:lvlText w:val="(%1)"/>
      <w:numFmt w:val="decimal"/>
      <w:start w:val="1"/>
    </w:lvl>
  </w:abstractNum>
  <w:abstractNum w:abstractNumId="97">
    <w:nsid w:val="24F6AB8E"/>
    <w:multiLevelType w:val="hybridMultilevel"/>
    <w:lvl w:ilvl="0">
      <w:lvlJc w:val="left"/>
      <w:lvlText w:val="(%1)"/>
      <w:numFmt w:val="decimal"/>
      <w:start w:val="2"/>
    </w:lvl>
  </w:abstractNum>
  <w:abstractNum w:abstractNumId="98">
    <w:nsid w:val="634C574C"/>
    <w:multiLevelType w:val="hybridMultilevel"/>
    <w:lvl w:ilvl="0">
      <w:lvlJc w:val="left"/>
      <w:lvlText w:val="(%1)"/>
      <w:numFmt w:val="decimal"/>
      <w:start w:val="8"/>
    </w:lvl>
  </w:abstractNum>
  <w:abstractNum w:abstractNumId="99">
    <w:nsid w:val="24E99DD7"/>
    <w:multiLevelType w:val="hybridMultilevel"/>
    <w:lvl w:ilvl="0">
      <w:lvlJc w:val="left"/>
      <w:lvlText w:val="(%1)"/>
      <w:numFmt w:val="decimal"/>
      <w:start w:val="12"/>
    </w:lvl>
  </w:abstractNum>
  <w:abstractNum w:abstractNumId="100">
    <w:nsid w:val="2A31B62D"/>
    <w:multiLevelType w:val="hybridMultilevel"/>
    <w:lvl w:ilvl="0">
      <w:lvlJc w:val="left"/>
      <w:lvlText w:val="(%1)"/>
      <w:numFmt w:val="decimal"/>
      <w:start w:val="16"/>
    </w:lvl>
  </w:abstractNum>
  <w:abstractNum w:abstractNumId="101">
    <w:nsid w:val="1849C29B"/>
    <w:multiLevelType w:val="hybridMultilevel"/>
    <w:lvl w:ilvl="0">
      <w:lvlJc w:val="left"/>
      <w:lvlText w:val="(%1)"/>
      <w:numFmt w:val="decimal"/>
      <w:start w:val="1"/>
    </w:lvl>
  </w:abstractNum>
  <w:abstractNum w:abstractNumId="102">
    <w:nsid w:val="7DFF9D09"/>
    <w:multiLevelType w:val="hybridMultilevel"/>
    <w:lvl w:ilvl="0">
      <w:lvlJc w:val="left"/>
      <w:lvlText w:val="*"/>
      <w:numFmt w:val="bullet"/>
      <w:start w:val="1"/>
    </w:lvl>
  </w:abstractNum>
  <w:abstractNum w:abstractNumId="103">
    <w:nsid w:val="754342"/>
    <w:multiLevelType w:val="hybridMultilevel"/>
    <w:lvl w:ilvl="0">
      <w:lvlJc w:val="left"/>
      <w:lvlText w:val="(%1)"/>
      <w:numFmt w:val="decimal"/>
      <w:start w:val="1"/>
    </w:lvl>
  </w:abstractNum>
  <w:abstractNum w:abstractNumId="104">
    <w:nsid w:val="69E7F3E5"/>
    <w:multiLevelType w:val="hybridMultilevel"/>
    <w:lvl w:ilvl="0">
      <w:lvlJc w:val="left"/>
      <w:lvlText w:val="(%1)"/>
      <w:numFmt w:val="decimal"/>
      <w:start w:val="3"/>
    </w:lvl>
  </w:abstractNum>
  <w:abstractNum w:abstractNumId="105">
    <w:nsid w:val="2A6DE806"/>
    <w:multiLevelType w:val="hybridMultilevel"/>
    <w:lvl w:ilvl="0">
      <w:lvlJc w:val="left"/>
      <w:lvlText w:val="(%1)"/>
      <w:numFmt w:val="decimal"/>
      <w:start w:val="8"/>
    </w:lvl>
  </w:abstractNum>
  <w:abstractNum w:abstractNumId="106">
    <w:nsid w:val="1816F8C4"/>
    <w:multiLevelType w:val="hybridMultilevel"/>
    <w:lvl w:ilvl="0">
      <w:lvlJc w:val="left"/>
      <w:lvlText w:val="(%1)"/>
      <w:numFmt w:val="decimal"/>
      <w:start w:val="12"/>
    </w:lvl>
  </w:abstractNum>
  <w:abstractNum w:abstractNumId="107">
    <w:nsid w:val="37DF2233"/>
    <w:multiLevelType w:val="hybridMultilevel"/>
    <w:lvl w:ilvl="0">
      <w:lvlJc w:val="left"/>
      <w:lvlText w:val="(%1)"/>
      <w:numFmt w:val="decimal"/>
      <w:start w:val="19"/>
    </w:lvl>
  </w:abstractNum>
  <w:abstractNum w:abstractNumId="108">
    <w:nsid w:val="7AB49DAF"/>
    <w:multiLevelType w:val="hybridMultilevel"/>
    <w:lvl w:ilvl="0">
      <w:lvlJc w:val="left"/>
      <w:lvlText w:val="(%1)"/>
      <w:numFmt w:val="decimal"/>
      <w:start w:val="1"/>
    </w:lvl>
  </w:abstractNum>
  <w:abstractNum w:abstractNumId="109">
    <w:nsid w:val="759F82CD"/>
    <w:multiLevelType w:val="hybridMultilevel"/>
    <w:lvl w:ilvl="0">
      <w:lvlJc w:val="left"/>
      <w:lvlText w:val="•"/>
      <w:numFmt w:val="bullet"/>
      <w:start w:val="1"/>
    </w:lvl>
  </w:abstractNum>
  <w:abstractNum w:abstractNumId="110">
    <w:nsid w:val="61E74EA3"/>
    <w:multiLevelType w:val="hybridMultilevel"/>
    <w:lvl w:ilvl="0">
      <w:lvlJc w:val="left"/>
      <w:lvlText w:val="•"/>
      <w:numFmt w:val="bullet"/>
      <w:start w:val="1"/>
    </w:lvl>
  </w:abstractNum>
  <w:abstractNum w:abstractNumId="111">
    <w:nsid w:val="597B4D84"/>
    <w:multiLevelType w:val="hybridMultilevel"/>
    <w:lvl w:ilvl="0">
      <w:lvlJc w:val="left"/>
      <w:lvlText w:val="•"/>
      <w:numFmt w:val="bullet"/>
      <w:start w:val="1"/>
    </w:lvl>
  </w:abstractNum>
  <w:abstractNum w:abstractNumId="112">
    <w:nsid w:val="F819E7F"/>
    <w:multiLevelType w:val="hybridMultilevel"/>
    <w:lvl w:ilvl="0">
      <w:lvlJc w:val="left"/>
      <w:lvlText w:val="(%1)"/>
      <w:numFmt w:val="decimal"/>
      <w:start w:val="1"/>
    </w:lvl>
  </w:abstractNum>
  <w:abstractNum w:abstractNumId="113">
    <w:nsid w:val="57C7D42D"/>
    <w:multiLevelType w:val="hybridMultilevel"/>
    <w:lvl w:ilvl="0">
      <w:lvlJc w:val="left"/>
      <w:lvlText w:val="(%1)"/>
      <w:numFmt w:val="lowerRoman"/>
      <w:start w:val="4"/>
    </w:lvl>
  </w:abstractNum>
  <w:abstractNum w:abstractNumId="114">
    <w:nsid w:val="312167AD"/>
    <w:multiLevelType w:val="hybridMultilevel"/>
    <w:lvl w:ilvl="0">
      <w:lvlJc w:val="left"/>
      <w:lvlText w:val="(%1)"/>
      <w:numFmt w:val="lowerRoman"/>
      <w:start w:val="1"/>
    </w:lvl>
  </w:abstractNum>
  <w:abstractNum w:abstractNumId="115">
    <w:nsid w:val="631B64D4"/>
    <w:multiLevelType w:val="hybridMultilevel"/>
    <w:lvl w:ilvl="0">
      <w:lvlJc w:val="left"/>
      <w:lvlText w:val="•"/>
      <w:numFmt w:val="bullet"/>
      <w:start w:val="1"/>
    </w:lvl>
  </w:abstractNum>
  <w:abstractNum w:abstractNumId="116">
    <w:nsid w:val="78B5E776"/>
    <w:multiLevelType w:val="hybridMultilevel"/>
    <w:lvl w:ilvl="0">
      <w:lvlJc w:val="left"/>
      <w:lvlText w:val="(%1)"/>
      <w:numFmt w:val="decimal"/>
      <w:start w:val="1"/>
    </w:lvl>
  </w:abstractNum>
  <w:abstractNum w:abstractNumId="117">
    <w:nsid w:val="75486E47"/>
    <w:multiLevelType w:val="hybridMultilevel"/>
    <w:lvl w:ilvl="0">
      <w:lvlJc w:val="left"/>
      <w:lvlText w:val="(%1)"/>
      <w:numFmt w:val="lowerRoman"/>
      <w:start w:val="4"/>
    </w:lvl>
  </w:abstractNum>
  <w:abstractNum w:abstractNumId="118">
    <w:nsid w:val="6E534CDE"/>
    <w:multiLevelType w:val="hybridMultilevel"/>
    <w:lvl w:ilvl="0">
      <w:lvlJc w:val="left"/>
      <w:lvlText w:val="(%1)"/>
      <w:numFmt w:val="lowerRoman"/>
      <w:start w:val="1"/>
    </w:lvl>
  </w:abstractNum>
  <w:abstractNum w:abstractNumId="119">
    <w:nsid w:val="1A0DDE32"/>
    <w:multiLevelType w:val="hybridMultilevel"/>
    <w:lvl w:ilvl="0">
      <w:lvlJc w:val="left"/>
      <w:lvlText w:val="(%1)"/>
      <w:numFmt w:val="lowerRoman"/>
      <w:start w:val="4"/>
    </w:lvl>
  </w:abstractNum>
  <w:abstractNum w:abstractNumId="120">
    <w:nsid w:val="65968C1C"/>
    <w:multiLevelType w:val="hybridMultilevel"/>
    <w:lvl w:ilvl="0">
      <w:lvlJc w:val="left"/>
      <w:lvlText w:val="•"/>
      <w:numFmt w:val="bullet"/>
      <w:start w:val="1"/>
    </w:lvl>
  </w:abstractNum>
  <w:abstractNum w:abstractNumId="121">
    <w:nsid w:val="46263DEC"/>
    <w:multiLevelType w:val="hybridMultilevel"/>
    <w:lvl w:ilvl="0">
      <w:lvlJc w:val="left"/>
      <w:lvlText w:val="%1."/>
      <w:numFmt w:val="decimal"/>
      <w:start w:val="1"/>
    </w:lvl>
  </w:abstractNum>
  <w:abstractNum w:abstractNumId="122">
    <w:nsid w:val="260D8C4A"/>
    <w:multiLevelType w:val="hybridMultilevel"/>
    <w:lvl w:ilvl="0">
      <w:lvlJc w:val="left"/>
      <w:lvlText w:val="%1."/>
      <w:numFmt w:val="decimal"/>
      <w:start w:val="2"/>
    </w:lvl>
  </w:abstractNum>
  <w:abstractNum w:abstractNumId="123">
    <w:nsid w:val="73D4D3C4"/>
    <w:multiLevelType w:val="hybridMultilevel"/>
    <w:lvl w:ilvl="0">
      <w:lvlJc w:val="left"/>
      <w:lvlText w:val="•"/>
      <w:numFmt w:val="bullet"/>
      <w:start w:val="1"/>
    </w:lvl>
  </w:abstractNum>
  <w:abstractNum w:abstractNumId="124">
    <w:nsid w:val="746F2E30"/>
    <w:multiLevelType w:val="hybridMultilevel"/>
    <w:lvl w:ilvl="0">
      <w:lvlJc w:val="left"/>
      <w:lvlText w:val="(%1)"/>
      <w:numFmt w:val="lowerRoman"/>
      <w:start w:val="1"/>
    </w:lvl>
  </w:abstractNum>
  <w:abstractNum w:abstractNumId="125">
    <w:nsid w:val="6FDE8AF6"/>
    <w:multiLevelType w:val="hybridMultilevel"/>
    <w:lvl w:ilvl="0">
      <w:lvlJc w:val="left"/>
      <w:lvlText w:val="%1."/>
      <w:numFmt w:val="decimal"/>
      <w:start w:val="3"/>
    </w:lvl>
  </w:abstractNum>
  <w:abstractNum w:abstractNumId="126">
    <w:nsid w:val="3FC32E20"/>
    <w:multiLevelType w:val="hybridMultilevel"/>
    <w:lvl w:ilvl="0">
      <w:lvlJc w:val="left"/>
      <w:lvlText w:val="(%1)"/>
      <w:numFmt w:val="decimal"/>
      <w:start w:val="1"/>
    </w:lvl>
  </w:abstractNum>
  <w:abstractNum w:abstractNumId="127">
    <w:nsid w:val="49C0E823"/>
    <w:multiLevelType w:val="hybridMultilevel"/>
    <w:lvl w:ilvl="0">
      <w:lvlJc w:val="left"/>
      <w:lvlText w:val="%1."/>
      <w:numFmt w:val="decimal"/>
      <w:start w:val="4"/>
    </w:lvl>
  </w:abstractNum>
  <w:abstractNum w:abstractNumId="128">
    <w:nsid w:val="14D53685"/>
    <w:multiLevelType w:val="hybridMultilevel"/>
    <w:lvl w:ilvl="0">
      <w:lvlJc w:val="left"/>
      <w:lvlText w:val="%1."/>
      <w:numFmt w:val="decimal"/>
      <w:start w:val="5"/>
    </w:lvl>
  </w:abstractNum>
  <w:abstractNum w:abstractNumId="129">
    <w:nsid w:val="230F856C"/>
    <w:multiLevelType w:val="hybridMultilevel"/>
    <w:lvl w:ilvl="0">
      <w:lvlJc w:val="left"/>
      <w:lvlText w:val="%1."/>
      <w:numFmt w:val="decimal"/>
      <w:start w:val="350"/>
    </w:lvl>
  </w:abstractNum>
  <w:abstractNum w:abstractNumId="130">
    <w:nsid w:val="6EAA85FB"/>
    <w:multiLevelType w:val="hybridMultilevel"/>
    <w:lvl w:ilvl="0">
      <w:lvlJc w:val="left"/>
      <w:lvlText w:val="%1."/>
      <w:numFmt w:val="decimal"/>
      <w:start w:val="6"/>
    </w:lvl>
  </w:abstractNum>
  <w:abstractNum w:abstractNumId="131">
    <w:nsid w:val="3F06ECB2"/>
    <w:multiLevelType w:val="hybridMultilevel"/>
    <w:lvl w:ilvl="0">
      <w:lvlJc w:val="left"/>
      <w:lvlText w:val="%1."/>
      <w:numFmt w:val="decimal"/>
      <w:start w:val="7"/>
    </w:lvl>
  </w:abstractNum>
  <w:abstractNum w:abstractNumId="132">
    <w:nsid w:val="3B594807"/>
    <w:multiLevelType w:val="hybridMultilevel"/>
    <w:lvl w:ilvl="0">
      <w:lvlJc w:val="left"/>
      <w:lvlText w:val="%1."/>
      <w:numFmt w:val="decimal"/>
      <w:start w:val="8"/>
    </w:lvl>
  </w:abstractNum>
  <w:abstractNum w:abstractNumId="133">
    <w:nsid w:val="6CAA2304"/>
    <w:multiLevelType w:val="hybridMultilevel"/>
    <w:lvl w:ilvl="0">
      <w:lvlJc w:val="left"/>
      <w:lvlText w:val="%1."/>
      <w:numFmt w:val="decimal"/>
      <w:start w:val="9"/>
    </w:lvl>
  </w:abstractNum>
  <w:abstractNum w:abstractNumId="134">
    <w:nsid w:val="3F7C2FF4"/>
    <w:multiLevelType w:val="hybridMultilevel"/>
    <w:lvl w:ilvl="0">
      <w:lvlJc w:val="left"/>
      <w:lvlText w:val="(%1)"/>
      <w:numFmt w:val="lowerRoman"/>
      <w:start w:val="2"/>
    </w:lvl>
  </w:abstractNum>
  <w:abstractNum w:abstractNumId="135">
    <w:nsid w:val="25413BEC"/>
    <w:multiLevelType w:val="hybridMultilevel"/>
    <w:lvl w:ilvl="0">
      <w:lvlJc w:val="left"/>
      <w:lvlText w:val="%1."/>
      <w:numFmt w:val="decimal"/>
      <w:start w:val="10"/>
    </w:lvl>
  </w:abstractNum>
  <w:abstractNum w:abstractNumId="136">
    <w:nsid w:val="17180B0B"/>
    <w:multiLevelType w:val="hybridMultilevel"/>
    <w:lvl w:ilvl="0">
      <w:lvlJc w:val="left"/>
      <w:lvlText w:val="(%1)"/>
      <w:numFmt w:val="lowerRoman"/>
      <w:start w:val="1"/>
    </w:lvl>
  </w:abstractNum>
  <w:abstractNum w:abstractNumId="137">
    <w:nsid w:val="579328B9"/>
    <w:multiLevelType w:val="hybridMultilevel"/>
    <w:lvl w:ilvl="0">
      <w:lvlJc w:val="left"/>
      <w:lvlText w:val="%1."/>
      <w:numFmt w:val="decimal"/>
      <w:start w:val="11"/>
    </w:lvl>
  </w:abstractNum>
  <w:abstractNum w:abstractNumId="138">
    <w:nsid w:val="5D205E20"/>
    <w:multiLevelType w:val="hybridMultilevel"/>
    <w:lvl w:ilvl="0">
      <w:lvlJc w:val="left"/>
      <w:lvlText w:val="%1."/>
      <w:numFmt w:val="decimal"/>
      <w:start w:val="12"/>
    </w:lvl>
  </w:abstractNum>
  <w:abstractNum w:abstractNumId="139">
    <w:nsid w:val="11CCA8BA"/>
    <w:multiLevelType w:val="hybridMultilevel"/>
    <w:lvl w:ilvl="0">
      <w:lvlJc w:val="left"/>
      <w:lvlText w:val="(%1)"/>
      <w:numFmt w:val="decimal"/>
      <w:start w:val="1"/>
    </w:lvl>
  </w:abstractNum>
  <w:abstractNum w:abstractNumId="140">
    <w:nsid w:val="4D32AB86"/>
    <w:multiLevelType w:val="hybridMultilevel"/>
    <w:lvl w:ilvl="0">
      <w:lvlJc w:val="left"/>
      <w:lvlText w:val="%1."/>
      <w:numFmt w:val="decimal"/>
      <w:start w:val="13"/>
    </w:lvl>
  </w:abstractNum>
  <w:abstractNum w:abstractNumId="141">
    <w:nsid w:val="3F07ACC3"/>
    <w:multiLevelType w:val="hybridMultilevel"/>
    <w:lvl w:ilvl="0">
      <w:lvlJc w:val="left"/>
      <w:lvlText w:val="%1."/>
      <w:numFmt w:val="decimal"/>
      <w:start w:val="14"/>
    </w:lvl>
  </w:abstractNum>
  <w:abstractNum w:abstractNumId="142">
    <w:nsid w:val="6B47F63E"/>
    <w:multiLevelType w:val="hybridMultilevel"/>
    <w:lvl w:ilvl="0">
      <w:lvlJc w:val="left"/>
      <w:lvlText w:val="%1."/>
      <w:numFmt w:val="decimal"/>
      <w:start w:val="15"/>
    </w:lvl>
  </w:abstractNum>
  <w:abstractNum w:abstractNumId="143">
    <w:nsid w:val="5CB44A05"/>
    <w:multiLevelType w:val="hybridMultilevel"/>
    <w:lvl w:ilvl="0">
      <w:lvlJc w:val="left"/>
      <w:lvlText w:val="%1."/>
      <w:numFmt w:val="decimal"/>
      <w:start w:val="1"/>
    </w:lvl>
  </w:abstractNum>
  <w:abstractNum w:abstractNumId="144">
    <w:nsid w:val="16CF80F1"/>
    <w:multiLevelType w:val="hybridMultilevel"/>
    <w:lvl w:ilvl="0">
      <w:lvlJc w:val="left"/>
      <w:lvlText w:val="%1."/>
      <w:numFmt w:val="decimal"/>
      <w:start w:val="2"/>
    </w:lvl>
  </w:abstractNum>
  <w:abstractNum w:abstractNumId="145">
    <w:nsid w:val="1C695DEC"/>
    <w:multiLevelType w:val="hybridMultilevel"/>
    <w:lvl w:ilvl="0">
      <w:lvlJc w:val="left"/>
      <w:lvlText w:val="•"/>
      <w:numFmt w:val="bullet"/>
      <w:start w:val="1"/>
    </w:lvl>
  </w:abstractNum>
  <w:abstractNum w:abstractNumId="146">
    <w:nsid w:val="3FCFAED9"/>
    <w:multiLevelType w:val="hybridMultilevel"/>
    <w:lvl w:ilvl="0">
      <w:lvlJc w:val="left"/>
      <w:lvlText w:val="%1."/>
      <w:numFmt w:val="decimal"/>
      <w:start w:val="3"/>
    </w:lvl>
  </w:abstractNum>
  <w:abstractNum w:abstractNumId="147">
    <w:nsid w:val="F856867"/>
    <w:multiLevelType w:val="hybridMultilevel"/>
    <w:lvl w:ilvl="0">
      <w:lvlJc w:val="left"/>
      <w:lvlText w:val="(%1)"/>
      <w:numFmt w:val="decimal"/>
      <w:start w:val="1"/>
    </w:lvl>
  </w:abstractNum>
  <w:abstractNum w:abstractNumId="148">
    <w:nsid w:val="11B1CC33"/>
    <w:multiLevelType w:val="hybridMultilevel"/>
    <w:lvl w:ilvl="0">
      <w:lvlJc w:val="left"/>
      <w:lvlText w:val="%1."/>
      <w:numFmt w:val="decimal"/>
      <w:start w:val="4"/>
    </w:lvl>
  </w:abstractNum>
  <w:abstractNum w:abstractNumId="149">
    <w:nsid w:val="2E22FBB7"/>
    <w:multiLevelType w:val="hybridMultilevel"/>
    <w:lvl w:ilvl="0">
      <w:lvlJc w:val="left"/>
      <w:lvlText w:val="%1."/>
      <w:numFmt w:val="decimal"/>
      <w:start w:val="5"/>
    </w:lvl>
  </w:abstractNum>
  <w:abstractNum w:abstractNumId="150">
    <w:nsid w:val="29934699"/>
    <w:multiLevelType w:val="hybridMultilevel"/>
    <w:lvl w:ilvl="0">
      <w:lvlJc w:val="left"/>
      <w:lvlText w:val="%1."/>
      <w:numFmt w:val="decimal"/>
      <w:start w:val="6"/>
    </w:lvl>
  </w:abstractNum>
  <w:abstractNum w:abstractNumId="151">
    <w:nsid w:val="77485850"/>
    <w:multiLevelType w:val="hybridMultilevel"/>
    <w:lvl w:ilvl="0">
      <w:lvlJc w:val="left"/>
      <w:lvlText w:val="%1."/>
      <w:numFmt w:val="decimal"/>
      <w:start w:val="7"/>
    </w:lvl>
  </w:abstractNum>
  <w:abstractNum w:abstractNumId="152">
    <w:nsid w:val="744939A3"/>
    <w:multiLevelType w:val="hybridMultilevel"/>
    <w:lvl w:ilvl="0">
      <w:lvlJc w:val="left"/>
      <w:lvlText w:val="%1."/>
      <w:numFmt w:val="decimal"/>
      <w:start w:val="8"/>
    </w:lvl>
  </w:abstractNum>
  <w:abstractNum w:abstractNumId="153">
    <w:nsid w:val="4FA0D2E3"/>
    <w:multiLevelType w:val="hybridMultilevel"/>
    <w:lvl w:ilvl="0">
      <w:lvlJc w:val="left"/>
      <w:lvlText w:val="%1."/>
      <w:numFmt w:val="decimal"/>
      <w:start w:val="9"/>
    </w:lvl>
  </w:abstractNum>
  <w:abstractNum w:abstractNumId="154">
    <w:nsid w:val="6B1D2C14"/>
    <w:multiLevelType w:val="hybridMultilevel"/>
    <w:lvl w:ilvl="0">
      <w:lvlJc w:val="left"/>
      <w:lvlText w:val="%1."/>
      <w:numFmt w:val="decimal"/>
      <w:start w:val="10"/>
    </w:lvl>
  </w:abstractNum>
  <w:abstractNum w:abstractNumId="155">
    <w:nsid w:val="68B867D3"/>
    <w:multiLevelType w:val="hybridMultilevel"/>
    <w:lvl w:ilvl="0">
      <w:lvlJc w:val="left"/>
      <w:lvlText w:val="(%1)"/>
      <w:numFmt w:val="lowerRoman"/>
      <w:start w:val="1"/>
    </w:lvl>
  </w:abstractNum>
  <w:abstractNum w:abstractNumId="156">
    <w:nsid w:val="3F7F5DD9"/>
    <w:multiLevelType w:val="hybridMultilevel"/>
    <w:lvl w:ilvl="0">
      <w:lvlJc w:val="left"/>
      <w:lvlText w:val="%1."/>
      <w:numFmt w:val="decimal"/>
      <w:start w:val="11"/>
    </w:lvl>
  </w:abstractNum>
  <w:abstractNum w:abstractNumId="157">
    <w:nsid w:val="2AE05A34"/>
    <w:multiLevelType w:val="hybridMultilevel"/>
    <w:lvl w:ilvl="0">
      <w:lvlJc w:val="left"/>
      <w:lvlText w:val="%1."/>
      <w:numFmt w:val="decimal"/>
      <w:start w:val="12"/>
    </w:lvl>
  </w:abstractNum>
  <w:abstractNum w:abstractNumId="158">
    <w:nsid w:val="32794FF7"/>
    <w:multiLevelType w:val="hybridMultilevel"/>
    <w:lvl w:ilvl="0">
      <w:lvlJc w:val="left"/>
      <w:lvlText w:val="(%1)"/>
      <w:numFmt w:val="decimal"/>
      <w:start w:val="1"/>
    </w:lvl>
  </w:abstractNum>
  <w:abstractNum w:abstractNumId="159">
    <w:nsid w:val="5454945E"/>
    <w:multiLevelType w:val="hybridMultilevel"/>
    <w:lvl w:ilvl="0">
      <w:lvlJc w:val="left"/>
      <w:lvlText w:val="%1."/>
      <w:numFmt w:val="decimal"/>
      <w:start w:val="13"/>
    </w:lvl>
  </w:abstractNum>
  <w:abstractNum w:abstractNumId="160">
    <w:nsid w:val="4DEFDFA0"/>
    <w:multiLevelType w:val="hybridMultilevel"/>
    <w:lvl w:ilvl="0">
      <w:lvlJc w:val="left"/>
      <w:lvlText w:val="%1."/>
      <w:numFmt w:val="decimal"/>
      <w:start w:val="14"/>
    </w:lvl>
  </w:abstractNum>
  <w:abstractNum w:abstractNumId="161">
    <w:nsid w:val="2123D5F2"/>
    <w:multiLevelType w:val="hybridMultilevel"/>
    <w:lvl w:ilvl="0">
      <w:lvlJc w:val="left"/>
      <w:lvlText w:val="%1."/>
      <w:numFmt w:val="decimal"/>
      <w:start w:val="15"/>
    </w:lvl>
  </w:abstractNum>
  <w:abstractNum w:abstractNumId="162">
    <w:nsid w:val="135B8110"/>
    <w:multiLevelType w:val="hybridMultilevel"/>
    <w:lvl w:ilvl="0">
      <w:lvlJc w:val="left"/>
      <w:lvlText w:val="*"/>
      <w:numFmt w:val="bullet"/>
      <w:start w:val="1"/>
    </w:lvl>
  </w:abstractNum>
  <w:abstractNum w:abstractNumId="163">
    <w:nsid w:val="94927A8"/>
    <w:multiLevelType w:val="hybridMultilevel"/>
    <w:lvl w:ilvl="0">
      <w:lvlJc w:val="left"/>
      <w:lvlText w:val="•"/>
      <w:numFmt w:val="bullet"/>
      <w:start w:val="1"/>
    </w:lvl>
  </w:abstractNum>
  <w:abstractNum w:abstractNumId="164">
    <w:nsid w:val="DCDF8F6"/>
    <w:multiLevelType w:val="hybridMultilevel"/>
    <w:lvl w:ilvl="0">
      <w:lvlJc w:val="left"/>
      <w:lvlText w:val="*"/>
      <w:numFmt w:val="bullet"/>
      <w:start w:val="1"/>
    </w:lvl>
  </w:abstractNum>
  <w:abstractNum w:abstractNumId="165">
    <w:nsid w:val="52D7B105"/>
    <w:multiLevelType w:val="hybridMultilevel"/>
    <w:lvl w:ilvl="0">
      <w:lvlJc w:val="left"/>
      <w:lvlText w:val="**"/>
      <w:numFmt w:val="bullet"/>
      <w:start w:val="1"/>
    </w:lvl>
  </w:abstractNum>
  <w:abstractNum w:abstractNumId="166">
    <w:nsid w:val="2E8A6394"/>
    <w:multiLevelType w:val="hybridMultilevel"/>
    <w:lvl w:ilvl="0">
      <w:lvlJc w:val="left"/>
      <w:lvlText w:val="‡"/>
      <w:numFmt w:val="bullet"/>
      <w:start w:val="1"/>
    </w:lvl>
  </w:abstractNum>
  <w:abstractNum w:abstractNumId="167">
    <w:nsid w:val="24E60401"/>
    <w:multiLevelType w:val="hybridMultilevel"/>
    <w:lvl w:ilvl="0">
      <w:lvlJc w:val="left"/>
      <w:lvlText w:val="+"/>
      <w:numFmt w:val="bullet"/>
      <w:start w:val="1"/>
    </w:lvl>
  </w:abstractNum>
  <w:abstractNum w:abstractNumId="168">
    <w:nsid w:val="2A6AD9BE"/>
    <w:multiLevelType w:val="hybridMultilevel"/>
    <w:lvl w:ilvl="0">
      <w:lvlJc w:val="left"/>
      <w:lvlText w:val="(%1)"/>
      <w:numFmt w:val="decimal"/>
      <w:start w:val="1"/>
    </w:lvl>
  </w:abstractNum>
  <w:abstractNum w:abstractNumId="169">
    <w:nsid w:val="BAAC1B4"/>
    <w:multiLevelType w:val="hybridMultilevel"/>
    <w:lvl w:ilvl="0">
      <w:lvlJc w:val="left"/>
      <w:lvlText w:val="(%1)"/>
      <w:numFmt w:val="upperLetter"/>
      <w:start w:val="1"/>
    </w:lvl>
  </w:abstractNum>
  <w:abstractNum w:abstractNumId="170">
    <w:nsid w:val="36B2ACBC"/>
    <w:multiLevelType w:val="hybridMultilevel"/>
    <w:lvl w:ilvl="0">
      <w:lvlJc w:val="left"/>
      <w:lvlText w:val="(%1)"/>
      <w:numFmt w:val="lowerLetter"/>
      <w:start w:val="1"/>
    </w:lvl>
  </w:abstractNum>
  <w:abstractNum w:abstractNumId="171">
    <w:nsid w:val="779D8544"/>
    <w:multiLevelType w:val="hybridMultilevel"/>
    <w:lvl w:ilvl="0">
      <w:lvlJc w:val="left"/>
      <w:lvlText w:val="(%1)"/>
      <w:numFmt w:val="lowerLetter"/>
      <w:start w:val="5"/>
    </w:lvl>
  </w:abstractNum>
  <w:abstractNum w:abstractNumId="172">
    <w:nsid w:val="4AB26E78"/>
    <w:multiLevelType w:val="hybridMultilevel"/>
    <w:lvl w:ilvl="0">
      <w:lvlJc w:val="left"/>
      <w:lvlText w:val="%1"/>
      <w:numFmt w:val="lowerRoman"/>
      <w:start w:val="1"/>
    </w:lvl>
    <w:lvl w:ilvl="1">
      <w:lvlJc w:val="left"/>
      <w:lvlText w:val="(%2)"/>
      <w:numFmt w:val="lowerLetter"/>
      <w:start w:val="9"/>
    </w:lvl>
  </w:abstractNum>
  <w:abstractNum w:abstractNumId="173">
    <w:nsid w:val="21FAA2FA"/>
    <w:multiLevelType w:val="hybridMultilevel"/>
    <w:lvl w:ilvl="0">
      <w:lvlJc w:val="left"/>
      <w:lvlText w:val="(%1)"/>
      <w:numFmt w:val="lowerRoman"/>
      <w:start w:val="2"/>
    </w:lvl>
    <w:lvl w:ilvl="1">
      <w:lvlJc w:val="left"/>
      <w:lvlText w:val="(%2)"/>
      <w:numFmt w:val="lowerLetter"/>
      <w:start w:val="12"/>
    </w:lvl>
  </w:abstractNum>
  <w:abstractNum w:abstractNumId="174">
    <w:nsid w:val="5451CF49"/>
    <w:multiLevelType w:val="hybridMultilevel"/>
    <w:lvl w:ilvl="0">
      <w:lvlJc w:val="left"/>
      <w:lvlText w:val="%1."/>
      <w:numFmt w:val="decimal"/>
      <w:start w:val="1"/>
    </w:lvl>
  </w:abstractNum>
  <w:abstractNum w:abstractNumId="175">
    <w:nsid w:val="6181EF69"/>
    <w:multiLevelType w:val="hybridMultilevel"/>
    <w:lvl w:ilvl="0">
      <w:lvlJc w:val="left"/>
      <w:lvlText w:val="(%1)"/>
      <w:numFmt w:val="lowerLetter"/>
      <w:start w:val="1"/>
    </w:lvl>
  </w:abstractNum>
  <w:abstractNum w:abstractNumId="176">
    <w:nsid w:val="3E6400E6"/>
    <w:multiLevelType w:val="hybridMultilevel"/>
    <w:lvl w:ilvl="0">
      <w:lvlJc w:val="left"/>
      <w:lvlText w:val="(%1)"/>
      <w:numFmt w:val="lowerLetter"/>
      <w:start w:val="5"/>
    </w:lvl>
  </w:abstractNum>
  <w:abstractNum w:abstractNumId="177">
    <w:nsid w:val="14217E23"/>
    <w:multiLevelType w:val="hybridMultilevel"/>
    <w:lvl w:ilvl="0">
      <w:lvlJc w:val="left"/>
      <w:lvlText w:val="%1"/>
      <w:numFmt w:val="upp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63" Type="http://schemas.openxmlformats.org/officeDocument/2006/relationships/image" Target="media/image451.png"/><Relationship Id="rId476" Type="http://schemas.openxmlformats.org/officeDocument/2006/relationships/image" Target="media/image452.png"/><Relationship Id="rId480" Type="http://schemas.openxmlformats.org/officeDocument/2006/relationships/image" Target="media/image453.png"/><Relationship Id="rId481" Type="http://schemas.openxmlformats.org/officeDocument/2006/relationships/image" Target="media/image454.png"/><Relationship Id="rId482" Type="http://schemas.openxmlformats.org/officeDocument/2006/relationships/image" Target="media/image455.png"/><Relationship Id="rId483" Type="http://schemas.openxmlformats.org/officeDocument/2006/relationships/image" Target="media/image456.png"/><Relationship Id="rId484" Type="http://schemas.openxmlformats.org/officeDocument/2006/relationships/image" Target="media/image457.png"/><Relationship Id="rId485" Type="http://schemas.openxmlformats.org/officeDocument/2006/relationships/image" Target="media/image458.png"/><Relationship Id="rId486" Type="http://schemas.openxmlformats.org/officeDocument/2006/relationships/image" Target="media/image459.png"/><Relationship Id="rId487" Type="http://schemas.openxmlformats.org/officeDocument/2006/relationships/image" Target="media/image460.png"/><Relationship Id="rId488" Type="http://schemas.openxmlformats.org/officeDocument/2006/relationships/image" Target="media/image461.png"/><Relationship Id="rId489" Type="http://schemas.openxmlformats.org/officeDocument/2006/relationships/image" Target="media/image462.png"/><Relationship Id="rId490" Type="http://schemas.openxmlformats.org/officeDocument/2006/relationships/image" Target="media/image463.png"/><Relationship Id="rId491" Type="http://schemas.openxmlformats.org/officeDocument/2006/relationships/image" Target="media/image464.png"/><Relationship Id="rId492" Type="http://schemas.openxmlformats.org/officeDocument/2006/relationships/image" Target="media/image465.png"/><Relationship Id="rId493" Type="http://schemas.openxmlformats.org/officeDocument/2006/relationships/image" Target="media/image466.png"/><Relationship Id="rId494" Type="http://schemas.openxmlformats.org/officeDocument/2006/relationships/image" Target="media/image467.png"/><Relationship Id="rId495" Type="http://schemas.openxmlformats.org/officeDocument/2006/relationships/image" Target="media/image468.png"/><Relationship Id="rId496" Type="http://schemas.openxmlformats.org/officeDocument/2006/relationships/image" Target="media/image469.png"/><Relationship Id="rId497" Type="http://schemas.openxmlformats.org/officeDocument/2006/relationships/image" Target="media/image470.png"/><Relationship Id="rId498" Type="http://schemas.openxmlformats.org/officeDocument/2006/relationships/image" Target="media/image471.png"/><Relationship Id="rId499" Type="http://schemas.openxmlformats.org/officeDocument/2006/relationships/image" Target="media/image472.png"/><Relationship Id="rId500" Type="http://schemas.openxmlformats.org/officeDocument/2006/relationships/image" Target="media/image473.png"/><Relationship Id="rId501" Type="http://schemas.openxmlformats.org/officeDocument/2006/relationships/image" Target="media/image474.png"/><Relationship Id="rId502" Type="http://schemas.openxmlformats.org/officeDocument/2006/relationships/image" Target="media/image475.png"/><Relationship Id="rId503" Type="http://schemas.openxmlformats.org/officeDocument/2006/relationships/image" Target="media/image476.png"/><Relationship Id="rId458" Type="http://schemas.openxmlformats.org/officeDocument/2006/relationships/hyperlink" Target="http://www.sec.gov/Archives/edgar/data/1777835/000121390020045792/ea132500ex2-1_fintechacq4.htm" TargetMode="External"/><Relationship Id="rId459" Type="http://schemas.openxmlformats.org/officeDocument/2006/relationships/hyperlink" Target="http://www.sec.gov/Archives/edgar/data/1777835/000119312521204696/d119701dex31.htm" TargetMode="External"/><Relationship Id="rId460" Type="http://schemas.openxmlformats.org/officeDocument/2006/relationships/hyperlink" Target="http://www.sec.gov/Archives/edgar/data/1777835/000119312521204696/d119701dex32.htm" TargetMode="External"/><Relationship Id="rId461" Type="http://schemas.openxmlformats.org/officeDocument/2006/relationships/hyperlink" Target="http://www.sec.gov/Archives/edgar/data/1777835/000119312521204696/d119701dex41.htm" TargetMode="External"/><Relationship Id="rId462" Type="http://schemas.openxmlformats.org/officeDocument/2006/relationships/hyperlink" Target="http://www.sec.gov/Archives/edgar/data/1777835/000121390020029071/ea127460ex4-1_fintechacq4.htm" TargetMode="External"/><Relationship Id="rId464" Type="http://schemas.openxmlformats.org/officeDocument/2006/relationships/hyperlink" Target="http://www.sec.gov/Archives/edgar/data/1777835/000121390020045792/ea132500ex10-1_fintechacq4.htm" TargetMode="External"/><Relationship Id="rId465" Type="http://schemas.openxmlformats.org/officeDocument/2006/relationships/hyperlink" Target="http://www.sec.gov/Archives/edgar/data/1777835/000119312521204696/d119701dex101.htm" TargetMode="External"/><Relationship Id="rId466" Type="http://schemas.openxmlformats.org/officeDocument/2006/relationships/hyperlink" Target="http://www.sec.gov/Archives/edgar/data/1777835/000119312521204696/d119701dex103.htm" TargetMode="External"/><Relationship Id="rId467" Type="http://schemas.openxmlformats.org/officeDocument/2006/relationships/hyperlink" Target="http://www.sec.gov/Archives/edgar/data/1777835/000119312521204696/d119701dex102.htm" TargetMode="External"/><Relationship Id="rId468" Type="http://schemas.openxmlformats.org/officeDocument/2006/relationships/hyperlink" Target="http://www.sec.gov/Archives/edgar/data/1777835/000121390020045792/ea132500ex2-1_fintechacq4.htm#ex_008" TargetMode="External"/><Relationship Id="rId469" Type="http://schemas.openxmlformats.org/officeDocument/2006/relationships/hyperlink" Target="http://www.sec.gov/Archives/edgar/data/1777835/000119312521174211/d189422ddefa14a.htm" TargetMode="External"/><Relationship Id="rId470" Type="http://schemas.openxmlformats.org/officeDocument/2006/relationships/hyperlink" Target="http://www.sec.gov/Archives/edgar/data/1777835/000119312521204696/d119701dex104.htm" TargetMode="External"/><Relationship Id="rId471" Type="http://schemas.openxmlformats.org/officeDocument/2006/relationships/hyperlink" Target="http://www.sec.gov/Archives/edgar/data/1777835/000119312521204696/d119701dex105.htm" TargetMode="External"/><Relationship Id="rId472" Type="http://schemas.openxmlformats.org/officeDocument/2006/relationships/hyperlink" Target="http://www.sec.gov/Archives/edgar/data/1777835/000119312521204696/d119701dex106.htm" TargetMode="External"/><Relationship Id="rId473" Type="http://schemas.openxmlformats.org/officeDocument/2006/relationships/hyperlink" Target="http://www.sec.gov/Archives/edgar/data/1777835/000119312521204696/d119701dex107.htm" TargetMode="External"/><Relationship Id="rId474" Type="http://schemas.openxmlformats.org/officeDocument/2006/relationships/hyperlink" Target="http://www.sec.gov/Archives/edgar/data/1777835/000119312521204696/d119701dex108.htm" TargetMode="External"/><Relationship Id="rId475" Type="http://schemas.openxmlformats.org/officeDocument/2006/relationships/hyperlink" Target="http://www.sec.gov/Archives/edgar/data/1777835/000121390020029071/ea127460ex10-1_fintechacq4.htm" TargetMode="External"/><Relationship Id="rId477" Type="http://schemas.openxmlformats.org/officeDocument/2006/relationships/hyperlink" Target="http://www.sec.gov/Archives/edgar/data/1777835/000119312521204696/d119701dex109.htm" TargetMode="External"/><Relationship Id="rId478" Type="http://schemas.openxmlformats.org/officeDocument/2006/relationships/hyperlink" Target="http://www.sec.gov/Archives/edgar/data/1777835/000119312521204696/d119701dex161.htm" TargetMode="External"/><Relationship Id="rId479" Type="http://schemas.openxmlformats.org/officeDocument/2006/relationships/hyperlink" Target="http://www.sec.gov/Archives/edgar/data/1777835/000119312521204696/d11970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2021-07-15T16:12:24Z</dcterms:created>
  <dcterms:modified xsi:type="dcterms:W3CDTF">2021-07-15T16:12:24Z</dcterms:modified>
</cp:coreProperties>
</file>