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8"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144145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111760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Perella Weinberg Partners</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001-39558</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50" w:lineRule="exact"/>
        <w:rPr>
          <w:sz w:val="24"/>
          <w:szCs w:val="24"/>
          <w:color w:val="auto"/>
        </w:rPr>
      </w:pPr>
    </w:p>
    <w:p>
      <w:pPr>
        <w:sectPr>
          <w:pgSz w:w="11900" w:h="16838" w:orient="portrait"/>
          <w:cols w:equalWidth="0" w:num="3">
            <w:col w:w="4580" w:space="720"/>
            <w:col w:w="2900" w:space="720"/>
            <w:col w:w="2320"/>
          </w:cols>
          <w:pgMar w:left="320" w:top="1178" w:right="339" w:bottom="1440" w:gutter="0" w:footer="0" w:header="0"/>
          <w:type w:val="continuous"/>
        </w:sectPr>
      </w:pPr>
    </w:p>
    <w:p>
      <w:pPr>
        <w:ind w:left="660"/>
        <w:spacing w:after="0"/>
        <w:rPr>
          <w:sz w:val="20"/>
          <w:szCs w:val="20"/>
          <w:color w:val="auto"/>
        </w:rPr>
      </w:pPr>
      <w:r>
        <w:rPr>
          <w:rFonts w:ascii="Arial" w:cs="Arial" w:eastAsia="Arial" w:hAnsi="Arial"/>
          <w:sz w:val="10"/>
          <w:szCs w:val="10"/>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(IRS Employer Identification No.)</w:t>
      </w:r>
    </w:p>
    <w:p>
      <w:pPr>
        <w:spacing w:after="0" w:line="177" w:lineRule="exact"/>
        <w:rPr>
          <w:sz w:val="24"/>
          <w:szCs w:val="24"/>
          <w:color w:val="auto"/>
        </w:rPr>
      </w:pPr>
    </w:p>
    <w:p>
      <w:pPr>
        <w:sectPr>
          <w:pgSz w:w="11900" w:h="16838" w:orient="portrait"/>
          <w:cols w:equalWidth="0" w:num="3">
            <w:col w:w="4180" w:space="720"/>
            <w:col w:w="2820" w:space="720"/>
            <w:col w:w="2800"/>
          </w:cols>
          <w:pgMar w:left="320" w:top="1178" w:right="339" w:bottom="1440" w:gutter="0" w:footer="0" w:header="0"/>
          <w:type w:val="continuous"/>
        </w:sectPr>
      </w:pPr>
    </w:p>
    <w:p>
      <w:pPr>
        <w:ind w:left="2160"/>
        <w:spacing w:after="0"/>
        <w:rPr>
          <w:sz w:val="20"/>
          <w:szCs w:val="20"/>
          <w:color w:val="auto"/>
        </w:rPr>
      </w:pPr>
      <w:r>
        <w:rPr>
          <w:rFonts w:ascii="Arial" w:cs="Arial" w:eastAsia="Arial" w:hAnsi="Arial"/>
          <w:sz w:val="16"/>
          <w:szCs w:val="16"/>
          <w:b w:val="1"/>
          <w:bCs w:val="1"/>
          <w:color w:val="auto"/>
        </w:rPr>
        <w:t>767 Fifth Avenue</w:t>
      </w:r>
    </w:p>
    <w:p>
      <w:pPr>
        <w:sectPr>
          <w:pgSz w:w="11900" w:h="16838" w:orient="portrait"/>
          <w:cols w:equalWidth="0" w:num="1">
            <w:col w:w="11240"/>
          </w:cols>
          <w:pgMar w:left="320" w:top="1178" w:right="339" w:bottom="1440" w:gutter="0" w:footer="0" w:header="0"/>
          <w:type w:val="continuous"/>
        </w:sectPr>
      </w:pPr>
    </w:p>
    <w:p>
      <w:pPr>
        <w:spacing w:after="0" w:line="100" w:lineRule="exact"/>
        <w:rPr>
          <w:sz w:val="24"/>
          <w:szCs w:val="24"/>
          <w:color w:val="auto"/>
        </w:rPr>
      </w:pPr>
    </w:p>
    <w:p>
      <w:pPr>
        <w:ind w:left="2260"/>
        <w:spacing w:after="0"/>
        <w:rPr>
          <w:sz w:val="20"/>
          <w:szCs w:val="20"/>
          <w:color w:val="auto"/>
        </w:rPr>
      </w:pPr>
      <w:r>
        <w:rPr>
          <w:rFonts w:ascii="Arial" w:cs="Arial" w:eastAsia="Arial" w:hAnsi="Arial"/>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10153</w:t>
      </w:r>
    </w:p>
    <w:p>
      <w:pPr>
        <w:spacing w:after="0" w:line="50" w:lineRule="exact"/>
        <w:rPr>
          <w:sz w:val="24"/>
          <w:szCs w:val="24"/>
          <w:color w:val="auto"/>
        </w:rPr>
      </w:pPr>
    </w:p>
    <w:p>
      <w:pPr>
        <w:sectPr>
          <w:pgSz w:w="11900" w:h="16838" w:orient="portrait"/>
          <w:cols w:equalWidth="0" w:num="2">
            <w:col w:w="7480" w:space="720"/>
            <w:col w:w="3040"/>
          </w:cols>
          <w:pgMar w:left="320" w:top="1178" w:right="339" w:bottom="1440" w:gutter="0" w:footer="0" w:header="0"/>
          <w:type w:val="continuous"/>
        </w:sectPr>
      </w:pPr>
    </w:p>
    <w:p>
      <w:pPr>
        <w:ind w:left="178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10" w:lineRule="exact"/>
        <w:rPr>
          <w:sz w:val="24"/>
          <w:szCs w:val="24"/>
          <w:color w:val="auto"/>
        </w:rPr>
      </w:pPr>
    </w:p>
    <w:p>
      <w:pPr>
        <w:sectPr>
          <w:pgSz w:w="11900" w:h="16838" w:orient="portrait"/>
          <w:cols w:equalWidth="0" w:num="2">
            <w:col w:w="7420" w:space="720"/>
            <w:col w:w="3100"/>
          </w:cols>
          <w:pgMar w:left="320" w:top="117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Title of each class</w:t>
            </w:r>
          </w:p>
        </w:tc>
        <w:tc>
          <w:tcPr>
            <w:tcW w:w="2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Trading Symbol(s)</w:t>
            </w:r>
          </w:p>
        </w:tc>
        <w:tc>
          <w:tcPr>
            <w:tcW w:w="422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Class A Common Stock, par value $0.0001 per share</w:t>
            </w:r>
          </w:p>
        </w:tc>
        <w:tc>
          <w:tcPr>
            <w:tcW w:w="10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PWP</w:t>
            </w:r>
          </w:p>
        </w:tc>
        <w:tc>
          <w:tcPr>
            <w:tcW w:w="80" w:type="dxa"/>
            <w:vAlign w:val="bottom"/>
          </w:tcPr>
          <w:p>
            <w:pPr>
              <w:spacing w:after="0"/>
              <w:rPr>
                <w:sz w:val="18"/>
                <w:szCs w:val="18"/>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184"/>
        </w:trPr>
        <w:tc>
          <w:tcPr>
            <w:tcW w:w="4720" w:type="dxa"/>
            <w:vAlign w:val="bottom"/>
            <w:gridSpan w:val="2"/>
          </w:tcPr>
          <w:p>
            <w:pPr>
              <w:jc w:val="center"/>
              <w:ind w:right="100"/>
              <w:spacing w:after="0" w:line="185" w:lineRule="exact"/>
              <w:rPr>
                <w:sz w:val="20"/>
                <w:szCs w:val="20"/>
                <w:color w:val="auto"/>
              </w:rPr>
            </w:pPr>
            <w:r>
              <w:rPr>
                <w:rFonts w:ascii="Arial" w:cs="Arial" w:eastAsia="Arial" w:hAnsi="Arial"/>
                <w:sz w:val="17"/>
                <w:szCs w:val="17"/>
                <w:color w:val="auto"/>
                <w:w w:val="90"/>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3"/>
              </w:rPr>
              <w:t>PWPPW</w:t>
            </w:r>
          </w:p>
        </w:tc>
        <w:tc>
          <w:tcPr>
            <w:tcW w:w="4220" w:type="dxa"/>
            <w:vAlign w:val="bottom"/>
            <w:vMerge w:val="restart"/>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216"/>
        </w:trPr>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common stock</w:t>
            </w:r>
          </w:p>
        </w:tc>
        <w:tc>
          <w:tcPr>
            <w:tcW w:w="2300" w:type="dxa"/>
            <w:vAlign w:val="bottom"/>
            <w:gridSpan w:val="2"/>
            <w:vMerge w:val="continue"/>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78"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previously announced offer by Perella Weinberg Partners, a Delaware corporation (the “Company”), to each holder of its outstanding warrants, each exercisable for one share of Class A common stock, par value $0.0001 per share (“Class A Common Stock”), of the Company, at an exercise price of $11.50 per share (the “Warrants”), the opportunity to receive 0.20 shares of Class A Common Stock in exchange for each Warrant tendered by the holder and exchanged pursuant to the offer (the “Offer”), the Company is filing this Current Report on Form 8-K to provide certain unaudited pro forma condensed combined financial information of the Company as of and for the six months ended June 30, 2022 and for the year ended December 31, 2021 that gives effect to certain transactions described therein, as set forth under Item 9.01 below, which is incorporated herein by reference. As further described therein, the unaudited pro forma condensed combined financial information is for illustrative purposes only and does not purport to represent the Company’s consolidated results of operations or consolidated financial position that would actually have occurred if the transactions had been consummated on the dates assumed or to project the Company’s consolidated results of operations or consolidated financial position for any future date or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Securities and Exchange Commission (“SEC”)</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Offer described in this Current Report on Form 8-K commenced on July 22, 2022. On July 22, 2022, a registration statement on Form S-4 and an exchange offer statement on Schedule TO (the “Schedule TO”), including an offer to exchange, a letter of transmittal and consent and related documents, were filed with the SEC by the Company. The Offer to exchange the outstanding Warrants of the Company will only be made pursuant to the Prospectus/Offer to Exchange, dated July 22, 2022 (the “Prospectus/Offer to Exchange”), and Schedule TO, including related documents filed as a part of the Offer. INVESTORS AND SECURITY HOLDERS ARE URGED TO READ THE PROSPECTUS/OFFER TO EXCHANGE AND SCHEDULE TO FILED OR TO BE FILED WITH THE SEC CAREFULLY, AS THEY MAY BE AMENDED OR SUPPLEMENTED FROM TIME TO TIME, BECAUSE THEY CONTAIN OR WILL CONTAIN IMPORTANT INFORMATION THAT INVESTORS AND SECURITY HOLDERS SHOULD CONSIDER BEFORE MAKING ANY DECISION REGARDING THE EXCHANGE OFFER, INCLUDING THE TERMS AND CONDITIONS OF THE EXCHANGE OFFER. Investors and security holders may obtain a free copy of these statements (when available) and other documents filed with the SEC at the website maintained by the SEC at www.sec.gov or by directing such requests to D.F. King &amp; Co., Inc. at (866) 342-4881 (for Warrant holders) or</w:t>
      </w:r>
    </w:p>
    <w:p>
      <w:pPr>
        <w:spacing w:after="0" w:line="5" w:lineRule="exact"/>
        <w:rPr>
          <w:sz w:val="20"/>
          <w:szCs w:val="20"/>
          <w:color w:val="auto"/>
        </w:rPr>
      </w:pPr>
    </w:p>
    <w:p>
      <w:pPr>
        <w:ind w:firstLine="8"/>
        <w:spacing w:after="0" w:line="323" w:lineRule="auto"/>
        <w:tabs>
          <w:tab w:leader="none" w:pos="437" w:val="left"/>
        </w:tabs>
        <w:numPr>
          <w:ilvl w:val="0"/>
          <w:numId w:val="4"/>
        </w:numPr>
        <w:rPr>
          <w:rFonts w:ascii="Arial" w:cs="Arial" w:eastAsia="Arial" w:hAnsi="Arial"/>
          <w:sz w:val="16"/>
          <w:szCs w:val="16"/>
          <w:color w:val="auto"/>
        </w:rPr>
      </w:pPr>
      <w:r>
        <w:rPr>
          <w:rFonts w:ascii="Arial" w:cs="Arial" w:eastAsia="Arial" w:hAnsi="Arial"/>
          <w:sz w:val="16"/>
          <w:szCs w:val="16"/>
          <w:color w:val="auto"/>
        </w:rPr>
        <w:t>269-5550 (for banks and brokers) or via the following email address: pwp@dfking.com. Investors and security holders may also obtain, at no charge, the documents filed or furnished to the SEC by the Company under the “Investors” section of the Company’s website at investors.pwpartners.com.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Form 8-K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has been filed with the SEC but has not yet become effective. Such securities may not be sold nor may offers to buy be accepted prior to the time the registration statement becomes effective. No offering of securities shall be made except by means of a prospectus meeting the requirements of Section 10 of the Securities Act of 1933, as amended.</w:t>
      </w:r>
    </w:p>
    <w:p>
      <w:pPr>
        <w:sectPr>
          <w:pgSz w:w="11900" w:h="16838" w:orient="portrait"/>
          <w:cols w:equalWidth="0" w:num="1">
            <w:col w:w="11240"/>
          </w:cols>
          <w:pgMar w:left="320" w:top="14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Current Report on Form 8-K contains forward-looking statements within the meaning of the “safe harbor” provisions of the United States Private Securities Litigation Reform Act of 1995, which reflect the Company’s current views with respect to, among other things, statements about the Offer.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The Company undertakes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Registration Statement on Form S-4, filed with the SEC on July 22, 2022, and Amendment No. 1 to the Company’s Annual Report on Form 10-K/A for the year ended December 31, 2021, filed with the SEC on July 7, 2022. These filings and subsequent filings are available online at www.sec.gov or on request from the Company.</w:t>
      </w:r>
    </w:p>
    <w:p>
      <w:pPr>
        <w:spacing w:after="0" w:line="1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unaudited pro forma condensed combined financial information is filed as Exhibit 99.1 hereto and is incorporated herein by reference.</w:t>
      </w:r>
    </w:p>
    <w:p>
      <w:pPr>
        <w:spacing w:after="0" w:line="237" w:lineRule="exact"/>
        <w:rPr>
          <w:sz w:val="20"/>
          <w:szCs w:val="20"/>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Financial Condition as of June 30, 2022;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Operations for the year ended December 31,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Operations for the six months ended June 30,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Notes to the Unaudited Pro Forma Condensed Combined Financial Statements.</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18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99.1</w:t>
            </w:r>
          </w:p>
        </w:tc>
        <w:tc>
          <w:tcPr>
            <w:tcW w:w="6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880" w:type="dxa"/>
            <w:vAlign w:val="bottom"/>
            <w:tcBorders>
              <w:top w:val="single" w:sz="8" w:color="auto"/>
              <w:bottom w:val="single" w:sz="8" w:color="0000FF"/>
            </w:tcBorders>
          </w:tcPr>
          <w:p>
            <w:pPr>
              <w:spacing w:after="0" w:line="189" w:lineRule="exact"/>
              <w:rPr>
                <w:sz w:val="20"/>
                <w:szCs w:val="20"/>
                <w:color w:val="auto"/>
              </w:rPr>
            </w:pPr>
            <w:r>
              <w:rPr>
                <w:rFonts w:ascii="Arial" w:cs="Arial" w:eastAsia="Arial" w:hAnsi="Arial"/>
                <w:sz w:val="18"/>
                <w:szCs w:val="18"/>
                <w:color w:val="0000FF"/>
                <w:w w:val="91"/>
              </w:rPr>
              <w:t>Unaudited Pro Forma Condensed Combined Financial Information.</w:t>
            </w:r>
          </w:p>
        </w:tc>
        <w:tc>
          <w:tcPr>
            <w:tcW w:w="3940" w:type="dxa"/>
            <w:vAlign w:val="bottom"/>
            <w:tcBorders>
              <w:top w:val="single" w:sz="8" w:color="auto"/>
            </w:tcBorders>
          </w:tcPr>
          <w:p>
            <w:pPr>
              <w:spacing w:after="0"/>
              <w:rPr>
                <w:sz w:val="16"/>
                <w:szCs w:val="16"/>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w:t>
      </w:r>
    </w:p>
    <w:p>
      <w:pPr>
        <w:spacing w:after="0" w:line="195" w:lineRule="exact"/>
        <w:rPr>
          <w:sz w:val="20"/>
          <w:szCs w:val="20"/>
          <w:color w:val="auto"/>
        </w:rPr>
      </w:pPr>
    </w:p>
    <w:p>
      <w:pPr>
        <w:ind w:right="320" w:firstLine="648"/>
        <w:spacing w:after="0" w:line="229"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3660" w:type="dxa"/>
            <w:vAlign w:val="bottom"/>
          </w:tcPr>
          <w:p>
            <w:pPr>
              <w:spacing w:after="0"/>
              <w:rPr>
                <w:sz w:val="21"/>
                <w:szCs w:val="21"/>
                <w:color w:val="auto"/>
              </w:rPr>
            </w:pPr>
          </w:p>
        </w:tc>
        <w:tc>
          <w:tcPr>
            <w:tcW w:w="7560" w:type="dxa"/>
            <w:vAlign w:val="bottom"/>
            <w:gridSpan w:val="2"/>
          </w:tcPr>
          <w:p>
            <w:pPr>
              <w:ind w:left="1880"/>
              <w:spacing w:after="0"/>
              <w:rPr>
                <w:sz w:val="20"/>
                <w:szCs w:val="20"/>
                <w:color w:val="auto"/>
              </w:rPr>
            </w:pPr>
            <w:r>
              <w:rPr>
                <w:rFonts w:ascii="Arial" w:cs="Arial" w:eastAsia="Arial" w:hAnsi="Arial"/>
                <w:sz w:val="20"/>
                <w:szCs w:val="20"/>
                <w:color w:val="auto"/>
              </w:rPr>
              <w:t>PERELLA WEINBERG PARTNERS</w:t>
            </w:r>
          </w:p>
        </w:tc>
      </w:tr>
      <w:tr>
        <w:trPr>
          <w:trHeight w:val="257"/>
        </w:trPr>
        <w:tc>
          <w:tcPr>
            <w:tcW w:w="3660" w:type="dxa"/>
            <w:vAlign w:val="bottom"/>
          </w:tcPr>
          <w:p>
            <w:pPr>
              <w:spacing w:after="0"/>
              <w:rPr>
                <w:sz w:val="22"/>
                <w:szCs w:val="22"/>
                <w:color w:val="auto"/>
              </w:rPr>
            </w:pPr>
          </w:p>
        </w:tc>
        <w:tc>
          <w:tcPr>
            <w:tcW w:w="7560" w:type="dxa"/>
            <w:vAlign w:val="bottom"/>
            <w:gridSpan w:val="2"/>
          </w:tcPr>
          <w:p>
            <w:pPr>
              <w:ind w:left="1880"/>
              <w:spacing w:after="0"/>
              <w:rPr>
                <w:sz w:val="20"/>
                <w:szCs w:val="20"/>
                <w:color w:val="auto"/>
              </w:rPr>
            </w:pPr>
            <w:r>
              <w:rPr>
                <w:rFonts w:ascii="Arial" w:cs="Arial" w:eastAsia="Arial" w:hAnsi="Arial"/>
                <w:sz w:val="20"/>
                <w:szCs w:val="20"/>
                <w:color w:val="auto"/>
              </w:rPr>
              <w:t>(Registrant)</w:t>
            </w:r>
          </w:p>
        </w:tc>
      </w:tr>
      <w:tr>
        <w:trPr>
          <w:trHeight w:val="691"/>
        </w:trPr>
        <w:tc>
          <w:tcPr>
            <w:tcW w:w="3660" w:type="dxa"/>
            <w:vAlign w:val="bottom"/>
          </w:tcPr>
          <w:p>
            <w:pPr>
              <w:spacing w:after="0"/>
              <w:rPr>
                <w:sz w:val="20"/>
                <w:szCs w:val="20"/>
                <w:color w:val="auto"/>
              </w:rPr>
            </w:pPr>
            <w:r>
              <w:rPr>
                <w:rFonts w:ascii="Arial" w:cs="Arial" w:eastAsia="Arial" w:hAnsi="Arial"/>
                <w:sz w:val="20"/>
                <w:szCs w:val="20"/>
                <w:color w:val="auto"/>
              </w:rPr>
              <w:t>Date: August 11, 2022</w:t>
            </w:r>
          </w:p>
        </w:tc>
        <w:tc>
          <w:tcPr>
            <w:tcW w:w="2720" w:type="dxa"/>
            <w:vAlign w:val="bottom"/>
          </w:tcPr>
          <w:p>
            <w:pPr>
              <w:ind w:left="1880"/>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Gary Barancik</w:t>
            </w:r>
          </w:p>
        </w:tc>
      </w:tr>
      <w:tr>
        <w:trPr>
          <w:trHeight w:val="250"/>
        </w:trPr>
        <w:tc>
          <w:tcPr>
            <w:tcW w:w="3660" w:type="dxa"/>
            <w:vAlign w:val="bottom"/>
          </w:tcPr>
          <w:p>
            <w:pPr>
              <w:spacing w:after="0"/>
              <w:rPr>
                <w:sz w:val="21"/>
                <w:szCs w:val="21"/>
                <w:color w:val="auto"/>
              </w:rPr>
            </w:pPr>
          </w:p>
        </w:tc>
        <w:tc>
          <w:tcPr>
            <w:tcW w:w="2720" w:type="dxa"/>
            <w:vAlign w:val="bottom"/>
          </w:tcPr>
          <w:p>
            <w:pPr>
              <w:ind w:left="1880"/>
              <w:spacing w:after="0"/>
              <w:rPr>
                <w:sz w:val="20"/>
                <w:szCs w:val="20"/>
                <w:color w:val="auto"/>
              </w:rPr>
            </w:pPr>
            <w:r>
              <w:rPr>
                <w:rFonts w:ascii="Arial" w:cs="Arial" w:eastAsia="Arial" w:hAnsi="Arial"/>
                <w:sz w:val="20"/>
                <w:szCs w:val="20"/>
                <w:color w:val="auto"/>
              </w:rPr>
              <w:t>Name:</w:t>
            </w:r>
          </w:p>
        </w:tc>
        <w:tc>
          <w:tcPr>
            <w:tcW w:w="4840" w:type="dxa"/>
            <w:vAlign w:val="bottom"/>
          </w:tcPr>
          <w:p>
            <w:pPr>
              <w:ind w:left="20"/>
              <w:spacing w:after="0"/>
              <w:rPr>
                <w:sz w:val="20"/>
                <w:szCs w:val="20"/>
                <w:color w:val="auto"/>
              </w:rPr>
            </w:pPr>
            <w:r>
              <w:rPr>
                <w:rFonts w:ascii="Arial" w:cs="Arial" w:eastAsia="Arial" w:hAnsi="Arial"/>
                <w:sz w:val="20"/>
                <w:szCs w:val="20"/>
                <w:color w:val="auto"/>
              </w:rPr>
              <w:t>Gary Barancik</w:t>
            </w:r>
          </w:p>
        </w:tc>
      </w:tr>
      <w:tr>
        <w:trPr>
          <w:trHeight w:val="253"/>
        </w:trPr>
        <w:tc>
          <w:tcPr>
            <w:tcW w:w="3660" w:type="dxa"/>
            <w:vAlign w:val="bottom"/>
          </w:tcPr>
          <w:p>
            <w:pPr>
              <w:spacing w:after="0"/>
              <w:rPr>
                <w:sz w:val="22"/>
                <w:szCs w:val="22"/>
                <w:color w:val="auto"/>
              </w:rPr>
            </w:pPr>
          </w:p>
        </w:tc>
        <w:tc>
          <w:tcPr>
            <w:tcW w:w="2720" w:type="dxa"/>
            <w:vAlign w:val="bottom"/>
          </w:tcPr>
          <w:p>
            <w:pPr>
              <w:ind w:left="1880"/>
              <w:spacing w:after="0"/>
              <w:rPr>
                <w:sz w:val="20"/>
                <w:szCs w:val="20"/>
                <w:color w:val="auto"/>
              </w:rPr>
            </w:pPr>
            <w:r>
              <w:rPr>
                <w:rFonts w:ascii="Arial" w:cs="Arial" w:eastAsia="Arial" w:hAnsi="Arial"/>
                <w:sz w:val="20"/>
                <w:szCs w:val="20"/>
                <w:color w:val="auto"/>
              </w:rPr>
              <w:t>Title:</w:t>
            </w:r>
          </w:p>
        </w:tc>
        <w:tc>
          <w:tcPr>
            <w:tcW w:w="484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139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Unless the context otherwise indicates, references herein to the “Company,” “we,” “our” and “us” refer, collectively, to Perella Weinberg Partners, a Delaware corporation, and its consolidated subsidiaries, and references to “PWP” (i) prior to the Business Combination (as defined below) are to PWP Holdings LP, a Delaware limited partnership (“PWP OpCo”), and its consolidated subsidiaries and (ii) following the consummation of the Business Combination are to Perella Weinberg Partners and its consolidated subsidiaries.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unaudited pro forma condensed combined statement of financial condition as of June 30, 2022 gives effect to the impact of the Company’s offer to the holders of its warrants (the “Warrants”) to purchase shares of its Class A Common Stock, $0.0001 par value per share (“Class A Common Stock”), the opportunity to receive 0.20 shares of Class A Common Stock in exchange for each Warrant tendered by the holder and exchanged pursuant to the offer (the “Offer”) as if all Warrants were exchanged for Class A Common Stock on that date. The unaudited pro forma condensed combined statements of operations set forth financial information for (i) the year ended December 31, 2021 after giving effect to the Business Combination, our underwritten public offering of 3,502,033 shares of our Class A Common Stock completed on January 21, 2022 (the “January 2022 Offering”), the exchange of all Warrants for Class A Common Stock pursuant to the Offer and related adjustments as if they had been consummated on January 1, 2021 and (ii) the six months ended June 30, 2022 after only giving effect to the January 2022 Offering and the exchange of all Warrants for Class A Common Stock pursuant to the Offer as if they had been consummated on January 1, 2021 since the Business Combination is already reflected in PWP’s historical unaudited condensed consolidated financial statements for the six months ended June 30,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22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FinTech Acquisition Corp. IV (“FTIV”) for the period from January 1, 2021 through June 24, 2021 (the “Closing Date”);</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PWP for the year ended December 31, 2021 included in Amendment No. 1 to the Company’s Annual Report on Form 10-K/A for the year ended December 31, 2021, filed with the Securities and Exchange Commission (“SEC”) on July 7, 2022 (the “2021 Annual Report”); and</w:t>
      </w:r>
    </w:p>
    <w:p>
      <w:pPr>
        <w:spacing w:after="0" w:line="1" w:lineRule="exact"/>
        <w:rPr>
          <w:rFonts w:ascii="Arial" w:cs="Arial" w:eastAsia="Arial" w:hAnsi="Arial"/>
          <w:sz w:val="18"/>
          <w:szCs w:val="18"/>
          <w:color w:val="auto"/>
        </w:rPr>
      </w:pPr>
    </w:p>
    <w:p>
      <w:pPr>
        <w:jc w:val="both"/>
        <w:ind w:left="660" w:right="30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six months ended June 30, 2022 included in the Company’s Quarterly Report on Form 10-Q for the six months ended June 30, 2022, filed with the SEC on August 4, 2022 (the “2022 Second Quarterly Report”).</w:t>
      </w:r>
    </w:p>
    <w:p>
      <w:pPr>
        <w:spacing w:after="0" w:line="1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foregoing historical financial statements have been prepared in accordance with United States generally accepted accounting principles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if the Business Combination, the January 2022 Offering, and the Offer had been consummated on the dates assumed or to project our consolidated results of operations or consolidated financial position for any future date or period.</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 the Company’s Registration Statement on Form S-4, filed with the SEC on July 22, 2022, as well as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and our consolidated financial statements and related notes, all of which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2021 Annual Report and the 2022 Second Quarterly Report.</w:t>
      </w:r>
    </w:p>
    <w:p>
      <w:pPr>
        <w:sectPr>
          <w:pgSz w:w="11900" w:h="16838" w:orient="portrait"/>
          <w:cols w:equalWidth="0" w:num="1">
            <w:col w:w="11240"/>
          </w:cols>
          <w:pgMar w:left="320" w:top="121" w:right="339" w:bottom="1440" w:gutter="0" w:footer="0" w:header="0"/>
        </w:sectPr>
      </w:pPr>
    </w:p>
    <w:bookmarkStart w:id="5" w:name="page6"/>
    <w:bookmarkEnd w:id="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24, 2021, the business combination (the “Business Combination”) contemplated by the Business Combination Agreement , dated as of December 29, 2020 (the “Business Combination Agreement”), by and among FTIV, FinTech Investor Holdings IV, LLC, a Delaware limited liability company, FinTech Masala Advisors, LLC, a Delaware limited liability company (together with FinTech Investor Holdings IV, LLC, “Sponsor”),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was completed (the “Closing”).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Agreement, subject to certain conditions set forth therein, and in connection with the Closing:</w:t>
      </w:r>
    </w:p>
    <w:p>
      <w:pPr>
        <w:spacing w:after="0" w:line="171" w:lineRule="exact"/>
        <w:rPr>
          <w:sz w:val="20"/>
          <w:szCs w:val="20"/>
          <w:color w:val="auto"/>
        </w:rPr>
      </w:pPr>
    </w:p>
    <w:p>
      <w:pPr>
        <w:ind w:left="660" w:right="220" w:hanging="328"/>
        <w:spacing w:after="0" w:line="308" w:lineRule="auto"/>
        <w:tabs>
          <w:tab w:leader="none" w:pos="65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acquired newly-issued Class A partnership units of PWP OpCo in exchange for cash in an amount equal to the outstanding excess cash balances of the Company (including the proceeds from the PIPE Investment (as defined below)) as of Closing;</w:t>
      </w:r>
    </w:p>
    <w:p>
      <w:pPr>
        <w:spacing w:after="0" w:line="92"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71" w:lineRule="exact"/>
        <w:rPr>
          <w:rFonts w:ascii="Arial" w:cs="Arial" w:eastAsia="Arial" w:hAnsi="Arial"/>
          <w:sz w:val="18"/>
          <w:szCs w:val="18"/>
          <w:color w:val="auto"/>
        </w:rPr>
      </w:pPr>
    </w:p>
    <w:p>
      <w:pPr>
        <w:ind w:left="660" w:right="100" w:hanging="328"/>
        <w:spacing w:after="0" w:line="26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issued new shares of Class B-1 common stock, par value $0.0001 per share (“Class B-1 Common Stock”), and Class B-2 common stock, par value $0.0001 per share (“Class B-2 Common Stock” and, together with the Class B-1 Common Stock, the “Class B Common Stock”), to PWP OpCo, with the Class B-1 Common Stock being distributed to and owned by Professional Partners and the Class B-2 Common Stock being distributed to and owned by certain existing investor limited partners of PWP OpCo who hold interests in PWP OpCo, alongside Professional Partners (“ILPs”), with the number of shares of such common stock issued to PWP OpCo equal the number of Class A partnership units of PWP OpCo that were held by Professional Partners and ILPs, respectively, following the Closing; and</w:t>
      </w:r>
    </w:p>
    <w:p>
      <w:pPr>
        <w:ind w:left="660" w:right="200" w:hanging="328"/>
        <w:spacing w:after="0" w:line="277" w:lineRule="auto"/>
        <w:tabs>
          <w:tab w:leader="none" w:pos="65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repaid certain indebtedness of PWP OpCo and its subsidiaries, and paid certain expenses, and PWP OpCo first redeemed PWP OpCo units held by certain electing ILPs, and second, redeemed PWP OpCo units held by certain former working limited partners whose tenure was terminated prior to November 1, 2020 and retained remaining proceeds for general corporate purposes.</w:t>
      </w:r>
    </w:p>
    <w:p>
      <w:pPr>
        <w:spacing w:after="0" w:line="119"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Concurrently with the execution of the Business Combination Agreement, the Company also entered into a Subscription Agreement with certain private investors (the “PIPE Investors”) pursuant to, and on the terms and subject to the conditions of, which the PIPE Investors have collectively subscribed for 12.5 million shares of the Company’s Class A Common Stock for an aggregate purchase price equal to $125 million (the “PIPE Investment”), including $1.5 million subscribed by entities related to the Sponsor. The PIPE Investment was consummated concurrently with the Closing.</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Closing, the Company entered into a tax receivable agreement with PWP OpCo, Professional Partners and certain other persons party thereto (the “Tax Receivable Agreement”). The Tax Receivable Agreement generally provides for payment by the Company to ILPs and certain Partners (as defined therein) (the “TRA Parties”)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 The Company expects to retain the benefit of the remaining 15% of these cash tax savings.</w:t>
      </w:r>
    </w:p>
    <w:p>
      <w:pPr>
        <w:sectPr>
          <w:pgSz w:w="11900" w:h="16838" w:orient="portrait"/>
          <w:cols w:equalWidth="0" w:num="1">
            <w:col w:w="11240"/>
          </w:cols>
          <w:pgMar w:left="320" w:top="1440" w:right="339" w:bottom="1440" w:gutter="0" w:footer="0" w:header="0"/>
        </w:sectPr>
      </w:pPr>
    </w:p>
    <w:bookmarkStart w:id="6" w:name="page7"/>
    <w:bookmarkEnd w:id="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the ownership interests in the Company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35,500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Founder Shares and Placement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at Closing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42,957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50,154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Class A Partnership Units Fully Exchanged)***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93,111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Class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w w:val="87"/>
              </w:rPr>
              <w:t>50,154</w:t>
            </w:r>
          </w:p>
        </w:tc>
        <w:tc>
          <w:tcPr>
            <w:tcW w:w="100" w:type="dxa"/>
            <w:vAlign w:val="bottom"/>
          </w:tcPr>
          <w:p>
            <w:pPr>
              <w:spacing w:after="0"/>
              <w:rPr>
                <w:sz w:val="17"/>
                <w:szCs w:val="17"/>
                <w:color w:val="auto"/>
              </w:rPr>
            </w:pPr>
          </w:p>
        </w:tc>
        <w:tc>
          <w:tcPr>
            <w:tcW w:w="170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32"/>
        <w:spacing w:after="0" w:line="292" w:lineRule="auto"/>
        <w:tabs>
          <w:tab w:leader="none" w:pos="331"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References herein to “Founder Shares” refer to the 7,870,000 shares of Class B Common Stock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on January 7, 2022. References herein to “Placement Shares” refer to the 610,000 shares of Class A Common Stock underlying the 610,000 units that were initially issued to the Sponsor in a private placement simultaneously with the closing of FTIV’s initial public offering and which were distributed to the Sponsor’s members on</w:t>
      </w:r>
    </w:p>
    <w:p>
      <w:pPr>
        <w:spacing w:after="0" w:line="12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100% of Founder Shares and Placement Shares, including those subject to performance targets.</w:t>
      </w:r>
    </w:p>
    <w:p>
      <w:pPr>
        <w:spacing w:after="0" w:line="21" w:lineRule="exact"/>
        <w:rPr>
          <w:rFonts w:ascii="Arial" w:cs="Arial" w:eastAsia="Arial" w:hAnsi="Arial"/>
          <w:sz w:val="14"/>
          <w:szCs w:val="14"/>
          <w:color w:val="auto"/>
        </w:rPr>
      </w:pPr>
    </w:p>
    <w:p>
      <w:pPr>
        <w:ind w:left="340" w:right="420" w:hanging="332"/>
        <w:spacing w:after="0" w:line="281" w:lineRule="auto"/>
        <w:tabs>
          <w:tab w:leader="none" w:pos="337"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Arial" w:cs="Arial" w:eastAsia="Arial" w:hAnsi="Arial"/>
          <w:sz w:val="13"/>
          <w:szCs w:val="13"/>
          <w:color w:val="auto"/>
        </w:rPr>
      </w:pPr>
    </w:p>
    <w:p>
      <w:pPr>
        <w:ind w:left="340" w:right="140" w:hanging="332"/>
        <w:spacing w:after="0" w:line="26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was treated as the equivalent of a capital transaction in which PWP issued stock for the net assets of FTIV. The net assets of FTIV were recorded at historical cost, with no goodwill or other intangible assets recorded.</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Arial" w:cs="Arial" w:eastAsia="Arial" w:hAnsi="Arial"/>
          <w:sz w:val="16"/>
          <w:szCs w:val="16"/>
          <w:i w:val="1"/>
          <w:iCs w:val="1"/>
          <w:color w:val="auto"/>
        </w:rPr>
        <w:t>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Closing, the Company entered into the Tax Receivable Agreement that provides for payment by the Company to TRA Parties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w:t>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of Professional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as if granted on January 1, 2021.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the unaudited pro forma condensed combined financial information gives effect to the issuance of 10.2 million restricted stock units and performance restricted stock units granted in connection with the Business Combination (“Transaction RSUs” and “Transaction PSUs,” respectively), as if granted on January 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January 2022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January 21, 2022, the Company completed an underwritten public offering of 3,502,033 shares of our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Upon consummation of the January 2022 Offering and the use of proceeds thereof, the ownership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39,881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Founder Shares and Placement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Upon Consummation of January 2022 Offering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46,338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46,656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92,994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w w:val="87"/>
              </w:rPr>
              <w:t>46,656</w:t>
            </w:r>
          </w:p>
        </w:tc>
        <w:tc>
          <w:tcPr>
            <w:tcW w:w="100" w:type="dxa"/>
            <w:vAlign w:val="bottom"/>
          </w:tcPr>
          <w:p>
            <w:pPr>
              <w:spacing w:after="0"/>
              <w:rPr>
                <w:sz w:val="17"/>
                <w:szCs w:val="17"/>
                <w:color w:val="auto"/>
              </w:rPr>
            </w:pPr>
          </w:p>
        </w:tc>
        <w:tc>
          <w:tcPr>
            <w:tcW w:w="170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100% of Founder Shares and Placement Shares, including those subject to performance targets.</w:t>
      </w:r>
    </w:p>
    <w:p>
      <w:pPr>
        <w:spacing w:after="0" w:line="9" w:lineRule="exact"/>
        <w:rPr>
          <w:sz w:val="20"/>
          <w:szCs w:val="20"/>
          <w:color w:val="auto"/>
        </w:rPr>
      </w:pPr>
    </w:p>
    <w:p>
      <w:pPr>
        <w:ind w:left="340" w:right="460" w:hanging="332"/>
        <w:spacing w:after="0" w:line="281" w:lineRule="auto"/>
        <w:tabs>
          <w:tab w:leader="none" w:pos="301"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Arial" w:cs="Arial" w:eastAsia="Arial" w:hAnsi="Arial"/>
          <w:sz w:val="13"/>
          <w:szCs w:val="13"/>
          <w:color w:val="auto"/>
        </w:rPr>
      </w:pPr>
    </w:p>
    <w:p>
      <w:pPr>
        <w:ind w:left="340" w:right="140" w:hanging="332"/>
        <w:spacing w:after="0" w:line="26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ectPr>
          <w:pgSz w:w="11900" w:h="16838" w:orient="portrait"/>
          <w:cols w:equalWidth="0" w:num="1">
            <w:col w:w="11240"/>
          </w:cols>
          <w:pgMar w:left="320" w:top="1440" w:right="339" w:bottom="1440" w:gutter="0" w:footer="0" w:header="0"/>
        </w:sectPr>
      </w:pPr>
    </w:p>
    <w:bookmarkStart w:id="8" w:name="page9"/>
    <w:bookmarkEnd w:id="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Offer</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is offering to the holders of our Warrants the opportunity to receive 0.20 shares of Class A Common Stock in exchange for each of our Warrants tendered by the Warrant Holder and exchanged pursuant to the Offer.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Upon consummation of the Offer and assuming all Warrants are exchanged for Class A Common Stock, the ownership is expected to be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35,870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229"/>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Founder Shares and Placement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Upon Consummation of the Offer†</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42,327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45,690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88,017</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w w:val="87"/>
              </w:rPr>
              <w:t>45,690</w:t>
            </w:r>
          </w:p>
        </w:tc>
        <w:tc>
          <w:tcPr>
            <w:tcW w:w="100" w:type="dxa"/>
            <w:vAlign w:val="bottom"/>
          </w:tcPr>
          <w:p>
            <w:pPr>
              <w:spacing w:after="0"/>
              <w:rPr>
                <w:sz w:val="17"/>
                <w:szCs w:val="17"/>
                <w:color w:val="auto"/>
              </w:rPr>
            </w:pPr>
          </w:p>
        </w:tc>
        <w:tc>
          <w:tcPr>
            <w:tcW w:w="170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right="1760" w:firstLine="8"/>
        <w:spacing w:after="0" w:line="257" w:lineRule="auto"/>
        <w:tabs>
          <w:tab w:leader="none" w:pos="3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the Company’s repurchase of 7,032,179 shares of Class A Common Stock that settled through July 21, 2022 pursuant to its stock repurchase program. * Includes 100% of Founder Shares and Placement Shares, including those subject to performance targets.</w:t>
      </w:r>
    </w:p>
    <w:p>
      <w:pPr>
        <w:ind w:left="340" w:right="420" w:hanging="324"/>
        <w:spacing w:after="0" w:line="277" w:lineRule="auto"/>
        <w:rPr>
          <w:rFonts w:ascii="Arial" w:cs="Arial" w:eastAsia="Arial" w:hAnsi="Arial"/>
          <w:sz w:val="14"/>
          <w:szCs w:val="14"/>
          <w:color w:val="auto"/>
        </w:rPr>
      </w:pPr>
      <w:r>
        <w:rPr>
          <w:rFonts w:ascii="Arial" w:cs="Arial" w:eastAsia="Arial" w:hAnsi="Arial"/>
          <w:sz w:val="13"/>
          <w:szCs w:val="13"/>
          <w:color w:val="auto"/>
        </w:rPr>
        <w:t>** 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140" w:hanging="324"/>
        <w:spacing w:after="0" w:line="275" w:lineRule="auto"/>
        <w:rPr>
          <w:rFonts w:ascii="Arial" w:cs="Arial" w:eastAsia="Arial" w:hAnsi="Arial"/>
          <w:sz w:val="14"/>
          <w:szCs w:val="14"/>
          <w:color w:val="auto"/>
        </w:rPr>
      </w:pPr>
      <w:r>
        <w:rPr>
          <w:rFonts w:ascii="Arial" w:cs="Arial" w:eastAsia="Arial" w:hAnsi="Arial"/>
          <w:sz w:val="14"/>
          <w:szCs w:val="14"/>
          <w:color w:val="auto"/>
        </w:rPr>
        <w:t>*** 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7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as well as the consummation of the January 2022 Offering and the Offer assuming all Warrants are exchanged for Class A Common Stock.</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PWP</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Offer Adjustments</w:t>
            </w:r>
          </w:p>
        </w:tc>
        <w:tc>
          <w:tcPr>
            <w:tcW w:w="6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 Forma Combined</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150,286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150,286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83"/>
        </w:trPr>
        <w:tc>
          <w:tcPr>
            <w:tcW w:w="6200" w:type="dxa"/>
            <w:vAlign w:val="bottom"/>
          </w:tcPr>
          <w:p>
            <w:pPr>
              <w:ind w:left="120"/>
              <w:spacing w:after="0"/>
              <w:rPr>
                <w:sz w:val="20"/>
                <w:szCs w:val="20"/>
                <w:color w:val="auto"/>
              </w:rPr>
            </w:pPr>
            <w:r>
              <w:rPr>
                <w:rFonts w:ascii="Arial" w:cs="Arial" w:eastAsia="Arial" w:hAnsi="Arial"/>
                <w:sz w:val="18"/>
                <w:szCs w:val="18"/>
                <w:color w:val="auto"/>
              </w:rPr>
              <w:t>Investments in short-term marketable debt securities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114,819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114,819</w:t>
            </w:r>
          </w:p>
        </w:tc>
        <w:tc>
          <w:tcPr>
            <w:tcW w:w="0" w:type="dxa"/>
            <w:vAlign w:val="bottom"/>
          </w:tcPr>
          <w:p>
            <w:pPr>
              <w:spacing w:after="0"/>
              <w:rPr>
                <w:sz w:val="1"/>
                <w:szCs w:val="1"/>
                <w:color w:val="auto"/>
              </w:rPr>
            </w:pPr>
          </w:p>
        </w:tc>
      </w:tr>
      <w:tr>
        <w:trPr>
          <w:trHeight w:val="283"/>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38,883</w:t>
            </w:r>
          </w:p>
        </w:tc>
        <w:tc>
          <w:tcPr>
            <w:tcW w:w="0" w:type="dxa"/>
            <w:vAlign w:val="bottom"/>
          </w:tcPr>
          <w:p>
            <w:pPr>
              <w:spacing w:after="0"/>
              <w:rPr>
                <w:sz w:val="1"/>
                <w:szCs w:val="1"/>
                <w:color w:val="auto"/>
              </w:rPr>
            </w:pPr>
          </w:p>
        </w:tc>
      </w:tr>
      <w:tr>
        <w:trPr>
          <w:trHeight w:val="283"/>
        </w:trPr>
        <w:tc>
          <w:tcPr>
            <w:tcW w:w="6200" w:type="dxa"/>
            <w:vAlign w:val="bottom"/>
          </w:tcPr>
          <w:p>
            <w:pPr>
              <w:ind w:left="120"/>
              <w:spacing w:after="0"/>
              <w:rPr>
                <w:sz w:val="20"/>
                <w:szCs w:val="20"/>
                <w:color w:val="auto"/>
              </w:rPr>
            </w:pPr>
            <w:r>
              <w:rPr>
                <w:rFonts w:ascii="Arial" w:cs="Arial" w:eastAsia="Arial" w:hAnsi="Arial"/>
                <w:sz w:val="18"/>
                <w:szCs w:val="18"/>
                <w:color w:val="auto"/>
              </w:rPr>
              <w:t>Due from related parties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83"/>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assets, net of accumulated depreciation and amortization</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84"/>
        </w:trPr>
        <w:tc>
          <w:tcPr>
            <w:tcW w:w="6200" w:type="dxa"/>
            <w:vAlign w:val="bottom"/>
          </w:tcPr>
          <w:p>
            <w:pPr>
              <w:ind w:left="120"/>
              <w:spacing w:after="0"/>
              <w:rPr>
                <w:sz w:val="20"/>
                <w:szCs w:val="20"/>
                <w:color w:val="auto"/>
              </w:rPr>
            </w:pPr>
            <w:r>
              <w:rPr>
                <w:rFonts w:ascii="Arial" w:cs="Arial" w:eastAsia="Arial" w:hAnsi="Arial"/>
                <w:sz w:val="18"/>
                <w:szCs w:val="18"/>
                <w:color w:val="auto"/>
              </w:rPr>
              <w:t>Intangible assets, net of accumulated amortization</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83"/>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83"/>
        </w:trPr>
        <w:tc>
          <w:tcPr>
            <w:tcW w:w="6200" w:type="dxa"/>
            <w:vAlign w:val="bottom"/>
          </w:tcPr>
          <w:p>
            <w:pPr>
              <w:ind w:left="1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83"/>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lease assets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99,670</w:t>
            </w:r>
          </w:p>
        </w:tc>
        <w:tc>
          <w:tcPr>
            <w:tcW w:w="0" w:type="dxa"/>
            <w:vAlign w:val="bottom"/>
          </w:tcPr>
          <w:p>
            <w:pPr>
              <w:spacing w:after="0"/>
              <w:rPr>
                <w:sz w:val="1"/>
                <w:szCs w:val="1"/>
                <w:color w:val="auto"/>
              </w:rPr>
            </w:pPr>
          </w:p>
        </w:tc>
      </w:tr>
      <w:tr>
        <w:trPr>
          <w:trHeight w:val="283"/>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29,582</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540,167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98,375</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Deferred compensation programs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102,155</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Warrant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(5,706)</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(c)</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 due pursuant to tax receivable agreement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267,261</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Class A common stock, par value $0.0001 per share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 B common stock, par value $0.0001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12,812</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(c)</w:t>
            </w:r>
          </w:p>
        </w:tc>
        <w:tc>
          <w:tcPr>
            <w:tcW w:w="1000" w:type="dxa"/>
            <w:vAlign w:val="bottom"/>
          </w:tcPr>
          <w:p>
            <w:pPr>
              <w:jc w:val="right"/>
              <w:spacing w:after="0"/>
              <w:rPr>
                <w:sz w:val="20"/>
                <w:szCs w:val="20"/>
                <w:color w:val="auto"/>
              </w:rPr>
            </w:pPr>
            <w:r>
              <w:rPr>
                <w:rFonts w:ascii="Arial" w:cs="Arial" w:eastAsia="Arial" w:hAnsi="Arial"/>
                <w:sz w:val="18"/>
                <w:szCs w:val="18"/>
                <w:color w:val="auto"/>
              </w:rPr>
              <w:t>212,419</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Retained earnings (accumulated deficit)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(7,106)</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(c)</w:t>
            </w:r>
          </w:p>
        </w:tc>
        <w:tc>
          <w:tcPr>
            <w:tcW w:w="1000" w:type="dxa"/>
            <w:vAlign w:val="bottom"/>
          </w:tcPr>
          <w:p>
            <w:pPr>
              <w:jc w:val="right"/>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4,496</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(d)</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(57,287)</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Perella Weinberg Partners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136,751</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(d)</w:t>
            </w:r>
          </w:p>
        </w:tc>
        <w:tc>
          <w:tcPr>
            <w:tcW w:w="1000" w:type="dxa"/>
            <w:vAlign w:val="bottom"/>
          </w:tcPr>
          <w:p>
            <w:pPr>
              <w:jc w:val="right"/>
              <w:spacing w:after="0"/>
              <w:rPr>
                <w:sz w:val="20"/>
                <w:szCs w:val="20"/>
                <w:color w:val="auto"/>
              </w:rPr>
            </w:pPr>
            <w:r>
              <w:rPr>
                <w:rFonts w:ascii="Arial" w:cs="Arial" w:eastAsia="Arial" w:hAnsi="Arial"/>
                <w:sz w:val="18"/>
                <w:szCs w:val="18"/>
                <w:color w:val="auto"/>
              </w:rPr>
              <w:t>136,155</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6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272,906</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540,167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ind w:left="3220"/>
        <w:spacing w:after="0"/>
        <w:rPr>
          <w:sz w:val="20"/>
          <w:szCs w:val="20"/>
          <w:color w:val="auto"/>
        </w:rPr>
      </w:pPr>
      <w:r>
        <w:rPr>
          <w:rFonts w:ascii="Arial" w:cs="Arial" w:eastAsia="Arial" w:hAnsi="Arial"/>
          <w:sz w:val="16"/>
          <w:szCs w:val="16"/>
          <w:b w:val="1"/>
          <w:bCs w:val="1"/>
          <w:color w:val="auto"/>
        </w:rPr>
        <w:t>Unaudited Pro Forma Condensed Combined Statement of Operations</w:t>
      </w:r>
    </w:p>
    <w:p>
      <w:pPr>
        <w:ind w:left="4260"/>
        <w:spacing w:after="0" w:line="223" w:lineRule="auto"/>
        <w:rPr>
          <w:sz w:val="20"/>
          <w:szCs w:val="20"/>
          <w:color w:val="auto"/>
        </w:rPr>
      </w:pPr>
      <w:r>
        <w:rPr>
          <w:rFonts w:ascii="Arial" w:cs="Arial" w:eastAsia="Arial" w:hAnsi="Arial"/>
          <w:sz w:val="16"/>
          <w:szCs w:val="16"/>
          <w:b w:val="1"/>
          <w:bCs w:val="1"/>
          <w:color w:val="auto"/>
        </w:rPr>
        <w:t>For the Year Ended 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Business Combination and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Offer</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FTIV</w:t>
            </w: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PWP</w:t>
            </w:r>
          </w:p>
        </w:tc>
        <w:tc>
          <w:tcPr>
            <w:tcW w:w="120" w:type="dxa"/>
            <w:vAlign w:val="bottom"/>
          </w:tcPr>
          <w:p>
            <w:pPr>
              <w:spacing w:after="0"/>
              <w:rPr>
                <w:sz w:val="12"/>
                <w:szCs w:val="12"/>
                <w:color w:val="auto"/>
              </w:rPr>
            </w:pPr>
          </w:p>
        </w:tc>
        <w:tc>
          <w:tcPr>
            <w:tcW w:w="15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5"/>
              </w:rPr>
              <w:t>January 2022 Offering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388"/>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Adjustments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(aa)</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(bb)</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Compensation and benefits</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96,330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31,615</w:t>
            </w:r>
          </w:p>
        </w:tc>
        <w:tc>
          <w:tcPr>
            <w:tcW w:w="360" w:type="dxa"/>
            <w:vAlign w:val="bottom"/>
          </w:tcPr>
          <w:p>
            <w:pPr>
              <w:ind w:left="20"/>
              <w:spacing w:after="0"/>
              <w:rPr>
                <w:sz w:val="20"/>
                <w:szCs w:val="20"/>
                <w:color w:val="auto"/>
              </w:rPr>
            </w:pPr>
            <w:r>
              <w:rPr>
                <w:rFonts w:ascii="Arial" w:cs="Arial" w:eastAsia="Arial" w:hAnsi="Arial"/>
                <w:sz w:val="14"/>
                <w:szCs w:val="14"/>
                <w:color w:val="auto"/>
              </w:rPr>
              <w:t>(dd)</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157,446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29,501</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(cc)</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40"/>
              <w:spacing w:after="0"/>
              <w:rPr>
                <w:sz w:val="20"/>
                <w:szCs w:val="20"/>
                <w:color w:val="auto"/>
              </w:rPr>
            </w:pPr>
            <w:r>
              <w:rPr>
                <w:rFonts w:ascii="Arial" w:cs="Arial" w:eastAsia="Arial" w:hAnsi="Arial"/>
                <w:sz w:val="14"/>
                <w:szCs w:val="14"/>
                <w:color w:val="auto"/>
              </w:rPr>
              <w:t>Total compensation and benefits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600,694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61,116</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661,810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41,891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(kk)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43,504</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Technology and infrastructure</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28,355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Rent and occupancy</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Travel and related expenses</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6,261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administrative and other expenses</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16,982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19,887</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14,489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2,905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735,078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61,116</w:t>
            </w: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800,712</w:t>
            </w:r>
          </w:p>
        </w:tc>
        <w:tc>
          <w:tcPr>
            <w:tcW w:w="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66,584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ind w:left="1060"/>
              <w:spacing w:after="0"/>
              <w:rPr>
                <w:sz w:val="20"/>
                <w:szCs w:val="20"/>
                <w:color w:val="auto"/>
              </w:rPr>
            </w:pPr>
            <w:r>
              <w:rPr>
                <w:rFonts w:ascii="Arial" w:cs="Arial" w:eastAsia="Arial" w:hAnsi="Arial"/>
                <w:sz w:val="14"/>
                <w:szCs w:val="14"/>
                <w:color w:val="auto"/>
                <w:w w:val="95"/>
              </w:rPr>
              <w:t>(61,116)</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w w:val="94"/>
              </w:rPr>
              <w:t>(1,613)</w:t>
            </w: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(expenses)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Related party income</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7,516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(expense)</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Change in fair value of warrant liabilities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10,440</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(ll)</w:t>
            </w:r>
          </w:p>
        </w:tc>
        <w:tc>
          <w:tcPr>
            <w:tcW w:w="920" w:type="dxa"/>
            <w:vAlign w:val="bottom"/>
          </w:tcPr>
          <w:p>
            <w:pPr>
              <w:jc w:val="right"/>
              <w:spacing w:after="0"/>
              <w:rPr>
                <w:sz w:val="20"/>
                <w:szCs w:val="20"/>
                <w:color w:val="auto"/>
              </w:rPr>
            </w:pPr>
            <w:r>
              <w:rPr>
                <w:rFonts w:ascii="Arial" w:cs="Arial" w:eastAsia="Arial" w:hAnsi="Arial"/>
                <w:sz w:val="14"/>
                <w:szCs w:val="14"/>
                <w:color w:val="auto"/>
              </w:rPr>
              <w:t>(4,165)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4"/>
                <w:szCs w:val="14"/>
                <w:color w:val="auto"/>
              </w:rPr>
              <w:t>(4,165) (ll)</w:t>
            </w:r>
          </w:p>
        </w:tc>
        <w:tc>
          <w:tcPr>
            <w:tcW w:w="9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(39,408)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(39,408)</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income (expense)</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7,596</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(hh)</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20" w:type="dxa"/>
            <w:vAlign w:val="bottom"/>
          </w:tcPr>
          <w:p>
            <w:pPr>
              <w:ind w:left="360"/>
              <w:spacing w:after="0"/>
              <w:rPr>
                <w:sz w:val="20"/>
                <w:szCs w:val="20"/>
                <w:color w:val="auto"/>
              </w:rPr>
            </w:pPr>
            <w:r>
              <w:rPr>
                <w:rFonts w:ascii="Arial" w:cs="Arial" w:eastAsia="Arial" w:hAnsi="Arial"/>
                <w:sz w:val="14"/>
                <w:szCs w:val="14"/>
                <w:color w:val="auto"/>
              </w:rPr>
              <w:t>Total non-operating income (expenses)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(5,533)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(43,634)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7,596</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6,275</w:t>
            </w: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(35,296)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w w:val="95"/>
              </w:rPr>
              <w:t>(53,520)</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4,662</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(34,346)</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Income tax benefit (expense)</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ind w:left="1060"/>
              <w:spacing w:after="0"/>
              <w:rPr>
                <w:sz w:val="20"/>
                <w:szCs w:val="20"/>
                <w:color w:val="auto"/>
              </w:rPr>
            </w:pPr>
            <w:r>
              <w:rPr>
                <w:rFonts w:ascii="Arial" w:cs="Arial" w:eastAsia="Arial" w:hAnsi="Arial"/>
                <w:sz w:val="14"/>
                <w:szCs w:val="14"/>
                <w:color w:val="auto"/>
              </w:rPr>
              <w:t>(10,698) (ee)</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(31,321)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(1,696) (jj)</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ind w:left="1060"/>
              <w:spacing w:after="0"/>
              <w:rPr>
                <w:sz w:val="20"/>
                <w:szCs w:val="20"/>
                <w:color w:val="auto"/>
              </w:rPr>
            </w:pPr>
            <w:r>
              <w:rPr>
                <w:rFonts w:ascii="Arial" w:cs="Arial" w:eastAsia="Arial" w:hAnsi="Arial"/>
                <w:sz w:val="14"/>
                <w:szCs w:val="14"/>
                <w:color w:val="auto"/>
                <w:w w:val="95"/>
              </w:rPr>
              <w:t>(65,914)</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4,662</w:t>
            </w: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(65,667)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Less: Net income (loss) attributable to non-controlling interests</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13,444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940" w:type="dxa"/>
            <w:vAlign w:val="bottom"/>
            <w:tcBorders>
              <w:bottom w:val="single" w:sz="8" w:color="CCEEFF"/>
            </w:tcBorders>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(35,195) (ff)</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2,026</w:t>
            </w:r>
          </w:p>
        </w:tc>
        <w:tc>
          <w:tcPr>
            <w:tcW w:w="54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(mm)</w:t>
            </w:r>
          </w:p>
        </w:tc>
        <w:tc>
          <w:tcPr>
            <w:tcW w:w="9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(62,965)</w:t>
            </w: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ind w:left="1060"/>
              <w:spacing w:after="0"/>
              <w:rPr>
                <w:sz w:val="20"/>
                <w:szCs w:val="20"/>
                <w:color w:val="auto"/>
              </w:rPr>
            </w:pPr>
            <w:r>
              <w:rPr>
                <w:rFonts w:ascii="Arial" w:cs="Arial" w:eastAsia="Arial" w:hAnsi="Arial"/>
                <w:sz w:val="14"/>
                <w:szCs w:val="14"/>
                <w:color w:val="auto"/>
              </w:rPr>
              <w:t>(29,501) (cc)</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4"/>
                <w:szCs w:val="14"/>
                <w:color w:val="auto"/>
              </w:rPr>
              <w:t>(12,741) (ii)</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right"/>
              <w:ind w:right="88"/>
              <w:spacing w:after="0"/>
              <w:rPr>
                <w:sz w:val="20"/>
                <w:szCs w:val="20"/>
                <w:color w:val="auto"/>
              </w:rPr>
            </w:pPr>
            <w:r>
              <w:rPr>
                <w:rFonts w:ascii="Arial" w:cs="Arial" w:eastAsia="Arial" w:hAnsi="Arial"/>
                <w:sz w:val="14"/>
                <w:szCs w:val="14"/>
                <w:color w:val="auto"/>
              </w:rPr>
              <w:t>(998) (jj)</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Perella Weinberg Partners</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12,521</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w w:val="94"/>
              </w:rPr>
              <w:t>Net income (loss) per share attributable to Class A common shareholders</w:t>
            </w: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(0.06) (gg)</w:t>
            </w: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560"/>
              <w:spacing w:after="0"/>
              <w:rPr>
                <w:sz w:val="20"/>
                <w:szCs w:val="20"/>
                <w:color w:val="auto"/>
              </w:rPr>
            </w:pPr>
            <w:r>
              <w:rPr>
                <w:rFonts w:ascii="Arial" w:cs="Arial" w:eastAsia="Arial" w:hAnsi="Arial"/>
                <w:sz w:val="14"/>
                <w:szCs w:val="14"/>
                <w:color w:val="auto"/>
              </w:rPr>
              <w:t>(0.65) (gg)</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14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6"/>
              </w:rPr>
              <w:t>42,595,712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48,473,439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92,749,911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95,129,438</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jc w:val="center"/>
        <w:spacing w:after="0" w:line="221" w:lineRule="auto"/>
        <w:rPr>
          <w:sz w:val="20"/>
          <w:szCs w:val="20"/>
          <w:color w:val="auto"/>
        </w:rPr>
      </w:pPr>
      <w:r>
        <w:rPr>
          <w:rFonts w:ascii="Arial" w:cs="Arial" w:eastAsia="Arial" w:hAnsi="Arial"/>
          <w:sz w:val="18"/>
          <w:szCs w:val="18"/>
          <w:b w:val="1"/>
          <w:bCs w:val="1"/>
          <w:color w:val="auto"/>
        </w:rPr>
        <w:t>For the Six Months Ended June 30, 2022</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January 2022</w:t>
            </w:r>
          </w:p>
        </w:tc>
        <w:tc>
          <w:tcPr>
            <w:tcW w:w="160" w:type="dxa"/>
            <w:vAlign w:val="bottom"/>
          </w:tcPr>
          <w:p>
            <w:pPr>
              <w:spacing w:after="0"/>
              <w:rPr>
                <w:sz w:val="16"/>
                <w:szCs w:val="16"/>
                <w:color w:val="auto"/>
              </w:rPr>
            </w:pPr>
          </w:p>
        </w:tc>
        <w:tc>
          <w:tcPr>
            <w:tcW w:w="15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Offer</w:t>
            </w:r>
          </w:p>
        </w:tc>
        <w:tc>
          <w:tcPr>
            <w:tcW w:w="200" w:type="dxa"/>
            <w:vAlign w:val="bottom"/>
          </w:tcPr>
          <w:p>
            <w:pPr>
              <w:spacing w:after="0"/>
              <w:rPr>
                <w:sz w:val="16"/>
                <w:szCs w:val="16"/>
                <w:color w:val="auto"/>
              </w:rPr>
            </w:pPr>
          </w:p>
        </w:tc>
        <w:tc>
          <w:tcPr>
            <w:tcW w:w="11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Pro Forma</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center"/>
              <w:ind w:right="151"/>
              <w:spacing w:after="0"/>
              <w:rPr>
                <w:sz w:val="20"/>
                <w:szCs w:val="20"/>
                <w:color w:val="auto"/>
              </w:rPr>
            </w:pPr>
            <w:r>
              <w:rPr>
                <w:rFonts w:ascii="Arial" w:cs="Arial" w:eastAsia="Arial" w:hAnsi="Arial"/>
                <w:sz w:val="16"/>
                <w:szCs w:val="16"/>
                <w:b w:val="1"/>
                <w:bCs w:val="1"/>
                <w:color w:val="auto"/>
                <w:w w:val="98"/>
              </w:rPr>
              <w:t>PWP</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Offering</w:t>
            </w:r>
          </w:p>
        </w:tc>
        <w:tc>
          <w:tcPr>
            <w:tcW w:w="1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92"/>
              </w:rPr>
              <w:t>Adjustments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Adjustments</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Combined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(nn)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(oo)</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302,980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302,980</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Equity-based compensation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77,317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compensation and benefits</w:t>
            </w: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255,149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255,149</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17,722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infrastructure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Rent and occupancy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Travel and related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General, administrative and other expenses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11,766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322,352</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322,352</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party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7"/>
              </w:rPr>
              <w:t>(22,100) (pp)</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income (expenses)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29,227</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(22,100)</w:t>
            </w: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w w:val="92"/>
              </w:rPr>
              <w:t>(22,100)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(12,245)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92"/>
              </w:rPr>
              <w:t>(22,100)</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7"/>
              </w:rPr>
              <w:t>(11,355) (qq)</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92"/>
              </w:rPr>
              <w:t>(10,745)</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(loss) per share attributable to Class A common</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9"/>
              </w:rPr>
              <w:t>(rr)</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(0.24) (rr)</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w w:val="97"/>
              </w:rPr>
              <w:t>Weighted-average shares of Class A Common Stock outstanding</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45,247,373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49,275,005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91,953,077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95,594,131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12" w:name="page13"/>
    <w:bookmarkEnd w:id="12"/>
    <w:p>
      <w:pPr>
        <w:spacing w:after="0" w:line="38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 forma adjustments have been prepared as if the exchange of all Warrants for Class A Common Stock pursuant to the Offer had occurred on June 30, 2022, in the case of the unaudited pro forma condensed combined statement of financial condition, and as if the Offer, the January 2022 Offering, and the Business Combination had been consummated on January 1, 2021, the beginning of the earliest period presented, in the case of the unaudited pro forma condensed combined statements of operations.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GAAP.</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Business Combination was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pro forma adjustments represent management’s estimates based on information available as of the date of the Company’s current report on Form 8-K of which this exhibit 99.1 is a part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Adjustments and Assumptions to the Unaudited Pro Forma Condensed Combined Statement of Financial Condition as of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statement of financial condition as of June 30, 2022 reflects the following adjustments:</w:t>
      </w:r>
    </w:p>
    <w:p>
      <w:pPr>
        <w:spacing w:after="0" w:line="171" w:lineRule="exact"/>
        <w:rPr>
          <w:sz w:val="20"/>
          <w:szCs w:val="20"/>
          <w:color w:val="auto"/>
        </w:rPr>
      </w:pPr>
    </w:p>
    <w:p>
      <w:pPr>
        <w:ind w:left="660" w:hanging="328"/>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the PWP historical unaudited condensed consolidated statement of financial condition as of June 30, 2022.</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the pro forma adjustments to record estimated costs related to the Offer.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Represents the pro forma adjustments to reflect the exchange of all Warrants for 1,573,995 shares of Class A Common Stock pursuant to the Offer.</w:t>
      </w:r>
    </w:p>
    <w:p>
      <w:pPr>
        <w:spacing w:after="0" w:line="194" w:lineRule="exact"/>
        <w:rPr>
          <w:rFonts w:ascii="Arial" w:cs="Arial" w:eastAsia="Arial" w:hAnsi="Arial"/>
          <w:sz w:val="16"/>
          <w:szCs w:val="16"/>
          <w:color w:val="auto"/>
        </w:rPr>
      </w:pPr>
    </w:p>
    <w:p>
      <w:pPr>
        <w:ind w:left="660" w:right="160" w:hanging="328"/>
        <w:spacing w:after="0" w:line="277"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the pro forma adjustments to non-controlling interests as a result of adjustments (b) and (c), as well as PWP’s increased ownership in PWP OpCo as a result of the PWP OpCo Class A partnership units received upon settlement of the Offer.</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Adjustments and Assumptions to the Unaudited Pro Forma Condensed Combined Statement of Operations for the Year Ended 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statement of operations for the year ended December 31, 2021 reflects the following adjustments:</w:t>
      </w:r>
    </w:p>
    <w:p>
      <w:pPr>
        <w:spacing w:after="0" w:line="183" w:lineRule="exact"/>
        <w:rPr>
          <w:sz w:val="20"/>
          <w:szCs w:val="20"/>
          <w:color w:val="auto"/>
        </w:rPr>
      </w:pPr>
    </w:p>
    <w:p>
      <w:pPr>
        <w:ind w:left="660" w:right="480" w:hanging="409"/>
        <w:spacing w:after="0" w:line="27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period from January 1, 2021 through June 24, 2021 (the Closing Date).</w:t>
      </w:r>
    </w:p>
    <w:p>
      <w:pPr>
        <w:spacing w:after="0" w:line="116" w:lineRule="exact"/>
        <w:rPr>
          <w:rFonts w:ascii="Arial" w:cs="Arial" w:eastAsia="Arial" w:hAnsi="Arial"/>
          <w:sz w:val="18"/>
          <w:szCs w:val="18"/>
          <w:color w:val="auto"/>
        </w:rPr>
      </w:pPr>
    </w:p>
    <w:p>
      <w:pPr>
        <w:ind w:left="640" w:hanging="38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PWP historical audited consolidated statement of operations for the year ended December 31, 2021.</w:t>
      </w:r>
    </w:p>
    <w:p>
      <w:pPr>
        <w:sectPr>
          <w:pgSz w:w="11900" w:h="16838" w:orient="portrait"/>
          <w:cols w:equalWidth="0" w:num="1">
            <w:col w:w="11220"/>
          </w:cols>
          <w:pgMar w:left="320" w:top="1440" w:right="359" w:bottom="1440" w:gutter="0" w:footer="0" w:header="0"/>
        </w:sectPr>
      </w:pPr>
    </w:p>
    <w:bookmarkStart w:id="13" w:name="page14"/>
    <w:bookmarkEnd w:id="13"/>
    <w:p>
      <w:pPr>
        <w:spacing w:after="0" w:line="144" w:lineRule="exact"/>
        <w:rPr>
          <w:sz w:val="20"/>
          <w:szCs w:val="20"/>
          <w:color w:val="auto"/>
        </w:rPr>
      </w:pPr>
    </w:p>
    <w:p>
      <w:pPr>
        <w:ind w:left="409" w:right="260" w:hanging="409"/>
        <w:spacing w:after="0" w:line="301" w:lineRule="auto"/>
        <w:tabs>
          <w:tab w:leader="none" w:pos="4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03" w:lineRule="exact"/>
        <w:rPr>
          <w:rFonts w:ascii="Arial" w:cs="Arial" w:eastAsia="Arial" w:hAnsi="Arial"/>
          <w:sz w:val="16"/>
          <w:szCs w:val="16"/>
          <w:color w:val="auto"/>
        </w:rPr>
      </w:pPr>
    </w:p>
    <w:p>
      <w:pPr>
        <w:ind w:left="389" w:hanging="389"/>
        <w:spacing w:after="0"/>
        <w:tabs>
          <w:tab w:leader="none" w:pos="3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Transaction RSUs.</w:t>
      </w:r>
    </w:p>
    <w:p>
      <w:pPr>
        <w:spacing w:after="0" w:line="171" w:lineRule="exact"/>
        <w:rPr>
          <w:rFonts w:ascii="Arial" w:cs="Arial" w:eastAsia="Arial" w:hAnsi="Arial"/>
          <w:sz w:val="18"/>
          <w:szCs w:val="18"/>
          <w:color w:val="auto"/>
        </w:rPr>
      </w:pPr>
    </w:p>
    <w:p>
      <w:pPr>
        <w:ind w:left="409" w:hanging="409"/>
        <w:spacing w:after="0" w:line="254"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409" w:right="60" w:hanging="409"/>
        <w:spacing w:after="0" w:line="273" w:lineRule="auto"/>
        <w:tabs>
          <w:tab w:leader="none" w:pos="402"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the pro forma adjustments to allocate the portion of net income (loss) prior to the Business Combination attributable to Perella Weinberg Partners based on the aggregate Perella Weinberg Partners ownership as depicted in the post-Business Combination capitalization table above, adjusted for the vesting of Transaction RSUs during the year ended December 31, 2021. Historical equity-based compensation amounts and the expense related to ACUs and VCUs discussed in adjustment (cc) have been allocated to non-controlling interests as the vesting of ACUs and VCUs do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409" w:right="40" w:hanging="409"/>
        <w:spacing w:after="0" w:line="257" w:lineRule="auto"/>
        <w:tabs>
          <w:tab w:leader="none" w:pos="3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Basic net income (loss) per share of Class A Common Stock represents net income (loss) attributable to the Company divided by the weighted average number of shares of Class A Common Stock outstanding for the period. Diluted net income (loss) per share of Class A Common Stock is computed by adjusting net income (loss) attributable to the Company and the weighted average number of shares of Class A Common Stock outstanding to give effect to potentially dilutive securities. PWP OpCo Class A partnership units may be exchanged for the Company’s Class A Common Stock on a one-for-one basis.</w:t>
      </w:r>
    </w:p>
    <w:p>
      <w:pPr>
        <w:spacing w:after="0" w:line="133" w:lineRule="exact"/>
        <w:rPr>
          <w:rFonts w:ascii="Arial" w:cs="Arial" w:eastAsia="Arial" w:hAnsi="Arial"/>
          <w:sz w:val="18"/>
          <w:szCs w:val="18"/>
          <w:color w:val="auto"/>
        </w:rPr>
      </w:pPr>
    </w:p>
    <w:p>
      <w:pPr>
        <w:ind w:left="409" w:right="60"/>
        <w:spacing w:after="0" w:line="259" w:lineRule="auto"/>
        <w:rPr>
          <w:rFonts w:ascii="Arial" w:cs="Arial" w:eastAsia="Arial" w:hAnsi="Arial"/>
          <w:sz w:val="18"/>
          <w:szCs w:val="18"/>
          <w:color w:val="auto"/>
        </w:rPr>
      </w:pPr>
      <w:r>
        <w:rPr>
          <w:rFonts w:ascii="Arial" w:cs="Arial" w:eastAsia="Arial" w:hAnsi="Arial"/>
          <w:sz w:val="18"/>
          <w:szCs w:val="18"/>
          <w:color w:val="auto"/>
        </w:rPr>
        <w:t>Weighted average number of shares of Class A Common Stock outstanding Basic and Diluted for the year ended December 31, 2021 includes 42,957,000 shares that were outstanding as of the completion of the Business Combination, 1,440,613 shares related to Transaction RSUs subject to a time-based vesting schedule, 3,502,033 shares related to the January 2022 Offering, 1,573,995 shares related to the Offer, and an adjustment for treasury stock purchases that occurred in 2021.</w:t>
      </w:r>
    </w:p>
    <w:p>
      <w:pPr>
        <w:sectPr>
          <w:pgSz w:w="11900" w:h="16838" w:orient="portrait"/>
          <w:cols w:equalWidth="0" w:num="1">
            <w:col w:w="10929"/>
          </w:cols>
          <w:pgMar w:left="571" w:top="1440" w:right="399" w:bottom="1440" w:gutter="0" w:footer="0" w:header="0"/>
        </w:sectPr>
      </w:pPr>
    </w:p>
    <w:bookmarkStart w:id="14" w:name="page15"/>
    <w:bookmarkEnd w:id="14"/>
    <w:p>
      <w:pPr>
        <w:spacing w:after="0" w:line="14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w w:val="95"/>
              </w:rPr>
              <w:t>Diluted net income (loss) per share of Class A Common Stock for the year ended December 31, 2021:</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9"/>
        </w:trPr>
        <w:tc>
          <w:tcPr>
            <w:tcW w:w="8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assumed exchange of PWP OpCo Class A partnership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(62,965)</w:t>
            </w: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6"/>
              </w:rPr>
              <w:t>Estimated tax benefit (expense) of assumed exchange of PWP OpCo Class A partnership units for Class 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Weighted average number of shares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48,473,439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exchange of PWP OpCo Class A partnership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46,655,999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95,129,438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660" w:right="300" w:hanging="409"/>
        <w:spacing w:after="0" w:line="342"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pro forma adjustment to eliminate the interest income on the investments held in FTIV’s trust account and to eliminate the interest expense assuming the paydown of all outstanding debt from the proceeds of the Business Combination as if it occurred on January 1, 2021.</w:t>
      </w:r>
    </w:p>
    <w:p>
      <w:pPr>
        <w:spacing w:after="0" w:line="69" w:lineRule="exact"/>
        <w:rPr>
          <w:rFonts w:ascii="Arial" w:cs="Arial" w:eastAsia="Arial" w:hAnsi="Arial"/>
          <w:sz w:val="16"/>
          <w:szCs w:val="16"/>
          <w:color w:val="auto"/>
        </w:rPr>
      </w:pPr>
    </w:p>
    <w:p>
      <w:pPr>
        <w:ind w:left="660" w:hanging="409"/>
        <w:spacing w:after="0" w:line="259"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pro forma adjustments to adjust non-controlling interests for the portion of net income (loss) attributable to non-controlling interests resulting from adjustments (dd) and (hh) based on the aggregate Professional Partners and ILPs ownership as depicted in the post-Business Combination capitalization table above, adjusted for the assumed vesting of Transaction RSUs during the year ended December 31, 2021 and for treasury stock purchases that occurred in 2021.</w:t>
      </w:r>
    </w:p>
    <w:p>
      <w:pPr>
        <w:spacing w:after="0" w:line="132" w:lineRule="exact"/>
        <w:rPr>
          <w:rFonts w:ascii="Arial" w:cs="Arial" w:eastAsia="Arial" w:hAnsi="Arial"/>
          <w:sz w:val="18"/>
          <w:szCs w:val="18"/>
          <w:color w:val="auto"/>
        </w:rPr>
      </w:pPr>
    </w:p>
    <w:p>
      <w:pPr>
        <w:jc w:val="both"/>
        <w:ind w:left="660" w:right="180" w:hanging="409"/>
        <w:spacing w:after="0" w:line="263"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interests as a result of PWP’s increased ownership in PWP OpCo as a result of the acquisition of PWP OpCo Class A partnership units with the proceeds of the January 2022 Offering.</w:t>
      </w:r>
    </w:p>
    <w:p>
      <w:pPr>
        <w:spacing w:after="0" w:line="129" w:lineRule="exact"/>
        <w:rPr>
          <w:rFonts w:ascii="Arial" w:cs="Arial" w:eastAsia="Arial" w:hAnsi="Arial"/>
          <w:sz w:val="18"/>
          <w:szCs w:val="18"/>
          <w:color w:val="auto"/>
        </w:rPr>
      </w:pPr>
    </w:p>
    <w:p>
      <w:pPr>
        <w:ind w:left="640" w:hanging="38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pro forma adjustment to record estimated transaction costs related to the Offer.</w:t>
      </w:r>
    </w:p>
    <w:p>
      <w:pPr>
        <w:spacing w:after="0" w:line="171" w:lineRule="exact"/>
        <w:rPr>
          <w:rFonts w:ascii="Arial" w:cs="Arial" w:eastAsia="Arial" w:hAnsi="Arial"/>
          <w:sz w:val="18"/>
          <w:szCs w:val="18"/>
          <w:color w:val="auto"/>
        </w:rPr>
      </w:pPr>
    </w:p>
    <w:p>
      <w:pPr>
        <w:ind w:left="660" w:right="20" w:hanging="409"/>
        <w:spacing w:after="0" w:line="342" w:lineRule="auto"/>
        <w:tabs>
          <w:tab w:leader="none" w:pos="65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pro forma adjustment to reverse the historical change in fair value of warrant liabilities assuming all Warrants are exchanged for Class A Common Stock on January 1, 2021 and to record the loss due to the premium received by holders of Warrants under these same assumptions.</w:t>
      </w:r>
    </w:p>
    <w:p>
      <w:pPr>
        <w:spacing w:after="0" w:line="70" w:lineRule="exact"/>
        <w:rPr>
          <w:sz w:val="20"/>
          <w:szCs w:val="20"/>
          <w:color w:val="auto"/>
        </w:rPr>
      </w:pPr>
    </w:p>
    <w:p>
      <w:pPr>
        <w:ind w:left="660" w:hanging="404"/>
        <w:spacing w:after="0" w:line="263" w:lineRule="auto"/>
        <w:rPr>
          <w:sz w:val="20"/>
          <w:szCs w:val="20"/>
          <w:color w:val="auto"/>
        </w:rPr>
      </w:pPr>
      <w:r>
        <w:rPr>
          <w:rFonts w:ascii="Arial" w:cs="Arial" w:eastAsia="Arial" w:hAnsi="Arial"/>
          <w:sz w:val="18"/>
          <w:szCs w:val="18"/>
          <w:color w:val="auto"/>
        </w:rPr>
        <w:t>(mm)Reflects the pro forma impact to net income (loss) attributable to non-controlling interests as a result of adjustments (kk) and (ll), as well as PWP’s increased ownership in PWP OpCo due to the PWP OpCo Class A partnership units received upon settlement of the Offer. The related pro forma impact to Income tax benefit (expense) is not material.</w:t>
      </w:r>
    </w:p>
    <w:p>
      <w:pPr>
        <w:spacing w:after="0" w:line="130" w:lineRule="exact"/>
        <w:rPr>
          <w:sz w:val="20"/>
          <w:szCs w:val="20"/>
          <w:color w:val="auto"/>
        </w:rPr>
      </w:pPr>
    </w:p>
    <w:p>
      <w:pPr>
        <w:ind w:left="340" w:right="340" w:hanging="332"/>
        <w:spacing w:after="0" w:line="277" w:lineRule="auto"/>
        <w:tabs>
          <w:tab w:leader="none" w:pos="3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Six Months Ended June 30, 2022</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statement of operations for the six months ended June 30, 2022 reflects the following adjustments: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(nn) Represents the PWP historical unaudited condensed consolidated statement of operations for the six months ended June 30, 2022.</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44" w:lineRule="exact"/>
        <w:rPr>
          <w:sz w:val="20"/>
          <w:szCs w:val="20"/>
          <w:color w:val="auto"/>
        </w:rPr>
      </w:pPr>
    </w:p>
    <w:p>
      <w:pPr>
        <w:ind w:left="409" w:right="100" w:hanging="409"/>
        <w:spacing w:after="0" w:line="263" w:lineRule="auto"/>
        <w:tabs>
          <w:tab w:leader="none" w:pos="3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pro forma impact to net income (loss) attributable to non-controlling interests as if PWP’s increased ownership in PWP OpCo as a result of the January 2022 Offering, and the related acquisition described in (jj) above, was reflected for the full six months ended June 30, 2022. The related pro forma impact to Income tax benefit (expense) is not material.</w:t>
      </w:r>
    </w:p>
    <w:p>
      <w:pPr>
        <w:spacing w:after="0" w:line="129" w:lineRule="exact"/>
        <w:rPr>
          <w:rFonts w:ascii="Arial" w:cs="Arial" w:eastAsia="Arial" w:hAnsi="Arial"/>
          <w:sz w:val="18"/>
          <w:szCs w:val="18"/>
          <w:color w:val="auto"/>
        </w:rPr>
      </w:pPr>
    </w:p>
    <w:p>
      <w:pPr>
        <w:ind w:left="409" w:right="240" w:hanging="409"/>
        <w:spacing w:after="0" w:line="277" w:lineRule="auto"/>
        <w:tabs>
          <w:tab w:leader="none" w:pos="3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change in fair value of warrant liabilities assuming all Warrants were exchanged for Class A Common Stock pursuant to the Offer on January 1, 2021.</w:t>
      </w:r>
    </w:p>
    <w:p>
      <w:pPr>
        <w:spacing w:after="0" w:line="116" w:lineRule="exact"/>
        <w:rPr>
          <w:rFonts w:ascii="Arial" w:cs="Arial" w:eastAsia="Arial" w:hAnsi="Arial"/>
          <w:sz w:val="18"/>
          <w:szCs w:val="18"/>
          <w:color w:val="auto"/>
        </w:rPr>
      </w:pPr>
    </w:p>
    <w:p>
      <w:pPr>
        <w:ind w:left="409" w:right="300" w:hanging="409"/>
        <w:spacing w:after="0" w:line="342" w:lineRule="auto"/>
        <w:tabs>
          <w:tab w:leader="none" w:pos="398"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the pro forma impact to net income (loss) attributable to non-controlling interests as a result of adjustment (pp), as well as PWP’s increased ownership in PWP OpCo as described in (mm) above. The related pro forma impact to Income tax benefit (expense) is not material.</w:t>
      </w:r>
    </w:p>
    <w:p>
      <w:pPr>
        <w:spacing w:after="0" w:line="69" w:lineRule="exact"/>
        <w:rPr>
          <w:rFonts w:ascii="Arial" w:cs="Arial" w:eastAsia="Arial" w:hAnsi="Arial"/>
          <w:sz w:val="16"/>
          <w:szCs w:val="16"/>
          <w:color w:val="auto"/>
        </w:rPr>
      </w:pPr>
    </w:p>
    <w:p>
      <w:pPr>
        <w:ind w:left="409" w:right="20" w:hanging="409"/>
        <w:spacing w:after="0" w:line="257" w:lineRule="auto"/>
        <w:tabs>
          <w:tab w:leader="none" w:pos="4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Basic net income (loss) per share of Class A Common Stock represents net income (loss) attributable to the Company divided by the weighted average number of shares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Class A partnership units may be exchanged for the Company’s Class A Common Stock on a one-for-one basis.</w:t>
      </w:r>
    </w:p>
    <w:p>
      <w:pPr>
        <w:spacing w:after="0" w:line="133" w:lineRule="exact"/>
        <w:rPr>
          <w:rFonts w:ascii="Arial" w:cs="Arial" w:eastAsia="Arial" w:hAnsi="Arial"/>
          <w:sz w:val="18"/>
          <w:szCs w:val="18"/>
          <w:color w:val="auto"/>
        </w:rPr>
      </w:pPr>
    </w:p>
    <w:p>
      <w:pPr>
        <w:ind w:left="409" w:right="240"/>
        <w:spacing w:after="0" w:line="291" w:lineRule="auto"/>
        <w:rPr>
          <w:rFonts w:ascii="Arial" w:cs="Arial" w:eastAsia="Arial" w:hAnsi="Arial"/>
          <w:sz w:val="18"/>
          <w:szCs w:val="18"/>
          <w:color w:val="auto"/>
        </w:rPr>
      </w:pPr>
      <w:r>
        <w:rPr>
          <w:rFonts w:ascii="Arial" w:cs="Arial" w:eastAsia="Arial" w:hAnsi="Arial"/>
          <w:sz w:val="16"/>
          <w:szCs w:val="16"/>
          <w:color w:val="auto"/>
        </w:rPr>
        <w:t>The weighted average number of Class A Common Stock outstanding Basic and Diluted for the six months ended June 30, 2022 as reported in PWP’s historical unaudited condensed consolidated financial statements are adjusted to assume 1,573,995 shares related to the Offer,</w:t>
      </w:r>
    </w:p>
    <w:p>
      <w:pPr>
        <w:ind w:left="409"/>
        <w:spacing w:after="0" w:line="260" w:lineRule="auto"/>
        <w:rPr>
          <w:rFonts w:ascii="Arial" w:cs="Arial" w:eastAsia="Arial" w:hAnsi="Arial"/>
          <w:sz w:val="18"/>
          <w:szCs w:val="18"/>
          <w:color w:val="auto"/>
        </w:rPr>
      </w:pPr>
      <w:r>
        <w:rPr>
          <w:rFonts w:ascii="Arial" w:cs="Arial" w:eastAsia="Arial" w:hAnsi="Arial"/>
          <w:sz w:val="18"/>
          <w:szCs w:val="18"/>
          <w:color w:val="auto"/>
        </w:rPr>
        <w:t>3,502,033 shares related to the January 2022 Offering and 2,066,672 additional shares related to Transaction RSUs subject to a time-based vesting schedule were outstanding for the whole period presented.</w:t>
      </w:r>
    </w:p>
    <w:p>
      <w:pPr>
        <w:spacing w:after="0" w:line="131" w:lineRule="exact"/>
        <w:rPr>
          <w:rFonts w:ascii="Arial" w:cs="Arial" w:eastAsia="Arial" w:hAnsi="Arial"/>
          <w:sz w:val="18"/>
          <w:szCs w:val="18"/>
          <w:color w:val="auto"/>
        </w:rPr>
      </w:pPr>
    </w:p>
    <w:p>
      <w:pPr>
        <w:ind w:left="409" w:right="8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rFonts w:ascii="Arial" w:cs="Arial" w:eastAsia="Arial" w:hAnsi="Arial"/>
          <w:sz w:val="18"/>
          <w:szCs w:val="18"/>
          <w:color w:val="auto"/>
        </w:rPr>
      </w:pPr>
    </w:p>
    <w:p>
      <w:pPr>
        <w:ind w:left="409"/>
        <w:spacing w:after="0"/>
        <w:rPr>
          <w:rFonts w:ascii="Arial" w:cs="Arial" w:eastAsia="Arial" w:hAnsi="Arial"/>
          <w:sz w:val="18"/>
          <w:szCs w:val="18"/>
          <w:color w:val="auto"/>
        </w:rPr>
      </w:pPr>
      <w:r>
        <w:rPr>
          <w:rFonts w:ascii="Arial" w:cs="Arial" w:eastAsia="Arial" w:hAnsi="Arial"/>
          <w:sz w:val="18"/>
          <w:szCs w:val="18"/>
          <w:b w:val="1"/>
          <w:bCs w:val="1"/>
          <w:color w:val="auto"/>
        </w:rPr>
        <w:t>Diluted net income (loss) per share of Class A Common Stock for the six months ended June 30, 2022:</w:t>
      </w:r>
    </w:p>
    <w:p>
      <w:pPr>
        <w:spacing w:after="0" w:line="216" w:lineRule="exact"/>
        <w:rPr>
          <w:sz w:val="20"/>
          <w:szCs w:val="20"/>
          <w:color w:val="auto"/>
        </w:rPr>
      </w:pPr>
    </w:p>
    <w:tbl>
      <w:tblPr>
        <w:tblLayout w:type="fixed"/>
        <w:tblInd w:w="409"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7,954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assumed exchange of PWP OpCo Class A partnership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(26,336)</w:t>
            </w: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6"/>
              </w:rPr>
              <w:t>Estimated tax benefit (expense) of assumed exchange of PWP OpCo Class A partnership units for Class 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Weighted average number of shares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49,275,005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exchange of PWP OpCo Class A partnership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46,319,126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95,594,131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09"/>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ectPr>
          <w:pgSz w:w="11900" w:h="16838" w:orient="portrait"/>
          <w:cols w:equalWidth="0" w:num="1">
            <w:col w:w="10929"/>
          </w:cols>
          <w:pgMar w:left="571" w:top="1440" w:right="399" w:bottom="1440" w:gutter="0" w:footer="0" w:header="0"/>
        </w:sectPr>
      </w:pPr>
    </w:p>
    <w:bookmarkStart w:id="16" w:name="page17"/>
    <w:bookmarkEnd w:id="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table sets forth unaudited pro forma per share information of the Company (i) for the year ended December 31, 2021 after giving effect to the Business Combination, the January 2022 Offering, and the exchange of all Warrants for Class A Common Stock pursuant to the Offer as if they had occurred on January 1, 2021, (ii) for the six months ended June 30, 2022 after giving effect to the January Offering and the exchange of all Warrants for Class A Common Stock pursuant to the Offer as if they had occurred on January 1, 2021, and (iii) as of June 30, 2022 after giving effect to the exchange of all Warrants for Class A Common Stock pursuant to the Offer as if it had occurred on June 30, 2022.</w:t>
      </w:r>
    </w:p>
    <w:p>
      <w:pPr>
        <w:spacing w:after="0" w:line="1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historical information should be read in conjunction with the section entitled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and the audited and unaudited historical financial statements and the related notes of PWP, included in the 2021 Annual Report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2022 Second Quarterly Report, as the case may be. The unaudited pro forma condensed combined share information is derived from, and should be read in conjunction with, the unaudited pro forma condensed combined financial information and related notes included herein. The unaudited pro forma condensed combined net income per share information below does not purport to represent our consolidated results of operations after giving effect to the Business Combination, the January 2022 Offering, and the Offer nor to project our results of operations for any future date or period. The unaudited pro forma book value per share below does not purport to represent our actual book value after giving effect to the Offer nor the book value per share for any future date or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PWP</w:t>
            </w:r>
          </w:p>
        </w:tc>
        <w:tc>
          <w:tcPr>
            <w:tcW w:w="280" w:type="dxa"/>
            <w:vAlign w:val="bottom"/>
          </w:tcPr>
          <w:p>
            <w:pPr>
              <w:spacing w:after="0"/>
              <w:rPr>
                <w:sz w:val="14"/>
                <w:szCs w:val="14"/>
                <w:color w:val="auto"/>
              </w:rPr>
            </w:pPr>
          </w:p>
        </w:tc>
        <w:tc>
          <w:tcPr>
            <w:tcW w:w="1280" w:type="dxa"/>
            <w:vAlign w:val="bottom"/>
          </w:tcPr>
          <w:p>
            <w:pPr>
              <w:jc w:val="right"/>
              <w:ind w:right="353"/>
              <w:spacing w:after="0"/>
              <w:rPr>
                <w:sz w:val="20"/>
                <w:szCs w:val="20"/>
                <w:color w:val="auto"/>
              </w:rPr>
            </w:pPr>
            <w:r>
              <w:rPr>
                <w:rFonts w:ascii="Arial" w:cs="Arial" w:eastAsia="Arial" w:hAnsi="Arial"/>
                <w:sz w:val="14"/>
                <w:szCs w:val="14"/>
                <w:b w:val="1"/>
                <w:bCs w:val="1"/>
                <w:color w:val="auto"/>
              </w:rPr>
              <w:t>Pro Forma</w:t>
            </w:r>
          </w:p>
        </w:tc>
      </w:tr>
      <w:tr>
        <w:trPr>
          <w:trHeight w:val="192"/>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Historical</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Arial" w:cs="Arial" w:eastAsia="Arial" w:hAnsi="Arial"/>
                <w:sz w:val="14"/>
                <w:szCs w:val="14"/>
                <w:b w:val="1"/>
                <w:bCs w:val="1"/>
                <w:color w:val="auto"/>
              </w:rPr>
              <w:t>Combined</w:t>
            </w:r>
          </w:p>
        </w:tc>
      </w:tr>
      <w:tr>
        <w:trPr>
          <w:trHeight w:val="229"/>
        </w:trPr>
        <w:tc>
          <w:tcPr>
            <w:tcW w:w="80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Book value per share, June 30, 2022</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Basic net income (loss) per share of Class A Common Stock, June 30, 2022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of Class A Common Stock, June 30, 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outstanding—basic, June 30, 2022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45,247,373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49,275,005</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of Class A Common Stock outstanding—diluted, June 30, 2022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91,953,077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95,594,131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Basic net income (loss) per share of Class A Common Stock, December 31,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of Class A Common Stock, December 31,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outstanding—basic, December 31, 2021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42,595,712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48,473,439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of Class A Common Stock outstanding—diluted, December 31,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92,749,911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95,129,438</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shares of Class A Common Stock outstanding—diluted.</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212"/>
    </w:lvl>
  </w:abstractNum>
  <w:abstractNum w:abstractNumId="4">
    <w:nsid w:val="1BEFD79F"/>
    <w:multiLevelType w:val="hybridMultilevel"/>
    <w:lvl w:ilvl="0">
      <w:lvlJc w:val="left"/>
      <w:lvlText w:val="(%1)"/>
      <w:numFmt w:val="lowerLetter"/>
      <w:start w:val="3"/>
    </w:lvl>
    <w:lvl w:ilvl="1">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1."/>
      <w:numFmt w:val="decimal"/>
      <w:start w:val="3"/>
    </w:lvl>
    <w:lvl w:ilvl="1">
      <w:lvlJc w:val="left"/>
      <w:lvlText w:val="%2"/>
      <w:numFmt w:val="lowerLetter"/>
      <w:start w:val="1"/>
    </w:lvl>
  </w:abstractNum>
  <w:abstractNum w:abstractNumId="19">
    <w:nsid w:val="2443A858"/>
    <w:multiLevelType w:val="hybridMultilevel"/>
    <w:lvl w:ilvl="0">
      <w:lvlJc w:val="left"/>
      <w:lvlText w:val="(%1)"/>
      <w:numFmt w:val="lowerLetter"/>
      <w:start w:val="27"/>
    </w:lvl>
  </w:abstractNum>
  <w:abstractNum w:abstractNumId="20">
    <w:nsid w:val="2D1D5AE9"/>
    <w:multiLevelType w:val="hybridMultilevel"/>
    <w:lvl w:ilvl="0">
      <w:lvlJc w:val="left"/>
      <w:lvlText w:val="(%1)"/>
      <w:numFmt w:val="lowerLetter"/>
      <w:start w:val="29"/>
    </w:lvl>
  </w:abstractNum>
  <w:abstractNum w:abstractNumId="21">
    <w:nsid w:val="6763845E"/>
    <w:multiLevelType w:val="hybridMultilevel"/>
    <w:lvl w:ilvl="0">
      <w:lvlJc w:val="left"/>
      <w:lvlText w:val="(%1)"/>
      <w:numFmt w:val="lowerLetter"/>
      <w:start w:val="34"/>
    </w:lvl>
  </w:abstractNum>
  <w:abstractNum w:abstractNumId="22">
    <w:nsid w:val="75A2A8D4"/>
    <w:multiLevelType w:val="hybridMultilevel"/>
    <w:lvl w:ilvl="0">
      <w:lvlJc w:val="left"/>
      <w:lvlText w:val="%1."/>
      <w:numFmt w:val="decimal"/>
      <w:start w:val="4"/>
    </w:lvl>
  </w:abstractNum>
  <w:abstractNum w:abstractNumId="23">
    <w:nsid w:val="8EDBDAB"/>
    <w:multiLevelType w:val="hybridMultilevel"/>
    <w:lvl w:ilvl="0">
      <w:lvlJc w:val="left"/>
      <w:lvlText w:val="(%1)"/>
      <w:numFmt w:val="lowerLetter"/>
      <w:start w:val="4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2022-08-11T15:58:19Z</dcterms:created>
  <dcterms:modified xsi:type="dcterms:W3CDTF">2022-08-11T15:58:19Z</dcterms:modified>
</cp:coreProperties>
</file>