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237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2374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Weinberg Peter 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767 FIFTH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235"/>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Perella Weinberg Partners</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PWP</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05/01/2025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245"/>
        <w:spacing w:after="0"/>
        <w:rPr>
          <w:sz w:val="20"/>
          <w:szCs w:val="20"/>
          <w:color w:val="auto"/>
        </w:rPr>
      </w:pPr>
      <w:r>
        <w:rPr>
          <w:rFonts w:ascii="Times New Roman" w:cs="Times New Roman" w:eastAsia="Times New Roman" w:hAnsi="Times New Roman"/>
          <w:sz w:val="17"/>
          <w:szCs w:val="17"/>
          <w:color w:val="0000FF"/>
        </w:rPr>
        <w:t>Chairman</w:t>
      </w:r>
    </w:p>
    <w:p>
      <w:pPr>
        <w:spacing w:after="0" w:line="279"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29"/>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560" w:type="dxa"/>
            <w:vAlign w:val="bottom"/>
            <w:shd w:val="clear" w:color="auto" w:fill="9A9A9A"/>
          </w:tcPr>
          <w:p>
            <w:pPr>
              <w:spacing w:after="0"/>
              <w:rPr>
                <w:sz w:val="2"/>
                <w:szCs w:val="2"/>
                <w:color w:val="auto"/>
              </w:rPr>
            </w:pPr>
          </w:p>
        </w:tc>
        <w:tc>
          <w:tcPr>
            <w:tcW w:w="300" w:type="dxa"/>
            <w:vAlign w:val="bottom"/>
            <w:shd w:val="clear" w:color="auto" w:fill="9A9A9A"/>
          </w:tcPr>
          <w:p>
            <w:pPr>
              <w:spacing w:after="0"/>
              <w:rPr>
                <w:sz w:val="2"/>
                <w:szCs w:val="2"/>
                <w:color w:val="auto"/>
              </w:rPr>
            </w:pPr>
          </w:p>
        </w:tc>
        <w:tc>
          <w:tcPr>
            <w:tcW w:w="820" w:type="dxa"/>
            <w:vAlign w:val="bottom"/>
            <w:shd w:val="clear" w:color="auto" w:fill="9A9A9A"/>
          </w:tcPr>
          <w:p>
            <w:pPr>
              <w:spacing w:after="0"/>
              <w:rPr>
                <w:sz w:val="2"/>
                <w:szCs w:val="2"/>
                <w:color w:val="auto"/>
              </w:rPr>
            </w:pPr>
          </w:p>
        </w:tc>
        <w:tc>
          <w:tcPr>
            <w:tcW w:w="1340" w:type="dxa"/>
            <w:vAlign w:val="bottom"/>
            <w:shd w:val="clear" w:color="auto" w:fill="9A9A9A"/>
          </w:tcPr>
          <w:p>
            <w:pPr>
              <w:spacing w:after="0"/>
              <w:rPr>
                <w:sz w:val="2"/>
                <w:szCs w:val="2"/>
                <w:color w:val="auto"/>
              </w:rPr>
            </w:pPr>
          </w:p>
        </w:tc>
        <w:tc>
          <w:tcPr>
            <w:tcW w:w="20" w:type="dxa"/>
            <w:vAlign w:val="bottom"/>
            <w:vMerge w:val="restart"/>
          </w:tcPr>
          <w:p>
            <w:pPr>
              <w:spacing w:after="0"/>
              <w:rPr>
                <w:sz w:val="2"/>
                <w:szCs w:val="2"/>
                <w:color w:val="auto"/>
              </w:rPr>
            </w:pPr>
          </w:p>
        </w:tc>
        <w:tc>
          <w:tcPr>
            <w:tcW w:w="3540" w:type="dxa"/>
            <w:vAlign w:val="bottom"/>
            <w:gridSpan w:val="6"/>
            <w:vMerge w:val="restart"/>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2"/>
                <w:szCs w:val="2"/>
                <w:color w:val="auto"/>
              </w:rPr>
            </w:pPr>
          </w:p>
        </w:tc>
        <w:tc>
          <w:tcPr>
            <w:tcW w:w="3560" w:type="dxa"/>
            <w:vAlign w:val="bottom"/>
            <w:gridSpan w:val="9"/>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vMerge w:val="continue"/>
          </w:tcPr>
          <w:p>
            <w:pPr>
              <w:spacing w:after="0"/>
              <w:rPr>
                <w:sz w:val="10"/>
                <w:szCs w:val="10"/>
                <w:color w:val="auto"/>
              </w:rPr>
            </w:pPr>
          </w:p>
        </w:tc>
        <w:tc>
          <w:tcPr>
            <w:tcW w:w="3540" w:type="dxa"/>
            <w:vAlign w:val="bottom"/>
            <w:gridSpan w:val="6"/>
            <w:vMerge w:val="continue"/>
          </w:tcPr>
          <w:p>
            <w:pPr>
              <w:spacing w:after="0"/>
              <w:rPr>
                <w:sz w:val="10"/>
                <w:szCs w:val="10"/>
                <w:color w:val="auto"/>
              </w:rPr>
            </w:pPr>
          </w:p>
        </w:tc>
        <w:tc>
          <w:tcPr>
            <w:tcW w:w="200" w:type="dxa"/>
            <w:vAlign w:val="bottom"/>
          </w:tcPr>
          <w:p>
            <w:pPr>
              <w:spacing w:after="0"/>
              <w:rPr>
                <w:sz w:val="10"/>
                <w:szCs w:val="10"/>
                <w:color w:val="auto"/>
              </w:rPr>
            </w:pPr>
          </w:p>
        </w:tc>
        <w:tc>
          <w:tcPr>
            <w:tcW w:w="356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gridSpan w:val="4"/>
          </w:tcPr>
          <w:p>
            <w:pPr>
              <w:ind w:left="220"/>
              <w:spacing w:after="0"/>
              <w:rPr>
                <w:sz w:val="20"/>
                <w:szCs w:val="20"/>
                <w:color w:val="auto"/>
              </w:rPr>
            </w:pPr>
            <w:r>
              <w:rPr>
                <w:rFonts w:ascii="Arial" w:cs="Arial" w:eastAsia="Arial" w:hAnsi="Arial"/>
                <w:sz w:val="13"/>
                <w:szCs w:val="13"/>
                <w:color w:val="auto"/>
              </w:rPr>
              <w:t>Line)</w:t>
            </w: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9"/>
                <w:szCs w:val="19"/>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10153</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Borders>
              <w:top w:val="single" w:sz="8" w:color="EEEEEE"/>
            </w:tcBorders>
          </w:tcPr>
          <w:p>
            <w:pPr>
              <w:spacing w:after="0"/>
              <w:rPr>
                <w:sz w:val="16"/>
                <w:szCs w:val="16"/>
                <w:color w:val="auto"/>
              </w:rPr>
            </w:pPr>
          </w:p>
        </w:tc>
        <w:tc>
          <w:tcPr>
            <w:tcW w:w="1120" w:type="dxa"/>
            <w:vAlign w:val="bottom"/>
            <w:tcBorders>
              <w:top w:val="single" w:sz="8" w:color="EEEEEE"/>
            </w:tcBorders>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Borders>
              <w:top w:val="single" w:sz="8" w:color="EEEEEE"/>
            </w:tcBorders>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28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80" w:type="dxa"/>
            <w:vAlign w:val="bottom"/>
            <w:gridSpan w:val="8"/>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0" w:type="dxa"/>
            <w:vAlign w:val="bottom"/>
            <w:gridSpan w:val="3"/>
          </w:tcPr>
          <w:p>
            <w:pPr>
              <w:ind w:left="7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Red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gridSpan w:val="3"/>
            <w:vMerge w:val="restart"/>
          </w:tcPr>
          <w:p>
            <w:pPr>
              <w:ind w:left="860"/>
              <w:spacing w:after="0"/>
              <w:rPr>
                <w:sz w:val="20"/>
                <w:szCs w:val="20"/>
                <w:color w:val="auto"/>
              </w:rPr>
            </w:pPr>
            <w:r>
              <w:rPr>
                <w:rFonts w:ascii="Times New Roman" w:cs="Times New Roman" w:eastAsia="Times New Roman" w:hAnsi="Times New Roman"/>
                <w:sz w:val="17"/>
                <w:szCs w:val="17"/>
                <w:color w:val="0000FF"/>
              </w:rPr>
              <w:t>05/01/2025</w:t>
            </w: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137,621</w:t>
            </w: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Pr>
          <w:p>
            <w:pPr>
              <w:spacing w:after="0"/>
              <w:rPr>
                <w:sz w:val="18"/>
                <w:szCs w:val="18"/>
                <w:color w:val="auto"/>
              </w:rPr>
            </w:pPr>
          </w:p>
        </w:tc>
        <w:tc>
          <w:tcPr>
            <w:tcW w:w="62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17.2</w:t>
            </w:r>
            <w:r>
              <w:rPr>
                <w:rFonts w:ascii="Times New Roman" w:cs="Times New Roman" w:eastAsia="Times New Roman" w:hAnsi="Times New Roman"/>
                <w:sz w:val="22"/>
                <w:szCs w:val="22"/>
                <w:color w:val="008000"/>
                <w:vertAlign w:val="superscript"/>
              </w:rPr>
              <w:t>(2)</w:t>
            </w:r>
          </w:p>
        </w:tc>
        <w:tc>
          <w:tcPr>
            <w:tcW w:w="440" w:type="dxa"/>
            <w:vAlign w:val="bottom"/>
          </w:tcPr>
          <w:p>
            <w:pPr>
              <w:spacing w:after="0"/>
              <w:rPr>
                <w:sz w:val="18"/>
                <w:szCs w:val="18"/>
                <w:color w:val="auto"/>
              </w:rPr>
            </w:pPr>
          </w:p>
        </w:tc>
        <w:tc>
          <w:tcPr>
            <w:tcW w:w="760" w:type="dxa"/>
            <w:vAlign w:val="bottom"/>
            <w:vMerge w:val="restart"/>
          </w:tcPr>
          <w:p>
            <w:pPr>
              <w:jc w:val="right"/>
              <w:ind w:right="517"/>
              <w:spacing w:after="0"/>
              <w:rPr>
                <w:sz w:val="20"/>
                <w:szCs w:val="20"/>
                <w:color w:val="auto"/>
              </w:rPr>
            </w:pPr>
            <w:r>
              <w:rPr>
                <w:rFonts w:ascii="Times New Roman" w:cs="Times New Roman" w:eastAsia="Times New Roman" w:hAnsi="Times New Roman"/>
                <w:sz w:val="17"/>
                <w:szCs w:val="17"/>
                <w:color w:val="0000FF"/>
              </w:rPr>
              <w:t>0</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Hook</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gridSpan w:val="5"/>
            <w:vMerge w:val="continue"/>
          </w:tcPr>
          <w:p>
            <w:pPr>
              <w:spacing w:after="0"/>
              <w:rPr>
                <w:sz w:val="15"/>
                <w:szCs w:val="15"/>
                <w:color w:val="auto"/>
              </w:rPr>
            </w:pPr>
          </w:p>
        </w:tc>
        <w:tc>
          <w:tcPr>
            <w:tcW w:w="1800" w:type="dxa"/>
            <w:vAlign w:val="bottom"/>
            <w:gridSpan w:val="3"/>
            <w:vMerge w:val="continue"/>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gridSpan w:val="3"/>
            <w:vMerge w:val="continue"/>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Capital</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400" w:type="dxa"/>
            <w:vAlign w:val="bottom"/>
            <w:tcBorders>
              <w:top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340" w:type="dxa"/>
            <w:vAlign w:val="bottom"/>
            <w:tcBorders>
              <w:top w:val="single" w:sz="8" w:color="2C2C2C"/>
            </w:tcBorders>
          </w:tcPr>
          <w:p>
            <w:pPr>
              <w:spacing w:after="0"/>
              <w:rPr>
                <w:sz w:val="23"/>
                <w:szCs w:val="23"/>
                <w:color w:val="auto"/>
              </w:rPr>
            </w:pPr>
          </w:p>
        </w:tc>
        <w:tc>
          <w:tcPr>
            <w:tcW w:w="2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420" w:type="dxa"/>
            <w:vAlign w:val="bottom"/>
            <w:tcBorders>
              <w:top w:val="single" w:sz="8" w:color="2C2C2C"/>
            </w:tcBorders>
          </w:tcPr>
          <w:p>
            <w:pPr>
              <w:spacing w:after="0"/>
              <w:rPr>
                <w:sz w:val="23"/>
                <w:szCs w:val="23"/>
                <w:color w:val="auto"/>
              </w:rPr>
            </w:pPr>
          </w:p>
        </w:tc>
        <w:tc>
          <w:tcPr>
            <w:tcW w:w="720" w:type="dxa"/>
            <w:vAlign w:val="bottom"/>
            <w:tcBorders>
              <w:top w:val="single" w:sz="8" w:color="2C2C2C"/>
            </w:tcBorders>
          </w:tcPr>
          <w:p>
            <w:pPr>
              <w:spacing w:after="0"/>
              <w:rPr>
                <w:sz w:val="23"/>
                <w:szCs w:val="23"/>
                <w:color w:val="auto"/>
              </w:rPr>
            </w:pPr>
          </w:p>
        </w:tc>
        <w:tc>
          <w:tcPr>
            <w:tcW w:w="800" w:type="dxa"/>
            <w:vAlign w:val="bottom"/>
            <w:tcBorders>
              <w:top w:val="single" w:sz="8" w:color="2C2C2C"/>
            </w:tcBorders>
          </w:tcPr>
          <w:p>
            <w:pPr>
              <w:spacing w:after="0"/>
              <w:rPr>
                <w:sz w:val="23"/>
                <w:szCs w:val="23"/>
                <w:color w:val="auto"/>
              </w:rPr>
            </w:pPr>
          </w:p>
        </w:tc>
        <w:tc>
          <w:tcPr>
            <w:tcW w:w="740" w:type="dxa"/>
            <w:vAlign w:val="bottom"/>
            <w:tcBorders>
              <w:top w:val="single" w:sz="8" w:color="2C2C2C"/>
            </w:tcBorders>
          </w:tcPr>
          <w:p>
            <w:pPr>
              <w:spacing w:after="0"/>
              <w:rPr>
                <w:sz w:val="23"/>
                <w:szCs w:val="23"/>
                <w:color w:val="auto"/>
              </w:rPr>
            </w:pPr>
          </w:p>
        </w:tc>
        <w:tc>
          <w:tcPr>
            <w:tcW w:w="420" w:type="dxa"/>
            <w:vAlign w:val="bottom"/>
            <w:tcBorders>
              <w:top w:val="single" w:sz="8" w:color="2C2C2C"/>
            </w:tcBorders>
          </w:tcPr>
          <w:p>
            <w:pPr>
              <w:spacing w:after="0"/>
              <w:rPr>
                <w:sz w:val="23"/>
                <w:szCs w:val="23"/>
                <w:color w:val="auto"/>
              </w:rPr>
            </w:pPr>
          </w:p>
        </w:tc>
        <w:tc>
          <w:tcPr>
            <w:tcW w:w="200" w:type="dxa"/>
            <w:vAlign w:val="bottom"/>
            <w:tcBorders>
              <w:top w:val="single" w:sz="8" w:color="2C2C2C"/>
            </w:tcBorders>
          </w:tcPr>
          <w:p>
            <w:pPr>
              <w:spacing w:after="0"/>
              <w:rPr>
                <w:sz w:val="23"/>
                <w:szCs w:val="23"/>
                <w:color w:val="auto"/>
              </w:rPr>
            </w:pPr>
          </w:p>
        </w:tc>
        <w:tc>
          <w:tcPr>
            <w:tcW w:w="34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1400" w:type="dxa"/>
            <w:vAlign w:val="bottom"/>
            <w:tcBorders>
              <w:top w:val="single" w:sz="8" w:color="2C2C2C"/>
            </w:tcBorders>
            <w:gridSpan w:val="3"/>
          </w:tcPr>
          <w:p>
            <w:pPr>
              <w:jc w:val="right"/>
              <w:ind w:right="217"/>
              <w:spacing w:after="0"/>
              <w:rPr>
                <w:sz w:val="20"/>
                <w:szCs w:val="20"/>
                <w:color w:val="auto"/>
              </w:rPr>
            </w:pPr>
            <w:r>
              <w:rPr>
                <w:rFonts w:ascii="Times New Roman" w:cs="Times New Roman" w:eastAsia="Times New Roman" w:hAnsi="Times New Roman"/>
                <w:sz w:val="17"/>
                <w:szCs w:val="17"/>
                <w:color w:val="0000FF"/>
              </w:rPr>
              <w:t>1,966,744</w:t>
            </w:r>
          </w:p>
        </w:tc>
        <w:tc>
          <w:tcPr>
            <w:tcW w:w="920" w:type="dxa"/>
            <w:vAlign w:val="bottom"/>
            <w:tcBorders>
              <w:top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4080" w:type="dxa"/>
            <w:vAlign w:val="bottom"/>
            <w:tcBorders>
              <w:bottom w:val="single" w:sz="8" w:color="2C2C2C"/>
            </w:tcBorders>
            <w:gridSpan w:val="8"/>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effected pursuant to a Rule 10b5-1 trading plan adopted by Red Hook Capital LLC on August 6, 2024.</w:t>
      </w:r>
    </w:p>
    <w:p>
      <w:pPr>
        <w:spacing w:after="0" w:line="50" w:lineRule="exact"/>
        <w:rPr>
          <w:rFonts w:ascii="Times New Roman" w:cs="Times New Roman" w:eastAsia="Times New Roman" w:hAnsi="Times New Roman"/>
          <w:sz w:val="13"/>
          <w:szCs w:val="13"/>
          <w:color w:val="008000"/>
        </w:rPr>
      </w:pPr>
    </w:p>
    <w:p>
      <w:pPr>
        <w:ind w:left="40" w:right="2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between $16.84-$17.44, inclusive.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securities held directly by Red Hook Capital LLC. The Reporting Person has shared voting and dispositive power over Red Hook Capital LLC through his shared control of Rosedale Partners LLC, the sole member of Red Hook. Each of the Reporting Person and Rosedale Partners LLC disclaims beneficial ownership of the securities held by Red Hook Capital LLC, except to the extent of their respective pecuniary interest therein.</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Mark Polemeni,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05/05/2025</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340" w:type="dxa"/>
            <w:vAlign w:val="bottom"/>
            <w:tcBorders>
              <w:top w:val="single" w:sz="8" w:color="auto"/>
            </w:tcBorders>
            <w:vMerge w:val="restart"/>
          </w:tcPr>
          <w:p>
            <w:pPr>
              <w:spacing w:after="0"/>
              <w:rPr>
                <w:sz w:val="7"/>
                <w:szCs w:val="7"/>
                <w:color w:val="auto"/>
              </w:rPr>
            </w:pPr>
          </w:p>
        </w:tc>
        <w:tc>
          <w:tcPr>
            <w:tcW w:w="5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340" w:type="dxa"/>
            <w:vAlign w:val="bottom"/>
            <w:tcBorders>
              <w:top w:val="single" w:sz="8" w:color="auto"/>
            </w:tcBorders>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16779" TargetMode="External"/><Relationship Id="rId14" Type="http://schemas.openxmlformats.org/officeDocument/2006/relationships/hyperlink" Target="http://www.sec.gov/cgi-bin/browse-edgar?action=getcompany&amp;CIK=00017778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2025-05-05T16:44:08Z</dcterms:created>
  <dcterms:modified xsi:type="dcterms:W3CDTF">2025-05-05T16:44:08Z</dcterms:modified>
</cp:coreProperties>
</file>