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00"/>
          </w:cols>
          <w:pgMar w:left="460" w:top="225" w:right="479" w:bottom="101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COHEN DANIEL 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23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Perella Weinberg Partners</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PWP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03/14/2023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2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225"/>
          </w:cols>
          <w:pgMar w:left="460" w:top="225" w:right="479" w:bottom="1011"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10153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040"/>
          </w:cols>
          <w:pgMar w:left="460" w:top="225" w:right="479" w:bottom="1011"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440" w:type="dxa"/>
            <w:vAlign w:val="bottom"/>
          </w:tcPr>
          <w:p>
            <w:pPr>
              <w:spacing w:after="0"/>
              <w:rPr>
                <w:sz w:val="11"/>
                <w:szCs w:val="11"/>
                <w:color w:val="auto"/>
              </w:rPr>
            </w:pPr>
          </w:p>
        </w:tc>
        <w:tc>
          <w:tcPr>
            <w:tcW w:w="17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4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4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4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4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jc w:val="right"/>
              <w:ind w:right="89"/>
              <w:spacing w:after="0"/>
              <w:rPr>
                <w:sz w:val="20"/>
                <w:szCs w:val="20"/>
                <w:color w:val="auto"/>
              </w:rPr>
            </w:pPr>
            <w:r>
              <w:rPr>
                <w:rFonts w:ascii="Arial" w:cs="Arial" w:eastAsia="Arial" w:hAnsi="Arial"/>
                <w:sz w:val="17"/>
                <w:szCs w:val="17"/>
                <w:color w:val="0000FF"/>
              </w:rPr>
              <w:t>03/14/2023</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Pr>
          <w:p>
            <w:pPr>
              <w:ind w:left="160"/>
              <w:spacing w:after="0"/>
              <w:rPr>
                <w:sz w:val="20"/>
                <w:szCs w:val="20"/>
                <w:color w:val="auto"/>
              </w:rPr>
            </w:pPr>
            <w:r>
              <w:rPr>
                <w:rFonts w:ascii="Arial" w:cs="Arial" w:eastAsia="Arial" w:hAnsi="Arial"/>
                <w:sz w:val="17"/>
                <w:szCs w:val="17"/>
                <w:color w:val="0000FF"/>
              </w:rPr>
              <w:t>13,409</w:t>
            </w:r>
          </w:p>
        </w:tc>
        <w:tc>
          <w:tcPr>
            <w:tcW w:w="520" w:type="dxa"/>
            <w:vAlign w:val="bottom"/>
          </w:tcPr>
          <w:p>
            <w:pPr>
              <w:jc w:val="center"/>
              <w:spacing w:after="0"/>
              <w:rPr>
                <w:sz w:val="20"/>
                <w:szCs w:val="20"/>
                <w:color w:val="auto"/>
              </w:rPr>
            </w:pPr>
            <w:r>
              <w:rPr>
                <w:rFonts w:ascii="Arial" w:cs="Arial" w:eastAsia="Arial" w:hAnsi="Arial"/>
                <w:sz w:val="17"/>
                <w:szCs w:val="17"/>
                <w:color w:val="0000FF"/>
              </w:rPr>
              <w:t>D</w:t>
            </w:r>
          </w:p>
        </w:tc>
        <w:tc>
          <w:tcPr>
            <w:tcW w:w="680" w:type="dxa"/>
            <w:vAlign w:val="bottom"/>
          </w:tcPr>
          <w:p>
            <w:pPr>
              <w:ind w:left="80"/>
              <w:spacing w:after="0" w:line="213" w:lineRule="exact"/>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9.08</w:t>
            </w:r>
            <w:r>
              <w:rPr>
                <w:rFonts w:ascii="Arial" w:cs="Arial" w:eastAsia="Arial" w:hAnsi="Arial"/>
                <w:sz w:val="22"/>
                <w:szCs w:val="22"/>
                <w:color w:val="008000"/>
                <w:w w:val="95"/>
                <w:vertAlign w:val="superscript"/>
              </w:rPr>
              <w:t>(1)</w:t>
            </w: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524,873</w:t>
            </w:r>
          </w:p>
        </w:tc>
        <w:tc>
          <w:tcPr>
            <w:tcW w:w="920" w:type="dxa"/>
            <w:vAlign w:val="bottom"/>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282"/>
        </w:trPr>
        <w:tc>
          <w:tcPr>
            <w:tcW w:w="24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58"/>
        </w:trPr>
        <w:tc>
          <w:tcPr>
            <w:tcW w:w="24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jc w:val="right"/>
              <w:ind w:right="89"/>
              <w:spacing w:after="0"/>
              <w:rPr>
                <w:sz w:val="20"/>
                <w:szCs w:val="20"/>
                <w:color w:val="auto"/>
              </w:rPr>
            </w:pPr>
            <w:r>
              <w:rPr>
                <w:rFonts w:ascii="Arial" w:cs="Arial" w:eastAsia="Arial" w:hAnsi="Arial"/>
                <w:sz w:val="17"/>
                <w:szCs w:val="17"/>
                <w:color w:val="0000FF"/>
              </w:rPr>
              <w:t>03/14/2023</w:t>
            </w:r>
          </w:p>
        </w:tc>
        <w:tc>
          <w:tcPr>
            <w:tcW w:w="1120" w:type="dxa"/>
            <w:vAlign w:val="bottom"/>
          </w:tcPr>
          <w:p>
            <w:pPr>
              <w:spacing w:after="0"/>
              <w:rPr>
                <w:sz w:val="18"/>
                <w:szCs w:val="18"/>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Pr>
          <w:p>
            <w:pPr>
              <w:ind w:left="160"/>
              <w:spacing w:after="0"/>
              <w:rPr>
                <w:sz w:val="20"/>
                <w:szCs w:val="20"/>
                <w:color w:val="auto"/>
              </w:rPr>
            </w:pPr>
            <w:r>
              <w:rPr>
                <w:rFonts w:ascii="Arial" w:cs="Arial" w:eastAsia="Arial" w:hAnsi="Arial"/>
                <w:sz w:val="17"/>
                <w:szCs w:val="17"/>
                <w:color w:val="0000FF"/>
              </w:rPr>
              <w:t>13,409</w:t>
            </w:r>
          </w:p>
        </w:tc>
        <w:tc>
          <w:tcPr>
            <w:tcW w:w="520" w:type="dxa"/>
            <w:vAlign w:val="bottom"/>
          </w:tcPr>
          <w:p>
            <w:pPr>
              <w:jc w:val="center"/>
              <w:spacing w:after="0"/>
              <w:rPr>
                <w:sz w:val="20"/>
                <w:szCs w:val="20"/>
                <w:color w:val="auto"/>
              </w:rPr>
            </w:pPr>
            <w:r>
              <w:rPr>
                <w:rFonts w:ascii="Arial" w:cs="Arial" w:eastAsia="Arial" w:hAnsi="Arial"/>
                <w:sz w:val="17"/>
                <w:szCs w:val="17"/>
                <w:color w:val="0000FF"/>
              </w:rPr>
              <w:t>D</w:t>
            </w:r>
          </w:p>
        </w:tc>
        <w:tc>
          <w:tcPr>
            <w:tcW w:w="680" w:type="dxa"/>
            <w:vAlign w:val="bottom"/>
          </w:tcPr>
          <w:p>
            <w:pPr>
              <w:ind w:left="80"/>
              <w:spacing w:after="0" w:line="213" w:lineRule="exact"/>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9.08</w:t>
            </w:r>
            <w:r>
              <w:rPr>
                <w:rFonts w:ascii="Arial" w:cs="Arial" w:eastAsia="Arial" w:hAnsi="Arial"/>
                <w:sz w:val="22"/>
                <w:szCs w:val="22"/>
                <w:color w:val="008000"/>
                <w:w w:val="95"/>
                <w:vertAlign w:val="superscript"/>
              </w:rPr>
              <w:t>(1)</w:t>
            </w: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524,873</w:t>
            </w:r>
          </w:p>
        </w:tc>
        <w:tc>
          <w:tcPr>
            <w:tcW w:w="920" w:type="dxa"/>
            <w:vAlign w:val="bottom"/>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282"/>
        </w:trPr>
        <w:tc>
          <w:tcPr>
            <w:tcW w:w="24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line="275" w:lineRule="exact"/>
              <w:rPr>
                <w:sz w:val="20"/>
                <w:szCs w:val="20"/>
                <w:color w:val="auto"/>
              </w:rPr>
            </w:pPr>
            <w:r>
              <w:rPr>
                <w:rFonts w:ascii="Arial" w:cs="Arial" w:eastAsia="Arial" w:hAnsi="Arial"/>
                <w:sz w:val="31"/>
                <w:szCs w:val="31"/>
                <w:color w:val="0000FF"/>
                <w:vertAlign w:val="subscript"/>
              </w:rPr>
              <w:t>LLC</w:t>
            </w:r>
            <w:r>
              <w:rPr>
                <w:rFonts w:ascii="Arial" w:cs="Arial" w:eastAsia="Arial" w:hAnsi="Arial"/>
                <w:sz w:val="11"/>
                <w:szCs w:val="11"/>
                <w:color w:val="008000"/>
              </w:rPr>
              <w:t>(3)</w:t>
            </w:r>
          </w:p>
        </w:tc>
        <w:tc>
          <w:tcPr>
            <w:tcW w:w="0" w:type="dxa"/>
            <w:vAlign w:val="bottom"/>
          </w:tcPr>
          <w:p>
            <w:pPr>
              <w:spacing w:after="0"/>
              <w:rPr>
                <w:sz w:val="1"/>
                <w:szCs w:val="1"/>
                <w:color w:val="auto"/>
              </w:rPr>
            </w:pPr>
          </w:p>
        </w:tc>
      </w:tr>
      <w:tr>
        <w:trPr>
          <w:trHeight w:val="265"/>
        </w:trPr>
        <w:tc>
          <w:tcPr>
            <w:tcW w:w="244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92"/>
              </w:rPr>
              <w:t>80,852</w:t>
            </w:r>
          </w:p>
        </w:tc>
        <w:tc>
          <w:tcPr>
            <w:tcW w:w="920" w:type="dxa"/>
            <w:vAlign w:val="bottom"/>
          </w:tcPr>
          <w:p>
            <w:pPr>
              <w:jc w:val="center"/>
              <w:spacing w:after="0"/>
              <w:rPr>
                <w:sz w:val="20"/>
                <w:szCs w:val="20"/>
                <w:color w:val="auto"/>
              </w:rPr>
            </w:pPr>
            <w:r>
              <w:rPr>
                <w:rFonts w:ascii="Arial" w:cs="Arial" w:eastAsia="Arial" w:hAnsi="Arial"/>
                <w:sz w:val="17"/>
                <w:szCs w:val="17"/>
                <w:color w:val="0000FF"/>
              </w:rPr>
              <w:t>D</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4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4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13"/>
        </w:trPr>
        <w:tc>
          <w:tcPr>
            <w:tcW w:w="244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8"/>
              </w:rPr>
              <w:t>11,951</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114"/>
        </w:trPr>
        <w:tc>
          <w:tcPr>
            <w:tcW w:w="244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rPr>
              <w:t>Advisors</w:t>
            </w:r>
          </w:p>
        </w:tc>
        <w:tc>
          <w:tcPr>
            <w:tcW w:w="0" w:type="dxa"/>
            <w:vAlign w:val="bottom"/>
          </w:tcPr>
          <w:p>
            <w:pPr>
              <w:spacing w:after="0"/>
              <w:rPr>
                <w:sz w:val="1"/>
                <w:szCs w:val="1"/>
                <w:color w:val="auto"/>
              </w:rPr>
            </w:pPr>
          </w:p>
        </w:tc>
      </w:tr>
      <w:tr>
        <w:trPr>
          <w:trHeight w:val="99"/>
        </w:trPr>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IV,</w:t>
            </w:r>
          </w:p>
        </w:tc>
        <w:tc>
          <w:tcPr>
            <w:tcW w:w="0" w:type="dxa"/>
            <w:vAlign w:val="bottom"/>
          </w:tcPr>
          <w:p>
            <w:pPr>
              <w:spacing w:after="0"/>
              <w:rPr>
                <w:sz w:val="1"/>
                <w:szCs w:val="1"/>
                <w:color w:val="auto"/>
              </w:rPr>
            </w:pPr>
          </w:p>
        </w:tc>
      </w:tr>
      <w:tr>
        <w:trPr>
          <w:trHeight w:val="282"/>
        </w:trPr>
        <w:tc>
          <w:tcPr>
            <w:tcW w:w="24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58"/>
        </w:trPr>
        <w:tc>
          <w:tcPr>
            <w:tcW w:w="24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13"/>
        </w:trPr>
        <w:tc>
          <w:tcPr>
            <w:tcW w:w="244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8"/>
              </w:rPr>
              <w:t>11,951</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114"/>
        </w:trPr>
        <w:tc>
          <w:tcPr>
            <w:tcW w:w="244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rPr>
              <w:t>Advisors</w:t>
            </w:r>
          </w:p>
        </w:tc>
        <w:tc>
          <w:tcPr>
            <w:tcW w:w="0" w:type="dxa"/>
            <w:vAlign w:val="bottom"/>
          </w:tcPr>
          <w:p>
            <w:pPr>
              <w:spacing w:after="0"/>
              <w:rPr>
                <w:sz w:val="1"/>
                <w:szCs w:val="1"/>
                <w:color w:val="auto"/>
              </w:rPr>
            </w:pPr>
          </w:p>
        </w:tc>
      </w:tr>
      <w:tr>
        <w:trPr>
          <w:trHeight w:val="99"/>
        </w:trPr>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IV,</w:t>
            </w:r>
          </w:p>
        </w:tc>
        <w:tc>
          <w:tcPr>
            <w:tcW w:w="0" w:type="dxa"/>
            <w:vAlign w:val="bottom"/>
          </w:tcPr>
          <w:p>
            <w:pPr>
              <w:spacing w:after="0"/>
              <w:rPr>
                <w:sz w:val="1"/>
                <w:szCs w:val="1"/>
                <w:color w:val="auto"/>
              </w:rPr>
            </w:pPr>
          </w:p>
        </w:tc>
      </w:tr>
      <w:tr>
        <w:trPr>
          <w:trHeight w:val="282"/>
        </w:trPr>
        <w:tc>
          <w:tcPr>
            <w:tcW w:w="24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58"/>
        </w:trPr>
        <w:tc>
          <w:tcPr>
            <w:tcW w:w="24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 DGC</w:t>
            </w:r>
          </w:p>
        </w:tc>
        <w:tc>
          <w:tcPr>
            <w:tcW w:w="0" w:type="dxa"/>
            <w:vAlign w:val="bottom"/>
          </w:tcPr>
          <w:p>
            <w:pPr>
              <w:spacing w:after="0"/>
              <w:rPr>
                <w:sz w:val="1"/>
                <w:szCs w:val="1"/>
                <w:color w:val="auto"/>
              </w:rPr>
            </w:pPr>
          </w:p>
        </w:tc>
      </w:tr>
      <w:tr>
        <w:trPr>
          <w:trHeight w:val="213"/>
        </w:trPr>
        <w:tc>
          <w:tcPr>
            <w:tcW w:w="244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2"/>
              </w:rPr>
              <w:t>57,923</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44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99"/>
        </w:trPr>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4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58"/>
        </w:trPr>
        <w:tc>
          <w:tcPr>
            <w:tcW w:w="24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91"/>
              </w:rPr>
              <w:t>133,603</w:t>
            </w:r>
          </w:p>
        </w:tc>
        <w:tc>
          <w:tcPr>
            <w:tcW w:w="920" w:type="dxa"/>
            <w:vAlign w:val="bottom"/>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Masala</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282"/>
        </w:trPr>
        <w:tc>
          <w:tcPr>
            <w:tcW w:w="24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258"/>
        </w:trPr>
        <w:tc>
          <w:tcPr>
            <w:tcW w:w="24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0000FF"/>
              </w:rPr>
              <w:t>By DGC</w:t>
            </w:r>
          </w:p>
        </w:tc>
        <w:tc>
          <w:tcPr>
            <w:tcW w:w="0" w:type="dxa"/>
            <w:vAlign w:val="bottom"/>
          </w:tcPr>
          <w:p>
            <w:pPr>
              <w:spacing w:after="0"/>
              <w:rPr>
                <w:sz w:val="1"/>
                <w:szCs w:val="1"/>
                <w:color w:val="auto"/>
              </w:rPr>
            </w:pPr>
          </w:p>
        </w:tc>
      </w:tr>
      <w:tr>
        <w:trPr>
          <w:trHeight w:val="213"/>
        </w:trPr>
        <w:tc>
          <w:tcPr>
            <w:tcW w:w="2440" w:type="dxa"/>
            <w:vAlign w:val="bottom"/>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91"/>
              </w:rPr>
              <w:t>133,602</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820" w:type="dxa"/>
            <w:vAlign w:val="bottom"/>
          </w:tcPr>
          <w:p>
            <w:pPr>
              <w:ind w:left="80"/>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114"/>
        </w:trPr>
        <w:tc>
          <w:tcPr>
            <w:tcW w:w="244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rPr>
              <w:t>FinTech</w:t>
            </w:r>
          </w:p>
        </w:tc>
        <w:tc>
          <w:tcPr>
            <w:tcW w:w="0" w:type="dxa"/>
            <w:vAlign w:val="bottom"/>
          </w:tcPr>
          <w:p>
            <w:pPr>
              <w:spacing w:after="0"/>
              <w:rPr>
                <w:sz w:val="1"/>
                <w:szCs w:val="1"/>
                <w:color w:val="auto"/>
              </w:rPr>
            </w:pPr>
          </w:p>
        </w:tc>
      </w:tr>
      <w:tr>
        <w:trPr>
          <w:trHeight w:val="107"/>
        </w:trPr>
        <w:tc>
          <w:tcPr>
            <w:tcW w:w="24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220"/>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(8)</w:t>
      </w:r>
    </w:p>
    <w:p>
      <w:pPr>
        <w:spacing w:after="0" w:line="103"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0960"/>
          </w:cols>
          <w:pgMar w:left="460" w:top="225" w:right="479" w:bottom="1011"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459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4055" cy="145986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right="14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$9.00 to $9.23,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5" w:lineRule="exact"/>
        <w:rPr>
          <w:rFonts w:ascii="Arial" w:cs="Arial" w:eastAsia="Arial" w:hAnsi="Arial"/>
          <w:sz w:val="13"/>
          <w:szCs w:val="13"/>
          <w:color w:val="008000"/>
        </w:rPr>
      </w:pPr>
    </w:p>
    <w:p>
      <w:pPr>
        <w:ind w:right="80" w:firstLine="7"/>
        <w:spacing w:after="0" w:line="243"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held directly by FinTech Masala, LLC ("Masala LLC"), FinTech Investor Holdings IV, LLC ("Holdings"), and FinTech Masala Advisors IV, LLC ("Masala"). FinTech Masala Holdings, LLC ("Manager HoldCo") is the sole member of Masala LLC. Each of Holdings and Masala is managed by Cohen Sponsor Interests IV, LLC ("Manager"), which, in turn, is indirectly owned by Manager HoldCo. The reporting person owns one-third of Manager HoldCo. The amount reported consists of the reporting person's pecuniary interest therein. The reporting person disclaims beneficial ownership of any other securities held directly by Masala LLC, except to the extent of his pecuniary interest therein, and this report shall not be deemed an admission that the reporting person is the beneficial owner of such securities for any other purpose.</w:t>
      </w:r>
    </w:p>
    <w:p>
      <w:pPr>
        <w:spacing w:after="0" w:line="29" w:lineRule="exact"/>
        <w:rPr>
          <w:rFonts w:ascii="Arial" w:cs="Arial" w:eastAsia="Arial" w:hAnsi="Arial"/>
          <w:sz w:val="13"/>
          <w:szCs w:val="13"/>
          <w:color w:val="008000"/>
        </w:rPr>
      </w:pPr>
    </w:p>
    <w:p>
      <w:pPr>
        <w:jc w:val="both"/>
        <w:ind w:right="220" w:firstLine="7"/>
        <w:spacing w:after="0" w:line="272" w:lineRule="auto"/>
        <w:tabs>
          <w:tab w:leader="none" w:pos="13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held directly by Masala LLC, Holdings, and Masala. Manager HoldCo is the sole member of Masala LLC. Each of Holdings and Masala is managed by Manager, which, in turn, is indirectly owned by Manager HoldCo. DGC Family FinTech Trust (the "Trust") owns one-third of Manager HoldCo. The amount reported consists of the Trust's pecuniary interest therein. Each of the reporting person and the Trust disclaims beneficial ownership of any other securities held directly by Holdings and Masala, except to the extent of his or its respective pecuniary interest therein, and this report shall not be deemed an admission that the reporting person or the Trust is the beneficial owner of such securities for any other purpose.</w:t>
      </w:r>
    </w:p>
    <w:p>
      <w:pPr>
        <w:spacing w:after="0" w:line="14" w:lineRule="exact"/>
        <w:rPr>
          <w:rFonts w:ascii="Arial" w:cs="Arial" w:eastAsia="Arial" w:hAnsi="Arial"/>
          <w:sz w:val="12"/>
          <w:szCs w:val="12"/>
          <w:color w:val="008000"/>
        </w:rPr>
      </w:pPr>
    </w:p>
    <w:p>
      <w:pPr>
        <w:ind w:right="8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held directly by Masala. The reporting person is a member of Masala. The amount reported consists of the reporting person's pecuniary interest therein. The reporting person disclaims beneficial ownership of any other securities held directly by Masala, except to the extent of his pecuniary interest therein, and this report shall not be deemed an admission that the reporting person is the beneficial owner of such securities for any other purpose.</w:t>
      </w:r>
    </w:p>
    <w:p>
      <w:pPr>
        <w:spacing w:after="0" w:line="25" w:lineRule="exact"/>
        <w:rPr>
          <w:rFonts w:ascii="Arial" w:cs="Arial" w:eastAsia="Arial" w:hAnsi="Arial"/>
          <w:sz w:val="13"/>
          <w:szCs w:val="13"/>
          <w:color w:val="008000"/>
        </w:rPr>
      </w:pPr>
    </w:p>
    <w:p>
      <w:pPr>
        <w:ind w:right="280" w:firstLine="7"/>
        <w:spacing w:after="0" w:line="281" w:lineRule="auto"/>
        <w:tabs>
          <w:tab w:leader="none" w:pos="13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held directly by Masala. The Trust is a member of Masala. The children of the reporting person are beneficiaries of the Trust. The amount reported consists of the Trust's pecuniary interest therein. Each of the reporting person and the Trust disclaims beneficial ownership of any other securities held directly by Masala, except to the extent of his or its respective pecuniary interest therein, and this report shall not be deemed an admission that the reporting person or the Trust is the beneficial owner of such securities for any other purpose.</w:t>
      </w:r>
    </w:p>
    <w:p>
      <w:pPr>
        <w:spacing w:after="0" w:line="8" w:lineRule="exact"/>
        <w:rPr>
          <w:rFonts w:ascii="Arial" w:cs="Arial" w:eastAsia="Arial" w:hAnsi="Arial"/>
          <w:sz w:val="12"/>
          <w:szCs w:val="12"/>
          <w:color w:val="008000"/>
        </w:rPr>
      </w:pP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held directly by the Trust. The children of the reporting person are beneficiaries of the Trust.</w:t>
      </w:r>
    </w:p>
    <w:p>
      <w:pPr>
        <w:spacing w:after="0" w:line="50" w:lineRule="exact"/>
        <w:rPr>
          <w:rFonts w:ascii="Arial" w:cs="Arial" w:eastAsia="Arial" w:hAnsi="Arial"/>
          <w:sz w:val="13"/>
          <w:szCs w:val="13"/>
          <w:color w:val="008000"/>
        </w:rPr>
      </w:pPr>
    </w:p>
    <w:p>
      <w:pPr>
        <w:ind w:right="100" w:firstLine="7"/>
        <w:spacing w:after="0" w:line="281" w:lineRule="auto"/>
        <w:tabs>
          <w:tab w:leader="none" w:pos="13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held directly by Holdings and Masala, each of which is managed by Manager, which, in turn, is indirectly owned by Manager HoldCo. The reporting person owns one-third of Manager HoldCo. The amount reported consists of the reporting person's pecuniary interest therein. The reporting person disclaims beneficial ownership of any other securities held directly by Holdings and Masala, except to the extent of his pecuniary interest therein, and this report shall not be deemed an admission that the reporting person is the beneficial owner of such securities for any other purpose.</w:t>
      </w:r>
    </w:p>
    <w:p>
      <w:pPr>
        <w:spacing w:after="0" w:line="8" w:lineRule="exact"/>
        <w:rPr>
          <w:rFonts w:ascii="Arial" w:cs="Arial" w:eastAsia="Arial" w:hAnsi="Arial"/>
          <w:sz w:val="12"/>
          <w:szCs w:val="12"/>
          <w:color w:val="008000"/>
        </w:rPr>
      </w:pPr>
    </w:p>
    <w:p>
      <w:pPr>
        <w:ind w:right="12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held directly by Holdings and Masala, each of which is managed by Manager, which, in turn, is indirectly owned by Manager HoldCo. The Trust owns one-third of Manager HoldCo. The amount reported consists of the Trust's pecuniary interest therein. Each of the reporting person and the Trust disclaims beneficial ownership of any other securities held directly by Holdings and Masala, except to the extent of his or its respective pecuniary interest therein, and this report shall not be deemed an admission that the reporting person or the Trust is the beneficial owner of such securities for any other purpose.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4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Mark Polemeni,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03/16/2023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6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60"/>
      </w:cols>
      <w:pgMar w:left="500" w:top="18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47745"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2023-03-16T19:59:33Z</dcterms:created>
  <dcterms:modified xsi:type="dcterms:W3CDTF">2023-03-16T19:59:33Z</dcterms:modified>
</cp:coreProperties>
</file>