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154305</wp:posOffset>
            </wp:positionV>
            <wp:extent cx="2280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6"/>
          <w:szCs w:val="36"/>
          <w:b w:val="1"/>
          <w:bCs w:val="1"/>
          <w:color w:val="auto"/>
        </w:rPr>
        <w:t>SCHEDULE TO</w:t>
      </w:r>
    </w:p>
    <w:p>
      <w:pPr>
        <w:spacing w:after="0" w:line="5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TENDER OFFER STATEMENT UNDER SECTION 14(d)(1) OR 13(e)(1)</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149860</wp:posOffset>
            </wp:positionV>
            <wp:extent cx="2280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PERELLA WEINBERG PARTNERS</w:t>
      </w:r>
    </w:p>
    <w:p>
      <w:pPr>
        <w:spacing w:after="0" w:line="63"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4"/>
          <w:szCs w:val="14"/>
          <w:b w:val="1"/>
          <w:bCs w:val="1"/>
          <w:color w:val="auto"/>
        </w:rPr>
        <w:t>(Name of Subject Company and Filing Person (Issuer))</w:t>
      </w:r>
    </w:p>
    <w:p>
      <w:pPr>
        <w:spacing w:after="0" w:line="30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Warrants to Acquire Shares of Class A Common Stock</w:t>
      </w:r>
    </w:p>
    <w:p>
      <w:pPr>
        <w:spacing w:after="0" w:line="25"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3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71367G110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3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Vladimir Shendelman, Esq.</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General Counsel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767 Fifth Avenue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New York, New York 10153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(212) 287-3200</w:t>
      </w:r>
    </w:p>
    <w:p>
      <w:pPr>
        <w:spacing w:after="0" w:line="1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(Name, address and telephone numbers, of person authorized to receive notices and</w:t>
      </w:r>
    </w:p>
    <w:p>
      <w:pPr>
        <w:spacing w:after="0" w:line="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170180</wp:posOffset>
            </wp:positionV>
            <wp:extent cx="2280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Copies of communications to:</w:t>
      </w:r>
    </w:p>
    <w:p>
      <w:pPr>
        <w:spacing w:after="0" w:line="17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Joseph A. Coco, Esq.</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Michael J. Schwartz, Esq.</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Blair T. Thetford, Esq.</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Skadden, Arps, Slate, Meagher &amp; Flom LLP</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One Manhattan West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New York, NY 10001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(212) 735-3000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91440</wp:posOffset>
            </wp:positionV>
            <wp:extent cx="2280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376" w:lineRule="exact"/>
        <w:rPr>
          <w:sz w:val="24"/>
          <w:szCs w:val="24"/>
          <w:color w:val="auto"/>
        </w:rPr>
      </w:pPr>
    </w:p>
    <w:p>
      <w:pPr>
        <w:ind w:right="1539" w:firstLine="8"/>
        <w:spacing w:after="0" w:line="296"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before the commencement of a tender offer. Check the appropriate boxes below to designate any transactions to which the statement relates:</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63"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63"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63" w:lineRule="exact"/>
        <w:rPr>
          <w:rFonts w:ascii="MS PGothic" w:cs="MS PGothic" w:eastAsia="MS PGothic" w:hAnsi="MS PGothic"/>
          <w:sz w:val="18"/>
          <w:szCs w:val="18"/>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4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63"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63" w:lineRule="exact"/>
        <w:rPr>
          <w:rFonts w:ascii="MS PGothic" w:cs="MS PGothic" w:eastAsia="MS PGothic" w:hAnsi="MS PGothic"/>
          <w:sz w:val="18"/>
          <w:szCs w:val="18"/>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280" w:right="1440" w:bottom="1440" w:gutter="0" w:footer="0" w:header="0"/>
        </w:sectPr>
      </w:pPr>
    </w:p>
    <w:bookmarkStart w:id="1" w:name="page2"/>
    <w:bookmarkEnd w:id="1"/>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Tender Offer Statement on Schedule TO (this “Schedule TO”) is filed by Perella Weinberg Partners, a Delaware corporation (the “Company,” “us” or “we”). This Schedule TO relates to an offer by the Company to each holder of the Company’s Warrants (as defined below) to purchase shares of the Company’s Class A common stock, par value $0.0001 per share (“Class A Common Stock”), to receive 0.20 shares of Class A Common Stock in exchange for every outstanding Warrant tendered by the holder and exchanged pursuant to the offer (the “Offer”). The Offer is made upon and subject to the terms and conditions set forth in the Prospectus/Offer to Exchange, dated July 22, 2022 (the “Prospectus/Offer to Exchange”), a copy of which is attached hereto as Exhibit (a)(1)(A), and in the related Letter of Transmittal and Consent, a copy of which is attached hereto as Exhibit (a)(1)(B).</w:t>
      </w:r>
    </w:p>
    <w:p>
      <w:pPr>
        <w:spacing w:after="0" w:line="13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Concurrently with the Offer, we are also soliciting consents (the “Consent Solicitation”) from holders of the Public Warrants (as defined below) to amend the warrant agreement, dated as of September 24, 2020 (the “Warrant Agreement”), by and between the Company (f/k/a FinTech Acquisition Corp. IV (“FTIV”)) and Continental Stock Transfer &amp; Trust Company, as amended by Amendment No. 1 to Warrant Agreement, dated as of November 10, 2021, by and among the Company, Continental Stock Transfer &amp; Trust Company and American Stock Transfer &amp; Trust Company, LLC, as warrant agent, to permit the Company to require that each Warrant (including each Private Placement Warrant (as defined below)) that is outstanding upon the closing of the Offer be converted into 0.18 shares of Class A Common Stock, which is a ratio 10% less than the exchange ratio applicable to the Offer (the “Warrant Amendment”). Pursuant to the terms of the Warrant Agreement, all except certain specified modifications or amendments require the vote or written consent of holders of at least 65% of the outstanding Public Warrants.</w:t>
      </w:r>
    </w:p>
    <w:p>
      <w:pPr>
        <w:spacing w:after="0" w:line="13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information in the Prospectus/Offer to Exchange and in the related Letter of Transmittal and Consent, including all schedules and exhibits thereto, is incorporated by reference herein to answer the items required in this Schedule TO.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Summary Term Sheet.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the section of the Prospectus/Offer to Exchange entitled “</w:t>
      </w:r>
      <w:r>
        <w:rPr>
          <w:rFonts w:ascii="Times New Roman" w:cs="Times New Roman" w:eastAsia="Times New Roman" w:hAnsi="Times New Roman"/>
          <w:sz w:val="18"/>
          <w:szCs w:val="18"/>
          <w:i w:val="1"/>
          <w:iCs w:val="1"/>
          <w:color w:val="auto"/>
        </w:rPr>
        <w:t>Summary</w:t>
      </w:r>
      <w:r>
        <w:rPr>
          <w:rFonts w:ascii="Times New Roman" w:cs="Times New Roman" w:eastAsia="Times New Roman" w:hAnsi="Times New Roman"/>
          <w:sz w:val="18"/>
          <w:szCs w:val="18"/>
          <w:color w:val="auto"/>
        </w:rPr>
        <w:t>” is incorporated herein by reference.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Subject Company Information.</w:t>
      </w:r>
    </w:p>
    <w:p>
      <w:pPr>
        <w:spacing w:after="0" w:line="171" w:lineRule="exact"/>
        <w:rPr>
          <w:sz w:val="20"/>
          <w:szCs w:val="20"/>
          <w:color w:val="auto"/>
        </w:rPr>
      </w:pPr>
    </w:p>
    <w:p>
      <w:pPr>
        <w:ind w:left="660" w:right="460" w:hanging="328"/>
        <w:spacing w:after="0" w:line="286" w:lineRule="auto"/>
        <w:tabs>
          <w:tab w:leader="none" w:pos="6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Name and Address</w:t>
      </w:r>
      <w:r>
        <w:rPr>
          <w:rFonts w:ascii="Times New Roman" w:cs="Times New Roman" w:eastAsia="Times New Roman" w:hAnsi="Times New Roman"/>
          <w:sz w:val="18"/>
          <w:szCs w:val="18"/>
          <w:color w:val="auto"/>
        </w:rPr>
        <w:t>. The name of the issuer is Perella Weinberg Partners. The Company’s principal executive offices are located at 767 Fifth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Avenue, New York, New York 10153, and its telephone number at such offices is (212) 287-3200.</w:t>
      </w:r>
    </w:p>
    <w:p>
      <w:pPr>
        <w:spacing w:after="0" w:line="10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The subject securities are:</w:t>
      </w:r>
    </w:p>
    <w:p>
      <w:pPr>
        <w:spacing w:after="0" w:line="175"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7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sold as part of the units in FTIV’s initial public offering of FTIV’s securities that closed on September 29, 2020 (the “IPO”) (whether they were purchased in the IPO or thereafter in the open market) (the “Public Warrants”); and</w:t>
      </w:r>
    </w:p>
    <w:p>
      <w:pPr>
        <w:spacing w:after="0" w:line="107" w:lineRule="exact"/>
        <w:rPr>
          <w:rFonts w:ascii="Times New Roman" w:cs="Times New Roman" w:eastAsia="Times New Roman" w:hAnsi="Times New Roman"/>
          <w:sz w:val="18"/>
          <w:szCs w:val="18"/>
          <w:color w:val="auto"/>
        </w:rPr>
      </w:pPr>
    </w:p>
    <w:p>
      <w:pPr>
        <w:ind w:left="980" w:right="220" w:hanging="324"/>
        <w:spacing w:after="0" w:line="261" w:lineRule="auto"/>
        <w:tabs>
          <w:tab w:leader="none" w:pos="97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sold as part of the units in a private placement that occurred simultaneously with the IPO (the “Private Placement Warrants”). The terms of the Private Warrants are identical to the Public Warrants, except that the Private Warrants are exercisable for cash or on a cashless basis and are not redeemable by the Company, in each case, so long as they are still held by FinTech Investor Holdings IV, LLC or FinTech Masala Advisors, LLC or their permitted transferees.</w:t>
      </w:r>
    </w:p>
    <w:p>
      <w:pPr>
        <w:spacing w:after="0" w:line="126" w:lineRule="exact"/>
        <w:rPr>
          <w:sz w:val="20"/>
          <w:szCs w:val="20"/>
          <w:color w:val="auto"/>
        </w:rPr>
      </w:pPr>
    </w:p>
    <w:p>
      <w:pPr>
        <w:ind w:left="660" w:right="140"/>
        <w:spacing w:after="0" w:line="261" w:lineRule="auto"/>
        <w:rPr>
          <w:sz w:val="20"/>
          <w:szCs w:val="20"/>
          <w:color w:val="auto"/>
        </w:rPr>
      </w:pPr>
      <w:r>
        <w:rPr>
          <w:rFonts w:ascii="Times New Roman" w:cs="Times New Roman" w:eastAsia="Times New Roman" w:hAnsi="Times New Roman"/>
          <w:sz w:val="18"/>
          <w:szCs w:val="18"/>
          <w:color w:val="auto"/>
        </w:rPr>
        <w:t>The Public Warrants and the Private Placement Warrants are referred to herein collectively as the “Warrants.” Each Warrant entitles the holder to purchase one share of our Class A Common Stock at an exercise price of $11.50 per share, subject to adjustment pursuant to the Warrant Agreement. The Warrants are listed on the Nasdaq Global Select Market under the symbol “PWPPW.” As of July 19, 2022, 7,869,975 Warrants were outstanding, consisting of 7,666,642 Public Warrants and 203,333 Private Placement Warrants.</w:t>
      </w:r>
    </w:p>
    <w:p>
      <w:pPr>
        <w:sectPr>
          <w:pgSz w:w="11900" w:h="16838" w:orient="portrait"/>
          <w:cols w:equalWidth="0" w:num="1">
            <w:col w:w="11220"/>
          </w:cols>
          <w:pgMar w:left="320" w:top="1440" w:right="359" w:bottom="1440" w:gutter="0" w:footer="0" w:header="0"/>
        </w:sectPr>
      </w:pPr>
    </w:p>
    <w:bookmarkStart w:id="2" w:name="page3"/>
    <w:bookmarkEnd w:id="2"/>
    <w:p>
      <w:pPr>
        <w:spacing w:after="0" w:line="136" w:lineRule="exact"/>
        <w:rPr>
          <w:sz w:val="20"/>
          <w:szCs w:val="20"/>
          <w:color w:val="auto"/>
        </w:rPr>
      </w:pPr>
    </w:p>
    <w:p>
      <w:pPr>
        <w:ind w:left="660" w:right="120" w:hanging="328"/>
        <w:spacing w:after="0" w:line="286" w:lineRule="auto"/>
        <w:tabs>
          <w:tab w:leader="none" w:pos="6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Trading Market and Price</w:t>
      </w:r>
      <w:r>
        <w:rPr>
          <w:rFonts w:ascii="Times New Roman" w:cs="Times New Roman" w:eastAsia="Times New Roman" w:hAnsi="Times New Roman"/>
          <w:sz w:val="18"/>
          <w:szCs w:val="18"/>
          <w:color w:val="auto"/>
        </w:rPr>
        <w:t>. The information set forth in the section of the Prospectus/Offer to Exchange entitled “</w:t>
      </w:r>
      <w:r>
        <w:rPr>
          <w:rFonts w:ascii="Times New Roman" w:cs="Times New Roman" w:eastAsia="Times New Roman" w:hAnsi="Times New Roman"/>
          <w:sz w:val="18"/>
          <w:szCs w:val="18"/>
          <w:i w:val="1"/>
          <w:iCs w:val="1"/>
          <w:color w:val="auto"/>
        </w:rPr>
        <w:t>Market Information, Dividends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and Related Stockholder Matters</w:t>
      </w:r>
      <w:r>
        <w:rPr>
          <w:rFonts w:ascii="Times New Roman" w:cs="Times New Roman" w:eastAsia="Times New Roman" w:hAnsi="Times New Roman"/>
          <w:sz w:val="18"/>
          <w:szCs w:val="18"/>
          <w:color w:val="auto"/>
        </w:rPr>
        <w:t>” is incorporated herein by reference.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Identity and Background of Filing Person.</w:t>
      </w:r>
    </w:p>
    <w:p>
      <w:pPr>
        <w:spacing w:after="0" w:line="171" w:lineRule="exact"/>
        <w:rPr>
          <w:sz w:val="20"/>
          <w:szCs w:val="20"/>
          <w:color w:val="auto"/>
        </w:rPr>
      </w:pPr>
    </w:p>
    <w:p>
      <w:pPr>
        <w:ind w:left="660" w:right="280" w:hanging="328"/>
        <w:spacing w:after="0" w:line="286" w:lineRule="auto"/>
        <w:tabs>
          <w:tab w:leader="none" w:pos="6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Name and Address</w:t>
      </w:r>
      <w:r>
        <w:rPr>
          <w:rFonts w:ascii="Times New Roman" w:cs="Times New Roman" w:eastAsia="Times New Roman" w:hAnsi="Times New Roman"/>
          <w:sz w:val="18"/>
          <w:szCs w:val="18"/>
          <w:color w:val="auto"/>
        </w:rPr>
        <w:t>. The Company is the filing person and the issuer. The information set forth above under Item 2(a) is incorporated herein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reference. The Company’s directors and executive officers as of July 21, 2022 are listed in the table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3"/>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Peter A. Weinberg</w:t>
            </w:r>
          </w:p>
        </w:tc>
        <w:tc>
          <w:tcPr>
            <w:tcW w:w="100" w:type="dxa"/>
            <w:vAlign w:val="bottom"/>
            <w:tcBorders>
              <w:top w:val="single" w:sz="8" w:color="CCEEFF"/>
            </w:tcBorders>
            <w:shd w:val="clear" w:color="auto" w:fill="CCEEFF"/>
          </w:tcPr>
          <w:p>
            <w:pPr>
              <w:spacing w:after="0"/>
              <w:rPr>
                <w:sz w:val="19"/>
                <w:szCs w:val="19"/>
                <w:color w:val="auto"/>
              </w:rPr>
            </w:pPr>
          </w:p>
        </w:tc>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Joseph R. Perella</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Emeritus</w:t>
            </w:r>
          </w:p>
        </w:tc>
      </w:tr>
      <w:tr>
        <w:trPr>
          <w:trHeight w:val="229"/>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K. Steel</w:t>
            </w: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Chairman</w:t>
            </w:r>
          </w:p>
        </w:tc>
      </w:tr>
      <w:tr>
        <w:trPr>
          <w:trHeight w:val="22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Gary S. Barancik</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Dietrich Becker</w:t>
            </w: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Co-President and Director</w:t>
            </w:r>
          </w:p>
        </w:tc>
      </w:tr>
      <w:tr>
        <w:trPr>
          <w:trHeight w:val="22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Bednar</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Co-President and Director</w:t>
            </w: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Vladimir Shendelman</w:t>
            </w: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22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Daniel G. Cohen</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Elizabeth Fascitelli</w:t>
            </w: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Kristin W. Mugford</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Jorma Ollila</w:t>
            </w: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Ivan G. Seidenberg</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Jane C. Sherburne</w:t>
            </w: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36"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color w:val="auto"/>
        </w:rPr>
        <w:t>The information set forth in the section of the Prospectus/Offer to Exchange entitled “</w:t>
      </w:r>
      <w:r>
        <w:rPr>
          <w:rFonts w:ascii="Times New Roman" w:cs="Times New Roman" w:eastAsia="Times New Roman" w:hAnsi="Times New Roman"/>
          <w:sz w:val="18"/>
          <w:szCs w:val="18"/>
          <w:i w:val="1"/>
          <w:iCs w:val="1"/>
          <w:color w:val="auto"/>
        </w:rPr>
        <w:t>The Offer and Consent Solicitation-Interests of Directors,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 and Others</w:t>
      </w:r>
      <w:r>
        <w:rPr>
          <w:rFonts w:ascii="Times New Roman" w:cs="Times New Roman" w:eastAsia="Times New Roman" w:hAnsi="Times New Roman"/>
          <w:sz w:val="18"/>
          <w:szCs w:val="18"/>
          <w:color w:val="auto"/>
        </w:rPr>
        <w:t>” is incorporated herein by reference.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Terms of the Transaction.</w:t>
      </w:r>
    </w:p>
    <w:p>
      <w:pPr>
        <w:spacing w:after="0" w:line="171" w:lineRule="exact"/>
        <w:rPr>
          <w:sz w:val="20"/>
          <w:szCs w:val="20"/>
          <w:color w:val="auto"/>
        </w:rPr>
      </w:pPr>
    </w:p>
    <w:p>
      <w:pPr>
        <w:ind w:left="660" w:right="260" w:hanging="328"/>
        <w:spacing w:after="0" w:line="286" w:lineRule="auto"/>
        <w:tabs>
          <w:tab w:leader="none" w:pos="6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Material Terms</w:t>
      </w:r>
      <w:r>
        <w:rPr>
          <w:rFonts w:ascii="Times New Roman" w:cs="Times New Roman" w:eastAsia="Times New Roman" w:hAnsi="Times New Roman"/>
          <w:sz w:val="18"/>
          <w:szCs w:val="18"/>
          <w:color w:val="auto"/>
        </w:rPr>
        <w:t>. The information set forth in the sections of the Prospectus/Offer to Exchange entitled “</w:t>
      </w:r>
      <w:r>
        <w:rPr>
          <w:rFonts w:ascii="Times New Roman" w:cs="Times New Roman" w:eastAsia="Times New Roman" w:hAnsi="Times New Roman"/>
          <w:sz w:val="18"/>
          <w:szCs w:val="18"/>
          <w:i w:val="1"/>
          <w:iCs w:val="1"/>
          <w:color w:val="auto"/>
        </w:rPr>
        <w:t>Summary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Offer and Consent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Solicitation</w:t>
      </w:r>
      <w:r>
        <w:rPr>
          <w:rFonts w:ascii="Times New Roman" w:cs="Times New Roman" w:eastAsia="Times New Roman" w:hAnsi="Times New Roman"/>
          <w:sz w:val="18"/>
          <w:szCs w:val="18"/>
          <w:color w:val="auto"/>
        </w:rPr>
        <w:t>” is incorporated herein by reference.</w:t>
      </w:r>
    </w:p>
    <w:p>
      <w:pPr>
        <w:spacing w:after="0" w:line="100" w:lineRule="exact"/>
        <w:rPr>
          <w:rFonts w:ascii="Times New Roman" w:cs="Times New Roman" w:eastAsia="Times New Roman" w:hAnsi="Times New Roman"/>
          <w:sz w:val="18"/>
          <w:szCs w:val="18"/>
          <w:color w:val="auto"/>
        </w:rPr>
      </w:pPr>
    </w:p>
    <w:p>
      <w:pPr>
        <w:ind w:left="660" w:right="60" w:hanging="328"/>
        <w:spacing w:after="0" w:line="286"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Purchases</w:t>
      </w:r>
      <w:r>
        <w:rPr>
          <w:rFonts w:ascii="Times New Roman" w:cs="Times New Roman" w:eastAsia="Times New Roman" w:hAnsi="Times New Roman"/>
          <w:sz w:val="18"/>
          <w:szCs w:val="18"/>
          <w:color w:val="auto"/>
        </w:rPr>
        <w:t>. The information set forth in the section of the Prospectus/Offer to Exchange entitled “</w:t>
      </w:r>
      <w:r>
        <w:rPr>
          <w:rFonts w:ascii="Times New Roman" w:cs="Times New Roman" w:eastAsia="Times New Roman" w:hAnsi="Times New Roman"/>
          <w:sz w:val="18"/>
          <w:szCs w:val="18"/>
          <w:i w:val="1"/>
          <w:iCs w:val="1"/>
          <w:color w:val="auto"/>
        </w:rPr>
        <w:t>The Offer and Consent Solicitation—Interests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Directors, Executive Officers and Others</w:t>
      </w:r>
      <w:r>
        <w:rPr>
          <w:rFonts w:ascii="Times New Roman" w:cs="Times New Roman" w:eastAsia="Times New Roman" w:hAnsi="Times New Roman"/>
          <w:sz w:val="18"/>
          <w:szCs w:val="18"/>
          <w:color w:val="auto"/>
        </w:rPr>
        <w:t>” is incorporated herein by reference.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Past Contracts, Transactions, Negotiations and Agreements.</w:t>
      </w:r>
    </w:p>
    <w:p>
      <w:pPr>
        <w:spacing w:after="0" w:line="171" w:lineRule="exact"/>
        <w:rPr>
          <w:sz w:val="20"/>
          <w:szCs w:val="20"/>
          <w:color w:val="auto"/>
        </w:rPr>
      </w:pPr>
    </w:p>
    <w:p>
      <w:pPr>
        <w:ind w:left="660" w:right="180" w:hanging="328"/>
        <w:spacing w:after="0" w:line="257" w:lineRule="auto"/>
        <w:tabs>
          <w:tab w:leader="none" w:pos="6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Agreements Involving the Subject Company’s Securities</w:t>
      </w:r>
      <w:r>
        <w:rPr>
          <w:rFonts w:ascii="Times New Roman" w:cs="Times New Roman" w:eastAsia="Times New Roman" w:hAnsi="Times New Roman"/>
          <w:sz w:val="18"/>
          <w:szCs w:val="18"/>
          <w:color w:val="auto"/>
        </w:rPr>
        <w:t>. The information set forth in the sections of the Prospectus/Offer to Exchange entitled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Offer and Consent Solicitation,” “Market Information, Dividends and Related Stockholder Matters—Transactions and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Concerning Our Securities,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 is incorporated herein by reference. The information set forth in the section entitled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Certain Relationships and Related Transactions, and Director Independence</w:t>
      </w:r>
      <w:r>
        <w:rPr>
          <w:rFonts w:ascii="Times New Roman" w:cs="Times New Roman" w:eastAsia="Times New Roman" w:hAnsi="Times New Roman"/>
          <w:sz w:val="18"/>
          <w:szCs w:val="18"/>
          <w:color w:val="auto"/>
        </w:rPr>
        <w:t>” in Amendment No. 1 to the Company’s Annual Report on Form 10-K/A for the year ended December 31, 2021, filed with the Securities and Exchange Commission (the “SEC”) on July 7, 2022 is also incorporated herein by reference.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Purposes of the Transaction and Plans or Proposals.</w:t>
      </w:r>
    </w:p>
    <w:p>
      <w:pPr>
        <w:spacing w:after="0" w:line="171" w:lineRule="exact"/>
        <w:rPr>
          <w:sz w:val="20"/>
          <w:szCs w:val="20"/>
          <w:color w:val="auto"/>
        </w:rPr>
      </w:pPr>
    </w:p>
    <w:p>
      <w:pPr>
        <w:ind w:left="660" w:right="80" w:hanging="328"/>
        <w:spacing w:after="0" w:line="286" w:lineRule="auto"/>
        <w:tabs>
          <w:tab w:leader="none" w:pos="6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Purposes</w:t>
      </w:r>
      <w:r>
        <w:rPr>
          <w:rFonts w:ascii="Times New Roman" w:cs="Times New Roman" w:eastAsia="Times New Roman" w:hAnsi="Times New Roman"/>
          <w:sz w:val="18"/>
          <w:szCs w:val="18"/>
          <w:color w:val="auto"/>
        </w:rPr>
        <w:t>. The information set forth in the section of the Prospectus/Offer to Exchange entitled “</w:t>
      </w:r>
      <w:r>
        <w:rPr>
          <w:rFonts w:ascii="Times New Roman" w:cs="Times New Roman" w:eastAsia="Times New Roman" w:hAnsi="Times New Roman"/>
          <w:sz w:val="18"/>
          <w:szCs w:val="18"/>
          <w:i w:val="1"/>
          <w:iCs w:val="1"/>
          <w:color w:val="auto"/>
        </w:rPr>
        <w:t>The Offer and Consent Solicitation—Background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and Purpose of the Offer and Consent Solicitation</w:t>
      </w:r>
      <w:r>
        <w:rPr>
          <w:rFonts w:ascii="Times New Roman" w:cs="Times New Roman" w:eastAsia="Times New Roman" w:hAnsi="Times New Roman"/>
          <w:sz w:val="18"/>
          <w:szCs w:val="18"/>
          <w:color w:val="auto"/>
        </w:rPr>
        <w:t>” is incorporated herein by reference.</w:t>
      </w:r>
    </w:p>
    <w:p>
      <w:pPr>
        <w:sectPr>
          <w:pgSz w:w="11900" w:h="16838" w:orient="portrait"/>
          <w:cols w:equalWidth="0" w:num="1">
            <w:col w:w="11240"/>
          </w:cols>
          <w:pgMar w:left="320" w:top="1440" w:right="339" w:bottom="1440" w:gutter="0" w:footer="0" w:header="0"/>
        </w:sectPr>
      </w:pPr>
    </w:p>
    <w:bookmarkStart w:id="3" w:name="page4"/>
    <w:bookmarkEnd w:id="3"/>
    <w:p>
      <w:pPr>
        <w:spacing w:after="0" w:line="136" w:lineRule="exact"/>
        <w:rPr>
          <w:sz w:val="20"/>
          <w:szCs w:val="20"/>
          <w:color w:val="auto"/>
        </w:rPr>
      </w:pPr>
    </w:p>
    <w:p>
      <w:pPr>
        <w:ind w:left="660" w:right="680" w:hanging="328"/>
        <w:spacing w:after="0" w:line="286" w:lineRule="auto"/>
        <w:tabs>
          <w:tab w:leader="none" w:pos="6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Use of Securities Acquired</w:t>
      </w:r>
      <w:r>
        <w:rPr>
          <w:rFonts w:ascii="Times New Roman" w:cs="Times New Roman" w:eastAsia="Times New Roman" w:hAnsi="Times New Roman"/>
          <w:sz w:val="18"/>
          <w:szCs w:val="18"/>
          <w:color w:val="auto"/>
        </w:rPr>
        <w:t>. The information set forth in the section of the Prospectus/Offer to Exchange entitled “</w:t>
      </w:r>
      <w:r>
        <w:rPr>
          <w:rFonts w:ascii="Times New Roman" w:cs="Times New Roman" w:eastAsia="Times New Roman" w:hAnsi="Times New Roman"/>
          <w:sz w:val="18"/>
          <w:szCs w:val="18"/>
          <w:i w:val="1"/>
          <w:iCs w:val="1"/>
          <w:color w:val="auto"/>
        </w:rPr>
        <w:t>The Offer and Consent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Solicitation—Background and Purpose of the Offer and Consent Solicitation</w:t>
      </w:r>
      <w:r>
        <w:rPr>
          <w:rFonts w:ascii="Times New Roman" w:cs="Times New Roman" w:eastAsia="Times New Roman" w:hAnsi="Times New Roman"/>
          <w:sz w:val="18"/>
          <w:szCs w:val="18"/>
          <w:color w:val="auto"/>
        </w:rPr>
        <w:t>” is incorporated herein by reference.</w:t>
      </w:r>
    </w:p>
    <w:p>
      <w:pPr>
        <w:spacing w:after="0" w:line="100" w:lineRule="exact"/>
        <w:rPr>
          <w:rFonts w:ascii="Times New Roman" w:cs="Times New Roman" w:eastAsia="Times New Roman" w:hAnsi="Times New Roman"/>
          <w:sz w:val="18"/>
          <w:szCs w:val="18"/>
          <w:color w:val="auto"/>
        </w:rPr>
      </w:pPr>
    </w:p>
    <w:p>
      <w:pPr>
        <w:ind w:left="660" w:right="120" w:hanging="328"/>
        <w:spacing w:after="0" w:line="259" w:lineRule="auto"/>
        <w:tabs>
          <w:tab w:leader="none" w:pos="65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Plans</w:t>
      </w:r>
      <w:r>
        <w:rPr>
          <w:rFonts w:ascii="Times New Roman" w:cs="Times New Roman" w:eastAsia="Times New Roman" w:hAnsi="Times New Roman"/>
          <w:sz w:val="18"/>
          <w:szCs w:val="18"/>
          <w:color w:val="auto"/>
        </w:rPr>
        <w:t>. From time to time, as part of the Company’s long-term corporate goal of enhancing stockholder value, it may explore potential strategic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transactions. The Company currently has no definitive plan or proposal to conduct any strategic transaction. The Company may decide to engage in one or more such transactions in the future, if, among other things, its Board of Directors determines that any such transactions are in the best interest of the Company. There is no assurance that a strategic transaction or transactions will occur or that liquidity or enhanced value will be realized by the Company or its stockholders from any such transaction.</w:t>
      </w:r>
    </w:p>
    <w:p>
      <w:pPr>
        <w:spacing w:after="0" w:line="1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Except as described above and in the sections of the Prospectus/Offer to Exchange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Offer and Consent Solicitation</w:t>
      </w:r>
      <w:r>
        <w:rPr>
          <w:rFonts w:ascii="Times New Roman" w:cs="Times New Roman" w:eastAsia="Times New Roman" w:hAnsi="Times New Roman"/>
          <w:sz w:val="18"/>
          <w:szCs w:val="18"/>
          <w:color w:val="auto"/>
        </w:rPr>
        <w:t>,” which are incorporated by reference herein, neither the Company, nor any of its directors, executive officers, or controlling persons, or any executive officers, directors, managers or partners of its controlling persons, has any plans, proposals or negotiations that relate to or would result in: (1) any extraordinary transaction, such as a merger, reorganization or liquidation, involving the Company or any of its subsidiaries; (2) any purchase, sale or transfer of a material amount of assets of the Company or any of its subsidiaries; (3) any material change in the present dividend rate or policy, indebtedness or capitalization of the Company; (4) any change in the present board of directors or management of the Company, including, but not limited to, any plans or proposals to change the number or the term of directors or to fill any existing vacancies on the board or to change any material term of the employment contract of any executive officer; (5) any other material change in the Company’s corporate structure or business; (6) any class of equity securities of the Company to be delisted from The Nasdaq Global Select Market; (7) any class of equity securities of the Company becoming eligible for termination of registration under section 12(g)(4) of the Securities Exchange Act of 1934, as amended (the “Exchange Act”); (8) the suspension of the Company’s obligation to file reports under Section 15(d) of the Exchange Act; (9) the acquisition by any person of additional securities of the Company, or the disposition of securities of the Company; or (10) any changes in the Company’s charter, bylaws or other governing instruments or other actions that could impede the acquisition of control of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Source and Amount of Funds or Other Consideration.</w:t>
      </w:r>
    </w:p>
    <w:p>
      <w:pPr>
        <w:spacing w:after="0" w:line="171" w:lineRule="exact"/>
        <w:rPr>
          <w:sz w:val="20"/>
          <w:szCs w:val="20"/>
          <w:color w:val="auto"/>
        </w:rPr>
      </w:pPr>
    </w:p>
    <w:p>
      <w:pPr>
        <w:ind w:left="660" w:right="500" w:hanging="328"/>
        <w:spacing w:after="0" w:line="286" w:lineRule="auto"/>
        <w:tabs>
          <w:tab w:leader="none" w:pos="6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Source of Funds</w:t>
      </w:r>
      <w:r>
        <w:rPr>
          <w:rFonts w:ascii="Times New Roman" w:cs="Times New Roman" w:eastAsia="Times New Roman" w:hAnsi="Times New Roman"/>
          <w:sz w:val="18"/>
          <w:szCs w:val="18"/>
          <w:color w:val="auto"/>
        </w:rPr>
        <w:t>. The information set forth in the section of the Prospectus/Offer to Exchange entitled “</w:t>
      </w:r>
      <w:r>
        <w:rPr>
          <w:rFonts w:ascii="Times New Roman" w:cs="Times New Roman" w:eastAsia="Times New Roman" w:hAnsi="Times New Roman"/>
          <w:sz w:val="18"/>
          <w:szCs w:val="18"/>
          <w:i w:val="1"/>
          <w:iCs w:val="1"/>
          <w:color w:val="auto"/>
        </w:rPr>
        <w:t>Market Information, Dividends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Related Stockholder Matters—Source and Amount of Funds</w:t>
      </w:r>
      <w:r>
        <w:rPr>
          <w:rFonts w:ascii="Times New Roman" w:cs="Times New Roman" w:eastAsia="Times New Roman" w:hAnsi="Times New Roman"/>
          <w:sz w:val="18"/>
          <w:szCs w:val="18"/>
          <w:color w:val="auto"/>
        </w:rPr>
        <w:t>” is incorporated herein by reference.</w:t>
      </w:r>
    </w:p>
    <w:p>
      <w:pPr>
        <w:spacing w:after="0" w:line="10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Conditions</w:t>
      </w:r>
      <w:r>
        <w:rPr>
          <w:rFonts w:ascii="Times New Roman" w:cs="Times New Roman" w:eastAsia="Times New Roman" w:hAnsi="Times New Roman"/>
          <w:sz w:val="18"/>
          <w:szCs w:val="18"/>
          <w:color w:val="auto"/>
        </w:rPr>
        <w:t>. Not applicable.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Borrowed Funds</w:t>
      </w:r>
      <w:r>
        <w:rPr>
          <w:rFonts w:ascii="Times New Roman" w:cs="Times New Roman" w:eastAsia="Times New Roman" w:hAnsi="Times New Roman"/>
          <w:sz w:val="18"/>
          <w:szCs w:val="18"/>
          <w:color w:val="auto"/>
        </w:rPr>
        <w:t>. Not applicable.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Interest in Securities of the Subject Company.</w:t>
      </w:r>
    </w:p>
    <w:p>
      <w:pPr>
        <w:spacing w:after="0" w:line="171" w:lineRule="exact"/>
        <w:rPr>
          <w:sz w:val="20"/>
          <w:szCs w:val="20"/>
          <w:color w:val="auto"/>
        </w:rPr>
      </w:pPr>
    </w:p>
    <w:p>
      <w:pPr>
        <w:ind w:left="660" w:right="20" w:hanging="328"/>
        <w:spacing w:after="0" w:line="286" w:lineRule="auto"/>
        <w:tabs>
          <w:tab w:leader="none" w:pos="65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Securities Ownership</w:t>
      </w:r>
      <w:r>
        <w:rPr>
          <w:rFonts w:ascii="Times New Roman" w:cs="Times New Roman" w:eastAsia="Times New Roman" w:hAnsi="Times New Roman"/>
          <w:sz w:val="18"/>
          <w:szCs w:val="18"/>
          <w:color w:val="auto"/>
        </w:rPr>
        <w:t>. The information set forth in the section of the Prospectus/Offer to Exchange entitled “</w:t>
      </w:r>
      <w:r>
        <w:rPr>
          <w:rFonts w:ascii="Times New Roman" w:cs="Times New Roman" w:eastAsia="Times New Roman" w:hAnsi="Times New Roman"/>
          <w:sz w:val="18"/>
          <w:szCs w:val="18"/>
          <w:i w:val="1"/>
          <w:iCs w:val="1"/>
          <w:color w:val="auto"/>
        </w:rPr>
        <w:t>The Offer and Consent Solicitation—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Interests of Directors, Executive Officers and Others</w:t>
      </w:r>
      <w:r>
        <w:rPr>
          <w:rFonts w:ascii="Times New Roman" w:cs="Times New Roman" w:eastAsia="Times New Roman" w:hAnsi="Times New Roman"/>
          <w:sz w:val="18"/>
          <w:szCs w:val="18"/>
          <w:color w:val="auto"/>
        </w:rPr>
        <w:t>” is incorporated herein by reference.</w:t>
      </w:r>
    </w:p>
    <w:p>
      <w:pPr>
        <w:spacing w:after="0" w:line="100" w:lineRule="exact"/>
        <w:rPr>
          <w:rFonts w:ascii="Times New Roman" w:cs="Times New Roman" w:eastAsia="Times New Roman" w:hAnsi="Times New Roman"/>
          <w:sz w:val="18"/>
          <w:szCs w:val="18"/>
          <w:color w:val="auto"/>
        </w:rPr>
      </w:pPr>
    </w:p>
    <w:p>
      <w:pPr>
        <w:ind w:left="660" w:right="60" w:hanging="328"/>
        <w:spacing w:after="0" w:line="262" w:lineRule="auto"/>
        <w:tabs>
          <w:tab w:leader="none" w:pos="6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Securities Transactions</w:t>
      </w:r>
      <w:r>
        <w:rPr>
          <w:rFonts w:ascii="Times New Roman" w:cs="Times New Roman" w:eastAsia="Times New Roman" w:hAnsi="Times New Roman"/>
          <w:sz w:val="18"/>
          <w:szCs w:val="18"/>
          <w:color w:val="auto"/>
        </w:rPr>
        <w:t>. Except as set forth in the section of the Prospectus/Offer to Exchange entitled “</w:t>
      </w:r>
      <w:r>
        <w:rPr>
          <w:rFonts w:ascii="Times New Roman" w:cs="Times New Roman" w:eastAsia="Times New Roman" w:hAnsi="Times New Roman"/>
          <w:sz w:val="18"/>
          <w:szCs w:val="18"/>
          <w:i w:val="1"/>
          <w:iCs w:val="1"/>
          <w:color w:val="auto"/>
        </w:rPr>
        <w:t>Market Information, Dividends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Related Stockholder Matters—Transactions and Agreements Concerning Our Securities</w:t>
      </w:r>
      <w:r>
        <w:rPr>
          <w:rFonts w:ascii="Times New Roman" w:cs="Times New Roman" w:eastAsia="Times New Roman" w:hAnsi="Times New Roman"/>
          <w:sz w:val="18"/>
          <w:szCs w:val="18"/>
          <w:color w:val="auto"/>
        </w:rPr>
        <w:t>,” which is incorporated by reference herein, neither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nor any of its directors, executive officers or controlling persons, or any executive officers, directors, managers or partners of any of its controlling persons, has engaged in any transactions in the Warrants in the last 60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440" w:right="359" w:bottom="1440" w:gutter="0" w:footer="0" w:header="0"/>
        </w:sectPr>
      </w:pPr>
    </w:p>
    <w:bookmarkStart w:id="4" w:name="page5"/>
    <w:bookmarkEnd w:id="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Persons/Assets, Retained, Employed, Compensated or Used.</w:t>
      </w:r>
    </w:p>
    <w:p>
      <w:pPr>
        <w:spacing w:after="0" w:line="171" w:lineRule="exact"/>
        <w:rPr>
          <w:sz w:val="20"/>
          <w:szCs w:val="20"/>
          <w:color w:val="auto"/>
        </w:rPr>
      </w:pPr>
    </w:p>
    <w:p>
      <w:pPr>
        <w:ind w:left="660" w:right="120" w:hanging="328"/>
        <w:spacing w:after="0" w:line="262" w:lineRule="auto"/>
        <w:tabs>
          <w:tab w:leader="none" w:pos="65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Solicitations or Recommendations</w:t>
      </w:r>
      <w:r>
        <w:rPr>
          <w:rFonts w:ascii="Times New Roman" w:cs="Times New Roman" w:eastAsia="Times New Roman" w:hAnsi="Times New Roman"/>
          <w:sz w:val="18"/>
          <w:szCs w:val="18"/>
          <w:color w:val="auto"/>
        </w:rPr>
        <w:t>. The information set forth in the section of the Prospectus/Offer to Exchange entitled “</w:t>
      </w:r>
      <w:r>
        <w:rPr>
          <w:rFonts w:ascii="Times New Roman" w:cs="Times New Roman" w:eastAsia="Times New Roman" w:hAnsi="Times New Roman"/>
          <w:sz w:val="18"/>
          <w:szCs w:val="18"/>
          <w:i w:val="1"/>
          <w:iCs w:val="1"/>
          <w:color w:val="auto"/>
        </w:rPr>
        <w:t>Market Information,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Dividends and Related Stockholder Matters—Fees and Expenses</w:t>
      </w:r>
      <w:r>
        <w:rPr>
          <w:rFonts w:ascii="Times New Roman" w:cs="Times New Roman" w:eastAsia="Times New Roman" w:hAnsi="Times New Roman"/>
          <w:sz w:val="18"/>
          <w:szCs w:val="18"/>
          <w:color w:val="auto"/>
        </w:rPr>
        <w:t>” is incorporated herein by reference. None of the Company, its management,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the dealer manager, the information agent or the exchange agent for the Offer is making any recommendation as to whether holders of Warrants should tender Warrants for exchange in the Offer.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Financial Statements.</w:t>
      </w:r>
    </w:p>
    <w:p>
      <w:pPr>
        <w:spacing w:after="0" w:line="171" w:lineRule="exact"/>
        <w:rPr>
          <w:sz w:val="20"/>
          <w:szCs w:val="20"/>
          <w:color w:val="auto"/>
        </w:rPr>
      </w:pPr>
    </w:p>
    <w:p>
      <w:pPr>
        <w:ind w:left="660" w:right="20" w:hanging="328"/>
        <w:spacing w:after="0" w:line="257" w:lineRule="auto"/>
        <w:tabs>
          <w:tab w:leader="none" w:pos="65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Financial Information</w:t>
      </w:r>
      <w:r>
        <w:rPr>
          <w:rFonts w:ascii="Times New Roman" w:cs="Times New Roman" w:eastAsia="Times New Roman" w:hAnsi="Times New Roman"/>
          <w:sz w:val="18"/>
          <w:szCs w:val="18"/>
          <w:color w:val="auto"/>
        </w:rPr>
        <w:t>. The financial information included as Item 8 in Amendment No. 1 to the Company’s Annual Report on Form 10-K/A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year ended December 31, 2021, filed with the SEC on July 7, 2022, as well as the financial statements and other financial information included as Part I—Item 1 in the Company’s Quarterly Report on Form 10-Q for the quarterly period ended March 31, 2022, filed with the SEC on May 5, 2022 is incorporated by reference herein. The full text of such financial statements and other financial information, as well as the other documents the Company has filed with the SEC prior to, or will file with the SEC subsequent to, the filing of this Schedule TO relating to the Offer are available for inspection and copying from the SEC’s website at www.sec.gov.</w:t>
      </w:r>
    </w:p>
    <w:p>
      <w:pPr>
        <w:spacing w:after="0" w:line="128" w:lineRule="exact"/>
        <w:rPr>
          <w:rFonts w:ascii="Times New Roman" w:cs="Times New Roman" w:eastAsia="Times New Roman" w:hAnsi="Times New Roman"/>
          <w:sz w:val="18"/>
          <w:szCs w:val="18"/>
          <w:color w:val="auto"/>
        </w:rPr>
      </w:pPr>
    </w:p>
    <w:p>
      <w:pPr>
        <w:ind w:left="660" w:right="260" w:hanging="328"/>
        <w:spacing w:after="0" w:line="317" w:lineRule="auto"/>
        <w:tabs>
          <w:tab w:leader="none" w:pos="65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Pro Forma Information</w:t>
      </w:r>
      <w:r>
        <w:rPr>
          <w:rFonts w:ascii="Times New Roman" w:cs="Times New Roman" w:eastAsia="Times New Roman" w:hAnsi="Times New Roman"/>
          <w:sz w:val="17"/>
          <w:szCs w:val="17"/>
          <w:color w:val="auto"/>
        </w:rPr>
        <w:t>. The pro forma financial information set forth in the sections of the Prospectus/Offer to Exchange entitled “</w:t>
      </w:r>
      <w:r>
        <w:rPr>
          <w:rFonts w:ascii="Times New Roman" w:cs="Times New Roman" w:eastAsia="Times New Roman" w:hAnsi="Times New Roman"/>
          <w:sz w:val="17"/>
          <w:szCs w:val="17"/>
          <w:i w:val="1"/>
          <w:iCs w:val="1"/>
          <w:color w:val="auto"/>
        </w:rPr>
        <w:t>Unaudited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Pro Forma Condensed Combined Financial Information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Comparative Per Share Information</w:t>
      </w:r>
      <w:r>
        <w:rPr>
          <w:rFonts w:ascii="Times New Roman" w:cs="Times New Roman" w:eastAsia="Times New Roman" w:hAnsi="Times New Roman"/>
          <w:sz w:val="17"/>
          <w:szCs w:val="17"/>
          <w:color w:val="auto"/>
        </w:rPr>
        <w:t>” is incorporated herein by reference.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Additional Information.</w:t>
      </w:r>
    </w:p>
    <w:p>
      <w:pPr>
        <w:spacing w:after="0" w:line="171"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Agreements, Regulatory Requirements and Legal Proceedings.</w:t>
      </w:r>
    </w:p>
    <w:p>
      <w:pPr>
        <w:spacing w:after="0" w:line="173" w:lineRule="exact"/>
        <w:rPr>
          <w:rFonts w:ascii="Times New Roman" w:cs="Times New Roman" w:eastAsia="Times New Roman" w:hAnsi="Times New Roman"/>
          <w:sz w:val="18"/>
          <w:szCs w:val="18"/>
          <w:color w:val="auto"/>
        </w:rPr>
      </w:pPr>
    </w:p>
    <w:p>
      <w:pPr>
        <w:ind w:left="980" w:right="80" w:hanging="324"/>
        <w:spacing w:after="0" w:line="261" w:lineRule="auto"/>
        <w:tabs>
          <w:tab w:leader="none" w:pos="9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section of the Prospectus/Offer to Exchange entitled “</w:t>
      </w:r>
      <w:r>
        <w:rPr>
          <w:rFonts w:ascii="Times New Roman" w:cs="Times New Roman" w:eastAsia="Times New Roman" w:hAnsi="Times New Roman"/>
          <w:sz w:val="18"/>
          <w:szCs w:val="18"/>
          <w:i w:val="1"/>
          <w:iCs w:val="1"/>
          <w:color w:val="auto"/>
        </w:rPr>
        <w:t>The Offer and Consent Solicitation—Agreements,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Requirements and Legal Proceedings</w:t>
      </w:r>
      <w:r>
        <w:rPr>
          <w:rFonts w:ascii="Times New Roman" w:cs="Times New Roman" w:eastAsia="Times New Roman" w:hAnsi="Times New Roman"/>
          <w:sz w:val="18"/>
          <w:szCs w:val="18"/>
          <w:color w:val="auto"/>
        </w:rPr>
        <w:t>” and in the section of Amendment No. 1 to the Company’s Annual Report on Form 10-K/A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 ended December 31, 2021, filed with the SEC on July 7, 2022, entitled “</w:t>
      </w:r>
      <w:r>
        <w:rPr>
          <w:rFonts w:ascii="Times New Roman" w:cs="Times New Roman" w:eastAsia="Times New Roman" w:hAnsi="Times New Roman"/>
          <w:sz w:val="18"/>
          <w:szCs w:val="18"/>
          <w:i w:val="1"/>
          <w:iCs w:val="1"/>
          <w:color w:val="auto"/>
        </w:rPr>
        <w:t>Certain Relationships and Related Transactions;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 Independence</w:t>
      </w:r>
      <w:r>
        <w:rPr>
          <w:rFonts w:ascii="Times New Roman" w:cs="Times New Roman" w:eastAsia="Times New Roman" w:hAnsi="Times New Roman"/>
          <w:sz w:val="18"/>
          <w:szCs w:val="18"/>
          <w:color w:val="auto"/>
        </w:rPr>
        <w:t>” is incorporated herein by reference.</w:t>
      </w:r>
    </w:p>
    <w:p>
      <w:pPr>
        <w:spacing w:after="0" w:line="125" w:lineRule="exact"/>
        <w:rPr>
          <w:rFonts w:ascii="Times New Roman" w:cs="Times New Roman" w:eastAsia="Times New Roman" w:hAnsi="Times New Roman"/>
          <w:sz w:val="18"/>
          <w:szCs w:val="18"/>
          <w:color w:val="auto"/>
        </w:rPr>
      </w:pPr>
    </w:p>
    <w:p>
      <w:pPr>
        <w:ind w:left="980" w:right="520" w:hanging="324"/>
        <w:spacing w:after="0" w:line="284" w:lineRule="auto"/>
        <w:tabs>
          <w:tab w:leader="none" w:pos="9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section of the Prospectus/Offer to Exchange entitled “</w:t>
      </w:r>
      <w:r>
        <w:rPr>
          <w:rFonts w:ascii="Times New Roman" w:cs="Times New Roman" w:eastAsia="Times New Roman" w:hAnsi="Times New Roman"/>
          <w:sz w:val="18"/>
          <w:szCs w:val="18"/>
          <w:i w:val="1"/>
          <w:iCs w:val="1"/>
          <w:color w:val="auto"/>
        </w:rPr>
        <w:t>The Offer and Consent Solicitation—Agreements,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Requirements and Legal Proceedings</w:t>
      </w:r>
      <w:r>
        <w:rPr>
          <w:rFonts w:ascii="Times New Roman" w:cs="Times New Roman" w:eastAsia="Times New Roman" w:hAnsi="Times New Roman"/>
          <w:sz w:val="18"/>
          <w:szCs w:val="18"/>
          <w:color w:val="auto"/>
        </w:rPr>
        <w:t>” is incorporated herein by reference.</w:t>
      </w:r>
    </w:p>
    <w:p>
      <w:pPr>
        <w:spacing w:after="0" w:line="10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Exhibits.</w:t>
      </w:r>
    </w:p>
    <w:p>
      <w:pPr>
        <w:spacing w:after="0" w:line="17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Exhibits.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9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r>
      <w:tr>
        <w:trPr>
          <w:trHeight w:val="183"/>
        </w:trPr>
        <w:tc>
          <w:tcPr>
            <w:tcW w:w="18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(a)(l)(A)</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00" w:type="dxa"/>
            <w:vAlign w:val="bottom"/>
            <w:gridSpan w:val="3"/>
          </w:tcPr>
          <w:p>
            <w:pPr>
              <w:spacing w:after="0" w:line="182" w:lineRule="exact"/>
              <w:rPr>
                <w:rFonts w:ascii="Times New Roman" w:cs="Times New Roman" w:eastAsia="Times New Roman" w:hAnsi="Times New Roman"/>
                <w:sz w:val="18"/>
                <w:szCs w:val="18"/>
                <w:color w:val="0000FF"/>
                <w:w w:val="99"/>
              </w:rPr>
            </w:pPr>
            <w:hyperlink r:id="rId14">
              <w:r>
                <w:rPr>
                  <w:rFonts w:ascii="Times New Roman" w:cs="Times New Roman" w:eastAsia="Times New Roman" w:hAnsi="Times New Roman"/>
                  <w:sz w:val="18"/>
                  <w:szCs w:val="18"/>
                  <w:color w:val="0000FF"/>
                  <w:w w:val="99"/>
                </w:rPr>
                <w:t xml:space="preserve">Prospectus/Offer to Exchange </w:t>
              </w:r>
            </w:hyperlink>
            <w:r>
              <w:rPr>
                <w:rFonts w:ascii="Times New Roman" w:cs="Times New Roman" w:eastAsia="Times New Roman" w:hAnsi="Times New Roman"/>
                <w:sz w:val="18"/>
                <w:szCs w:val="18"/>
                <w:color w:val="000000"/>
                <w:w w:val="99"/>
              </w:rPr>
              <w:t>(incorporated</w:t>
            </w:r>
            <w:r>
              <w:rPr>
                <w:rFonts w:ascii="Times New Roman" w:cs="Times New Roman" w:eastAsia="Times New Roman" w:hAnsi="Times New Roman"/>
                <w:sz w:val="18"/>
                <w:szCs w:val="18"/>
                <w:color w:val="0000FF"/>
                <w:w w:val="99"/>
              </w:rPr>
              <w:t xml:space="preserve"> </w:t>
            </w:r>
            <w:r>
              <w:rPr>
                <w:rFonts w:ascii="Times New Roman" w:cs="Times New Roman" w:eastAsia="Times New Roman" w:hAnsi="Times New Roman"/>
                <w:sz w:val="18"/>
                <w:szCs w:val="18"/>
                <w:color w:val="000000"/>
                <w:w w:val="99"/>
              </w:rPr>
              <w:t>by reference to the Prospectus/Offer to Exchange that is included in the Registration</w:t>
            </w:r>
          </w:p>
        </w:tc>
      </w:tr>
      <w:tr>
        <w:trPr>
          <w:trHeight w:val="20"/>
        </w:trPr>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205"/>
        </w:trPr>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0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Statement on Form S-4 filed by the Company with the SEC on July 22, 2022).</w:t>
            </w:r>
          </w:p>
        </w:tc>
      </w:tr>
      <w:tr>
        <w:trPr>
          <w:trHeight w:val="194"/>
        </w:trPr>
        <w:tc>
          <w:tcPr>
            <w:tcW w:w="19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(a)(1)(B)</w:t>
            </w:r>
          </w:p>
        </w:tc>
        <w:tc>
          <w:tcPr>
            <w:tcW w:w="20" w:type="dxa"/>
            <w:vAlign w:val="bottom"/>
          </w:tcPr>
          <w:p>
            <w:pPr>
              <w:spacing w:after="0"/>
              <w:rPr>
                <w:sz w:val="16"/>
                <w:szCs w:val="16"/>
                <w:color w:val="auto"/>
              </w:rPr>
            </w:pPr>
          </w:p>
        </w:tc>
        <w:tc>
          <w:tcPr>
            <w:tcW w:w="9300" w:type="dxa"/>
            <w:vAlign w:val="bottom"/>
            <w:gridSpan w:val="3"/>
          </w:tcPr>
          <w:p>
            <w:pPr>
              <w:spacing w:after="0" w:line="194" w:lineRule="exact"/>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 xml:space="preserve">Form of Letter of Transmittal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99.1 to the Registration Statement on Form S-4 filed by the</w:t>
            </w:r>
          </w:p>
        </w:tc>
      </w:tr>
      <w:tr>
        <w:trPr>
          <w:trHeight w:val="20"/>
        </w:trPr>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205"/>
        </w:trPr>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0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Company with the SEC on July 22, 2022).</w:t>
            </w:r>
          </w:p>
        </w:tc>
      </w:tr>
      <w:tr>
        <w:trPr>
          <w:trHeight w:val="194"/>
        </w:trPr>
        <w:tc>
          <w:tcPr>
            <w:tcW w:w="19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(a)(1)(C)</w:t>
            </w:r>
          </w:p>
        </w:tc>
        <w:tc>
          <w:tcPr>
            <w:tcW w:w="20" w:type="dxa"/>
            <w:vAlign w:val="bottom"/>
          </w:tcPr>
          <w:p>
            <w:pPr>
              <w:spacing w:after="0"/>
              <w:rPr>
                <w:sz w:val="16"/>
                <w:szCs w:val="16"/>
                <w:color w:val="auto"/>
              </w:rPr>
            </w:pPr>
          </w:p>
        </w:tc>
        <w:tc>
          <w:tcPr>
            <w:tcW w:w="9300" w:type="dxa"/>
            <w:vAlign w:val="bottom"/>
            <w:gridSpan w:val="3"/>
          </w:tcPr>
          <w:p>
            <w:pPr>
              <w:spacing w:after="0" w:line="194" w:lineRule="exact"/>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 xml:space="preserve">Form of Notice of Guaranteed Delivery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99.2 to the Registration Statement on Form S-4</w:t>
            </w:r>
          </w:p>
        </w:tc>
      </w:tr>
      <w:tr>
        <w:trPr>
          <w:trHeight w:val="228"/>
        </w:trPr>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filed by the Company with the SEC on</w:t>
            </w: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July 22,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9300" w:type="dxa"/>
            <w:vAlign w:val="bottom"/>
            <w:gridSpan w:val="3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2"/>
        </w:trPr>
        <w:tc>
          <w:tcPr>
            <w:tcW w:w="18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(a)(1)(D)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00" w:type="dxa"/>
            <w:vAlign w:val="bottom"/>
            <w:gridSpan w:val="34"/>
          </w:tcPr>
          <w:p>
            <w:pPr>
              <w:spacing w:after="0" w:line="182" w:lineRule="exact"/>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 xml:space="preserve">Form of Letter to Brokers, Dealers, Commercial Banks, Trust Companies and Other Nominees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w:t>
            </w:r>
          </w:p>
        </w:tc>
      </w:tr>
      <w:tr>
        <w:trPr>
          <w:trHeight w:val="205"/>
        </w:trPr>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20" w:type="dxa"/>
            <w:vAlign w:val="bottom"/>
            <w:tcBorders>
              <w:top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auto"/>
                <w:w w:val="99"/>
              </w:rPr>
              <w:t>Exhibit 99.3 to the Registration Statement on Form S-4 filed by the Company with the SEC on</w:t>
            </w:r>
          </w:p>
        </w:tc>
        <w:tc>
          <w:tcPr>
            <w:tcW w:w="2480" w:type="dxa"/>
            <w:vAlign w:val="bottom"/>
            <w:gridSpan w:val="23"/>
          </w:tcPr>
          <w:p>
            <w:pPr>
              <w:ind w:left="40"/>
              <w:spacing w:after="0" w:line="205" w:lineRule="exact"/>
              <w:rPr>
                <w:sz w:val="20"/>
                <w:szCs w:val="20"/>
                <w:color w:val="auto"/>
              </w:rPr>
            </w:pPr>
            <w:r>
              <w:rPr>
                <w:rFonts w:ascii="Times New Roman" w:cs="Times New Roman" w:eastAsia="Times New Roman" w:hAnsi="Times New Roman"/>
                <w:sz w:val="18"/>
                <w:szCs w:val="18"/>
                <w:color w:val="auto"/>
              </w:rPr>
              <w:t>July 22, 2022).</w:t>
            </w:r>
          </w:p>
        </w:tc>
      </w:tr>
      <w:tr>
        <w:trPr>
          <w:trHeight w:val="194"/>
        </w:trPr>
        <w:tc>
          <w:tcPr>
            <w:tcW w:w="19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(a)(1)(E)</w:t>
            </w:r>
          </w:p>
        </w:tc>
        <w:tc>
          <w:tcPr>
            <w:tcW w:w="20" w:type="dxa"/>
            <w:vAlign w:val="bottom"/>
          </w:tcPr>
          <w:p>
            <w:pPr>
              <w:spacing w:after="0"/>
              <w:rPr>
                <w:sz w:val="16"/>
                <w:szCs w:val="16"/>
                <w:color w:val="auto"/>
              </w:rPr>
            </w:pPr>
          </w:p>
        </w:tc>
        <w:tc>
          <w:tcPr>
            <w:tcW w:w="9300" w:type="dxa"/>
            <w:vAlign w:val="bottom"/>
            <w:gridSpan w:val="34"/>
          </w:tcPr>
          <w:p>
            <w:pPr>
              <w:spacing w:after="0" w:line="194" w:lineRule="exact"/>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 xml:space="preserve">Form of Letter to Clients of Brokers, Dealers, Commercial Banks, Trust Companies and Other Nominees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w:t>
            </w:r>
          </w:p>
        </w:tc>
      </w:tr>
      <w:tr>
        <w:trPr>
          <w:trHeight w:val="205"/>
        </w:trPr>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80" w:type="dxa"/>
            <w:vAlign w:val="bottom"/>
            <w:tcBorders>
              <w:top w:val="single" w:sz="8" w:color="0000FF"/>
            </w:tcBorders>
            <w:gridSpan w:val="12"/>
          </w:tcPr>
          <w:p>
            <w:pPr>
              <w:spacing w:after="0" w:line="205" w:lineRule="exact"/>
              <w:rPr>
                <w:sz w:val="20"/>
                <w:szCs w:val="20"/>
                <w:color w:val="auto"/>
              </w:rPr>
            </w:pPr>
            <w:r>
              <w:rPr>
                <w:rFonts w:ascii="Times New Roman" w:cs="Times New Roman" w:eastAsia="Times New Roman" w:hAnsi="Times New Roman"/>
                <w:sz w:val="18"/>
                <w:szCs w:val="18"/>
                <w:color w:val="auto"/>
              </w:rPr>
              <w:t>reference to Exhibit 99.4 to the Registration Statement on Form S-4 filed by the Company with the SEC</w:t>
            </w:r>
          </w:p>
        </w:tc>
        <w:tc>
          <w:tcPr>
            <w:tcW w:w="172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auto"/>
              </w:rPr>
              <w:t>on July 22, 2022).</w:t>
            </w:r>
          </w:p>
        </w:tc>
      </w:tr>
      <w:tr>
        <w:trPr>
          <w:trHeight w:val="229"/>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(a)(2)</w:t>
            </w:r>
          </w:p>
        </w:tc>
        <w:tc>
          <w:tcPr>
            <w:tcW w:w="20" w:type="dxa"/>
            <w:vAlign w:val="bottom"/>
          </w:tcPr>
          <w:p>
            <w:pPr>
              <w:spacing w:after="0"/>
              <w:rPr>
                <w:sz w:val="19"/>
                <w:szCs w:val="19"/>
                <w:color w:val="auto"/>
              </w:rPr>
            </w:pPr>
          </w:p>
        </w:tc>
        <w:tc>
          <w:tcPr>
            <w:tcW w:w="930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30"/>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(a)(3)</w:t>
            </w:r>
          </w:p>
        </w:tc>
        <w:tc>
          <w:tcPr>
            <w:tcW w:w="20" w:type="dxa"/>
            <w:vAlign w:val="bottom"/>
          </w:tcPr>
          <w:p>
            <w:pPr>
              <w:spacing w:after="0"/>
              <w:rPr>
                <w:sz w:val="19"/>
                <w:szCs w:val="19"/>
                <w:color w:val="auto"/>
              </w:rPr>
            </w:pPr>
          </w:p>
        </w:tc>
        <w:tc>
          <w:tcPr>
            <w:tcW w:w="930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194"/>
        </w:trPr>
        <w:tc>
          <w:tcPr>
            <w:tcW w:w="19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(a)(4)</w:t>
            </w:r>
          </w:p>
        </w:tc>
        <w:tc>
          <w:tcPr>
            <w:tcW w:w="20" w:type="dxa"/>
            <w:vAlign w:val="bottom"/>
          </w:tcPr>
          <w:p>
            <w:pPr>
              <w:spacing w:after="0"/>
              <w:rPr>
                <w:sz w:val="16"/>
                <w:szCs w:val="16"/>
                <w:color w:val="auto"/>
              </w:rPr>
            </w:pPr>
          </w:p>
        </w:tc>
        <w:tc>
          <w:tcPr>
            <w:tcW w:w="9300" w:type="dxa"/>
            <w:vAlign w:val="bottom"/>
            <w:gridSpan w:val="34"/>
          </w:tcPr>
          <w:p>
            <w:pPr>
              <w:spacing w:after="0" w:line="194" w:lineRule="exact"/>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 xml:space="preserve">Prospectus/Offer to Exchange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(a)(1)(A)).</w:t>
            </w:r>
          </w:p>
        </w:tc>
      </w:tr>
      <w:tr>
        <w:trPr>
          <w:trHeight w:val="20"/>
        </w:trPr>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(a)(5)</w:t>
            </w:r>
          </w:p>
        </w:tc>
        <w:tc>
          <w:tcPr>
            <w:tcW w:w="20" w:type="dxa"/>
            <w:vAlign w:val="bottom"/>
          </w:tcPr>
          <w:p>
            <w:pPr>
              <w:spacing w:after="0"/>
              <w:rPr>
                <w:sz w:val="18"/>
                <w:szCs w:val="18"/>
                <w:color w:val="auto"/>
              </w:rPr>
            </w:pPr>
          </w:p>
        </w:tc>
        <w:tc>
          <w:tcPr>
            <w:tcW w:w="9300" w:type="dxa"/>
            <w:vAlign w:val="bottom"/>
            <w:gridSpan w:val="34"/>
          </w:tcPr>
          <w:p>
            <w:pPr>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 xml:space="preserve">Press Release, dated July 22, 2022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99.1 to the Current Report on Form 8-K filed by the</w:t>
            </w:r>
          </w:p>
        </w:tc>
      </w:tr>
      <w:tr>
        <w:trPr>
          <w:trHeight w:val="205"/>
        </w:trPr>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tcBorders>
              <w:top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auto"/>
              </w:rPr>
              <w:t>Company on July 22, 2022).</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700" w:type="dxa"/>
            <w:vAlign w:val="bottom"/>
            <w:gridSpan w:val="3"/>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20" w:type="dxa"/>
            <w:vAlign w:val="bottom"/>
          </w:tcPr>
          <w:p>
            <w:pPr>
              <w:spacing w:after="0"/>
              <w:rPr>
                <w:sz w:val="19"/>
                <w:szCs w:val="19"/>
                <w:color w:val="auto"/>
              </w:rPr>
            </w:pPr>
          </w:p>
        </w:tc>
        <w:tc>
          <w:tcPr>
            <w:tcW w:w="930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194"/>
        </w:trPr>
        <w:tc>
          <w:tcPr>
            <w:tcW w:w="19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(d)(i)</w:t>
            </w:r>
          </w:p>
        </w:tc>
        <w:tc>
          <w:tcPr>
            <w:tcW w:w="20" w:type="dxa"/>
            <w:vAlign w:val="bottom"/>
          </w:tcPr>
          <w:p>
            <w:pPr>
              <w:spacing w:after="0"/>
              <w:rPr>
                <w:sz w:val="16"/>
                <w:szCs w:val="16"/>
                <w:color w:val="auto"/>
              </w:rPr>
            </w:pPr>
          </w:p>
        </w:tc>
        <w:tc>
          <w:tcPr>
            <w:tcW w:w="9300" w:type="dxa"/>
            <w:vAlign w:val="bottom"/>
            <w:gridSpan w:val="34"/>
          </w:tcPr>
          <w:p>
            <w:pPr>
              <w:spacing w:after="0" w:line="194"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Business Combination Agreement, dated as of December 29, 2020, by and among FinTech Acquisition Corp. IV, FinTech</w:t>
              </w:r>
            </w:hyperlink>
          </w:p>
        </w:tc>
      </w:tr>
      <w:tr>
        <w:trPr>
          <w:trHeight w:val="156"/>
        </w:trPr>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w w:val="98"/>
              </w:rPr>
            </w:pPr>
            <w:hyperlink r:id="rId20">
              <w:r>
                <w:rPr>
                  <w:rFonts w:ascii="Times New Roman" w:cs="Times New Roman" w:eastAsia="Times New Roman" w:hAnsi="Times New Roman"/>
                  <w:sz w:val="18"/>
                  <w:szCs w:val="18"/>
                  <w:color w:val="0000FF"/>
                  <w:w w:val="98"/>
                </w:rPr>
                <w:t>Investor Holdings IV, LLC, FinTech Masala Advisors, LLC, PWP Holdings LP, PWP GP LLC, PWP Professional Partners</w:t>
              </w:r>
            </w:hyperlink>
          </w:p>
        </w:tc>
        <w:tc>
          <w:tcPr>
            <w:tcW w:w="500" w:type="dxa"/>
            <w:vAlign w:val="bottom"/>
            <w:gridSpan w:val="17"/>
          </w:tcPr>
          <w:p>
            <w:pPr>
              <w:ind w:left="100"/>
              <w:spacing w:after="0" w:line="156"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LP</w:t>
              </w:r>
            </w:hyperlink>
          </w:p>
        </w:tc>
      </w:tr>
      <w:tr>
        <w:trPr>
          <w:trHeight w:val="169"/>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60" w:type="dxa"/>
            <w:vAlign w:val="bottom"/>
            <w:tcBorders>
              <w:top w:val="single" w:sz="8" w:color="0000FF"/>
              <w:bottom w:val="single" w:sz="8" w:color="0000FF"/>
            </w:tcBorders>
            <w:gridSpan w:val="27"/>
          </w:tcPr>
          <w:p>
            <w:pPr>
              <w:spacing w:after="0" w:line="169" w:lineRule="exact"/>
              <w:rPr>
                <w:rFonts w:ascii="Times New Roman" w:cs="Times New Roman" w:eastAsia="Times New Roman" w:hAnsi="Times New Roman"/>
                <w:sz w:val="18"/>
                <w:szCs w:val="18"/>
                <w:color w:val="0000FF"/>
                <w:w w:val="99"/>
              </w:rPr>
            </w:pPr>
            <w:hyperlink r:id="rId20">
              <w:r>
                <w:rPr>
                  <w:rFonts w:ascii="Times New Roman" w:cs="Times New Roman" w:eastAsia="Times New Roman" w:hAnsi="Times New Roman"/>
                  <w:sz w:val="18"/>
                  <w:szCs w:val="18"/>
                  <w:color w:val="0000FF"/>
                  <w:w w:val="99"/>
                </w:rPr>
                <w:t>and Perella Weinberg Partners LLC (incorporated by reference to Exhibit 2.1 to FinTech Acquisition Corp. IV’s Current Report</w:t>
              </w:r>
            </w:hyperlink>
          </w:p>
        </w:tc>
        <w:tc>
          <w:tcPr>
            <w:tcW w:w="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20">
              <w:r>
                <w:rPr>
                  <w:rFonts w:ascii="Times New Roman" w:cs="Times New Roman" w:eastAsia="Times New Roman" w:hAnsi="Times New Roman"/>
                  <w:sz w:val="18"/>
                  <w:szCs w:val="18"/>
                  <w:color w:val="0000FF"/>
                  <w:w w:val="99"/>
                </w:rPr>
                <w:t>on Form 8-K/A, filed with the SEC on December 31, 2020).</w:t>
              </w:r>
            </w:hyperlink>
          </w:p>
        </w:tc>
        <w:tc>
          <w:tcPr>
            <w:tcW w:w="4840" w:type="dxa"/>
            <w:vAlign w:val="bottom"/>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(d)(ii)</w:t>
            </w:r>
          </w:p>
        </w:tc>
        <w:tc>
          <w:tcPr>
            <w:tcW w:w="20" w:type="dxa"/>
            <w:vAlign w:val="bottom"/>
          </w:tcPr>
          <w:p>
            <w:pPr>
              <w:spacing w:after="0"/>
              <w:rPr>
                <w:sz w:val="18"/>
                <w:szCs w:val="18"/>
                <w:color w:val="auto"/>
              </w:rPr>
            </w:pPr>
          </w:p>
        </w:tc>
        <w:tc>
          <w:tcPr>
            <w:tcW w:w="9300" w:type="dxa"/>
            <w:vAlign w:val="bottom"/>
            <w:gridSpan w:val="34"/>
          </w:tcPr>
          <w:p>
            <w:pPr>
              <w:spacing w:after="0"/>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Restated Certificate of Incorporation of Perella Weinberg Partners (incorporated by reference to Exhibit 3.1 to Amendment No.</w:t>
              </w:r>
            </w:hyperlink>
          </w:p>
        </w:tc>
      </w:tr>
      <w:tr>
        <w:trPr>
          <w:trHeight w:val="156"/>
        </w:trPr>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bottom w:val="single" w:sz="8" w:color="0000FF"/>
            </w:tcBorders>
            <w:gridSpan w:val="15"/>
          </w:tcPr>
          <w:p>
            <w:pPr>
              <w:spacing w:after="0" w:line="156" w:lineRule="exact"/>
              <w:rPr>
                <w:rFonts w:ascii="Times New Roman" w:cs="Times New Roman" w:eastAsia="Times New Roman" w:hAnsi="Times New Roman"/>
                <w:sz w:val="18"/>
                <w:szCs w:val="18"/>
                <w:color w:val="0000FF"/>
                <w:highlight w:val="white"/>
                <w:w w:val="99"/>
              </w:rPr>
            </w:pPr>
            <w:hyperlink r:id="rId21">
              <w:r>
                <w:rPr>
                  <w:rFonts w:ascii="Times New Roman" w:cs="Times New Roman" w:eastAsia="Times New Roman" w:hAnsi="Times New Roman"/>
                  <w:sz w:val="18"/>
                  <w:szCs w:val="18"/>
                  <w:color w:val="0000FF"/>
                  <w:highlight w:val="white"/>
                  <w:w w:val="99"/>
                </w:rPr>
                <w:t>1 to the Company’s Registration Statement on Form S-1 (File No. 333-261785), filed with the SEC on January 13, 2022).</w:t>
              </w:r>
            </w:hyperlink>
          </w:p>
        </w:tc>
        <w:tc>
          <w:tcPr>
            <w:tcW w:w="20" w:type="dxa"/>
            <w:vAlign w:val="bottom"/>
          </w:tcPr>
          <w:p>
            <w:pPr>
              <w:spacing w:after="0"/>
              <w:rPr>
                <w:sz w:val="13"/>
                <w:szCs w:val="13"/>
                <w:color w:val="auto"/>
              </w:rPr>
            </w:pPr>
          </w:p>
        </w:tc>
        <w:tc>
          <w:tcPr>
            <w:tcW w:w="120" w:type="dxa"/>
            <w:vAlign w:val="bottom"/>
            <w:tcBorders>
              <w:top w:val="single" w:sz="8" w:color="0000FF"/>
            </w:tcBorders>
            <w:gridSpan w:val="2"/>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(d)(iii)</w:t>
            </w:r>
          </w:p>
        </w:tc>
        <w:tc>
          <w:tcPr>
            <w:tcW w:w="20" w:type="dxa"/>
            <w:vAlign w:val="bottom"/>
          </w:tcPr>
          <w:p>
            <w:pPr>
              <w:spacing w:after="0"/>
              <w:rPr>
                <w:sz w:val="19"/>
                <w:szCs w:val="19"/>
                <w:color w:val="auto"/>
              </w:rPr>
            </w:pPr>
          </w:p>
        </w:tc>
        <w:tc>
          <w:tcPr>
            <w:tcW w:w="9300" w:type="dxa"/>
            <w:vAlign w:val="bottom"/>
            <w:gridSpan w:val="34"/>
          </w:tcPr>
          <w:p>
            <w:pPr>
              <w:spacing w:after="0"/>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Amended and Restated Bylaws of Perella Weinberg Partners (incorporated by reference to Exhibit 3.2 to the Company’s Current</w:t>
              </w:r>
            </w:hyperlink>
          </w:p>
        </w:tc>
      </w:tr>
      <w:tr>
        <w:trPr>
          <w:trHeight w:val="155"/>
        </w:trPr>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Report on Form 8-K, filed with the SEC on June 30, 2021).</w:t>
              </w:r>
            </w:hyperlink>
          </w:p>
        </w:tc>
        <w:tc>
          <w:tcPr>
            <w:tcW w:w="20" w:type="dxa"/>
            <w:vAlign w:val="bottom"/>
          </w:tcPr>
          <w:p>
            <w:pPr>
              <w:spacing w:after="0"/>
              <w:rPr>
                <w:sz w:val="13"/>
                <w:szCs w:val="13"/>
                <w:color w:val="auto"/>
              </w:rPr>
            </w:pPr>
          </w:p>
        </w:tc>
      </w:tr>
      <w:tr>
        <w:trPr>
          <w:trHeight w:val="20"/>
        </w:trPr>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w:t>
            </w:r>
          </w:p>
        </w:tc>
        <w:tc>
          <w:tcPr>
            <w:tcW w:w="20" w:type="dxa"/>
            <w:vAlign w:val="bottom"/>
          </w:tcPr>
          <w:p>
            <w:pPr>
              <w:spacing w:after="0"/>
              <w:rPr>
                <w:sz w:val="19"/>
                <w:szCs w:val="19"/>
                <w:color w:val="auto"/>
              </w:rPr>
            </w:pPr>
          </w:p>
        </w:tc>
        <w:tc>
          <w:tcPr>
            <w:tcW w:w="9300" w:type="dxa"/>
            <w:vAlign w:val="bottom"/>
            <w:gridSpan w:val="34"/>
          </w:tcPr>
          <w:p>
            <w:pPr>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Specimen Class A Common Stock Certificate (incorporated by reference to Exhibit 4.1 to the Company’s Current Report on</w:t>
              </w:r>
            </w:hyperlink>
          </w:p>
        </w:tc>
      </w:tr>
      <w:tr>
        <w:trPr>
          <w:trHeight w:val="156"/>
        </w:trPr>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20" w:type="dxa"/>
            <w:vAlign w:val="bottom"/>
            <w:tcBorders>
              <w:bottom w:val="single" w:sz="8" w:color="0000FF"/>
            </w:tcBorders>
            <w:gridSpan w:val="6"/>
          </w:tcPr>
          <w:p>
            <w:pPr>
              <w:spacing w:after="0" w:line="156" w:lineRule="exact"/>
              <w:rPr>
                <w:rFonts w:ascii="Times New Roman" w:cs="Times New Roman" w:eastAsia="Times New Roman" w:hAnsi="Times New Roman"/>
                <w:sz w:val="18"/>
                <w:szCs w:val="18"/>
                <w:color w:val="0000FF"/>
                <w:highlight w:val="white"/>
                <w:w w:val="99"/>
              </w:rPr>
            </w:pPr>
            <w:hyperlink r:id="rId23">
              <w:r>
                <w:rPr>
                  <w:rFonts w:ascii="Times New Roman" w:cs="Times New Roman" w:eastAsia="Times New Roman" w:hAnsi="Times New Roman"/>
                  <w:sz w:val="18"/>
                  <w:szCs w:val="18"/>
                  <w:color w:val="0000FF"/>
                  <w:highlight w:val="white"/>
                  <w:w w:val="99"/>
                </w:rPr>
                <w:t>Form 8-K, filed with the SEC on June 30, 2021).</w:t>
              </w:r>
            </w:hyperlink>
          </w:p>
        </w:tc>
        <w:tc>
          <w:tcPr>
            <w:tcW w:w="20" w:type="dxa"/>
            <w:vAlign w:val="bottom"/>
          </w:tcPr>
          <w:p>
            <w:pPr>
              <w:spacing w:after="0"/>
              <w:rPr>
                <w:sz w:val="13"/>
                <w:szCs w:val="13"/>
                <w:color w:val="auto"/>
              </w:rPr>
            </w:pPr>
          </w:p>
        </w:tc>
        <w:tc>
          <w:tcPr>
            <w:tcW w:w="3000" w:type="dxa"/>
            <w:vAlign w:val="bottom"/>
            <w:tcBorders>
              <w:top w:val="single" w:sz="8" w:color="0000FF"/>
            </w:tcBorders>
            <w:gridSpan w:val="3"/>
          </w:tcPr>
          <w:p>
            <w:pPr>
              <w:spacing w:after="0"/>
              <w:rPr>
                <w:sz w:val="13"/>
                <w:szCs w:val="13"/>
                <w:color w:val="auto"/>
              </w:rPr>
            </w:pPr>
          </w:p>
        </w:tc>
        <w:tc>
          <w:tcPr>
            <w:tcW w:w="1700" w:type="dxa"/>
            <w:vAlign w:val="bottom"/>
            <w:tcBorders>
              <w:top w:val="single" w:sz="8" w:color="0000FF"/>
            </w:tcBorders>
            <w:gridSpan w:val="3"/>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gridSpan w:val="4"/>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(d)(v)</w:t>
            </w:r>
          </w:p>
        </w:tc>
        <w:tc>
          <w:tcPr>
            <w:tcW w:w="20" w:type="dxa"/>
            <w:vAlign w:val="bottom"/>
          </w:tcPr>
          <w:p>
            <w:pPr>
              <w:spacing w:after="0"/>
              <w:rPr>
                <w:sz w:val="19"/>
                <w:szCs w:val="19"/>
                <w:color w:val="auto"/>
              </w:rPr>
            </w:pPr>
          </w:p>
        </w:tc>
        <w:tc>
          <w:tcPr>
            <w:tcW w:w="9300" w:type="dxa"/>
            <w:vAlign w:val="bottom"/>
            <w:gridSpan w:val="34"/>
          </w:tcPr>
          <w:p>
            <w:pPr>
              <w:spacing w:after="0"/>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Warrant Agreement, dated September 24, 2020, by and between FinTech Acquisition Corp. IV and Continental Stock Transfer</w:t>
              </w:r>
            </w:hyperlink>
          </w:p>
        </w:tc>
      </w:tr>
      <w:tr>
        <w:trPr>
          <w:trHeight w:val="156"/>
        </w:trPr>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&amp; Trust Company (incorporated by reference to Exhibit 4.1 to FinTech Acquisition Corp. IV’s Current Report on Form 8-K,</w:t>
              </w:r>
            </w:hyperlink>
          </w:p>
        </w:tc>
        <w:tc>
          <w:tcPr>
            <w:tcW w:w="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6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4">
              <w:r>
                <w:rPr>
                  <w:rFonts w:ascii="Times New Roman" w:cs="Times New Roman" w:eastAsia="Times New Roman" w:hAnsi="Times New Roman"/>
                  <w:sz w:val="18"/>
                  <w:szCs w:val="18"/>
                  <w:color w:val="0000FF"/>
                  <w:w w:val="99"/>
                </w:rPr>
                <w:t>filed with the SEC on September 30, 2020).</w:t>
              </w:r>
            </w:hyperlink>
          </w:p>
        </w:tc>
        <w:tc>
          <w:tcPr>
            <w:tcW w:w="5820" w:type="dxa"/>
            <w:vAlign w:val="bottom"/>
            <w:tcBorders>
              <w:top w:val="single" w:sz="8" w:color="0000FF"/>
            </w:tcBorders>
            <w:gridSpan w:val="16"/>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96"/>
        </w:trPr>
        <w:tc>
          <w:tcPr>
            <w:tcW w:w="19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(d)(vi)</w:t>
            </w:r>
          </w:p>
        </w:tc>
        <w:tc>
          <w:tcPr>
            <w:tcW w:w="20" w:type="dxa"/>
            <w:vAlign w:val="bottom"/>
          </w:tcPr>
          <w:p>
            <w:pPr>
              <w:spacing w:after="0"/>
              <w:rPr>
                <w:sz w:val="17"/>
                <w:szCs w:val="17"/>
                <w:color w:val="auto"/>
              </w:rPr>
            </w:pPr>
          </w:p>
        </w:tc>
        <w:tc>
          <w:tcPr>
            <w:tcW w:w="9300" w:type="dxa"/>
            <w:vAlign w:val="bottom"/>
            <w:gridSpan w:val="34"/>
          </w:tcPr>
          <w:p>
            <w:pPr>
              <w:spacing w:after="0" w:line="196" w:lineRule="exact"/>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Amendment to Warrant Agreement, dated November 10, 2021, by and among Perella Weinberg Partners, Continental Stock</w:t>
              </w:r>
            </w:hyperlink>
          </w:p>
        </w:tc>
      </w:tr>
      <w:tr>
        <w:trPr>
          <w:trHeight w:val="189"/>
        </w:trPr>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300" w:type="dxa"/>
            <w:vAlign w:val="bottom"/>
            <w:gridSpan w:val="34"/>
          </w:tcPr>
          <w:p>
            <w:pPr>
              <w:spacing w:after="0" w:line="189" w:lineRule="exact"/>
              <w:rPr>
                <w:rFonts w:ascii="Times New Roman" w:cs="Times New Roman" w:eastAsia="Times New Roman" w:hAnsi="Times New Roman"/>
                <w:sz w:val="18"/>
                <w:szCs w:val="18"/>
                <w:color w:val="0000FF"/>
                <w:highlight w:val="white"/>
              </w:rPr>
            </w:pPr>
            <w:hyperlink r:id="rId25">
              <w:r>
                <w:rPr>
                  <w:rFonts w:ascii="Times New Roman" w:cs="Times New Roman" w:eastAsia="Times New Roman" w:hAnsi="Times New Roman"/>
                  <w:sz w:val="18"/>
                  <w:szCs w:val="18"/>
                  <w:color w:val="0000FF"/>
                  <w:highlight w:val="white"/>
                </w:rPr>
                <w:t>Transfer &amp; Trust Company and American Stock Transfer &amp; Trust Company, LLC (incorporated by reference to Exhibit 4.3 to</w:t>
              </w:r>
            </w:hyperlink>
          </w:p>
        </w:tc>
      </w:tr>
      <w:tr>
        <w:trPr>
          <w:trHeight w:val="169"/>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0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highlight w:val="white"/>
                <w:w w:val="99"/>
              </w:rPr>
            </w:pPr>
            <w:hyperlink r:id="rId25">
              <w:r>
                <w:rPr>
                  <w:rFonts w:ascii="Times New Roman" w:cs="Times New Roman" w:eastAsia="Times New Roman" w:hAnsi="Times New Roman"/>
                  <w:sz w:val="18"/>
                  <w:szCs w:val="18"/>
                  <w:color w:val="0000FF"/>
                  <w:highlight w:val="white"/>
                  <w:w w:val="99"/>
                </w:rPr>
                <w:t>the Company's Registration Statement on Form S-1 (File No. 333-261785) filed with the SEC on December 21, 2021.</w:t>
              </w:r>
            </w:hyperlink>
          </w:p>
        </w:tc>
        <w:tc>
          <w:tcPr>
            <w:tcW w:w="540" w:type="dxa"/>
            <w:vAlign w:val="bottom"/>
            <w:tcBorders>
              <w:top w:val="single" w:sz="8" w:color="0000FF"/>
            </w:tcBorders>
            <w:gridSpan w:val="8"/>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9"/>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(d)(vii)</w:t>
            </w:r>
          </w:p>
        </w:tc>
        <w:tc>
          <w:tcPr>
            <w:tcW w:w="20" w:type="dxa"/>
            <w:vAlign w:val="bottom"/>
          </w:tcPr>
          <w:p>
            <w:pPr>
              <w:spacing w:after="0"/>
              <w:rPr>
                <w:sz w:val="18"/>
                <w:szCs w:val="18"/>
                <w:color w:val="auto"/>
              </w:rPr>
            </w:pPr>
          </w:p>
        </w:tc>
        <w:tc>
          <w:tcPr>
            <w:tcW w:w="9300" w:type="dxa"/>
            <w:vAlign w:val="bottom"/>
            <w:gridSpan w:val="34"/>
          </w:tcPr>
          <w:p>
            <w:pPr>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Form of Subscription Agreement (incorporated by reference to Exhibit 10.1 to FinTech Acquisition Corp. IV’s Current Report</w:t>
              </w:r>
            </w:hyperlink>
          </w:p>
        </w:tc>
      </w:tr>
      <w:tr>
        <w:trPr>
          <w:trHeight w:val="156"/>
        </w:trPr>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26">
              <w:r>
                <w:rPr>
                  <w:rFonts w:ascii="Times New Roman" w:cs="Times New Roman" w:eastAsia="Times New Roman" w:hAnsi="Times New Roman"/>
                  <w:sz w:val="18"/>
                  <w:szCs w:val="18"/>
                  <w:color w:val="0000FF"/>
                  <w:w w:val="99"/>
                </w:rPr>
                <w:t>on Form 8-K/A, filed with the SEC on December 31, 2020).</w:t>
              </w:r>
            </w:hyperlink>
          </w:p>
        </w:tc>
        <w:tc>
          <w:tcPr>
            <w:tcW w:w="476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(d)(viii)</w:t>
            </w:r>
          </w:p>
        </w:tc>
        <w:tc>
          <w:tcPr>
            <w:tcW w:w="20" w:type="dxa"/>
            <w:vAlign w:val="bottom"/>
          </w:tcPr>
          <w:p>
            <w:pPr>
              <w:spacing w:after="0"/>
              <w:rPr>
                <w:sz w:val="19"/>
                <w:szCs w:val="19"/>
                <w:color w:val="auto"/>
              </w:rPr>
            </w:pPr>
          </w:p>
        </w:tc>
        <w:tc>
          <w:tcPr>
            <w:tcW w:w="9300" w:type="dxa"/>
            <w:vAlign w:val="bottom"/>
            <w:gridSpan w:val="34"/>
          </w:tcPr>
          <w:p>
            <w:pPr>
              <w:spacing w:after="0"/>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Amended and Restated Registration Rights Agreement, dated June 24, 2021, by and among the Company, FinTech Investor</w:t>
              </w:r>
            </w:hyperlink>
          </w:p>
        </w:tc>
      </w:tr>
      <w:tr>
        <w:trPr>
          <w:trHeight w:val="156"/>
        </w:trPr>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w w:val="98"/>
              </w:rPr>
            </w:pPr>
            <w:hyperlink r:id="rId27">
              <w:r>
                <w:rPr>
                  <w:rFonts w:ascii="Times New Roman" w:cs="Times New Roman" w:eastAsia="Times New Roman" w:hAnsi="Times New Roman"/>
                  <w:sz w:val="18"/>
                  <w:szCs w:val="18"/>
                  <w:color w:val="0000FF"/>
                  <w:w w:val="98"/>
                </w:rPr>
                <w:t>Holdings IV, LLC, FinTech Masala Advisors, LLC and the other Holders party thereto (incorporated by reference to Exhibit</w:t>
              </w:r>
            </w:hyperlink>
          </w:p>
        </w:tc>
        <w:tc>
          <w:tcPr>
            <w:tcW w:w="40" w:type="dxa"/>
            <w:vAlign w:val="bottom"/>
            <w:tcBorders>
              <w:bottom w:val="single" w:sz="8" w:color="0000FF"/>
            </w:tcBorders>
          </w:tcPr>
          <w:p>
            <w:pPr>
              <w:spacing w:after="0"/>
              <w:rPr>
                <w:sz w:val="13"/>
                <w:szCs w:val="13"/>
                <w:color w:val="auto"/>
              </w:rPr>
            </w:pPr>
          </w:p>
        </w:tc>
        <w:tc>
          <w:tcPr>
            <w:tcW w:w="14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40" w:type="dxa"/>
            <w:vAlign w:val="bottom"/>
            <w:gridSpan w:val="19"/>
          </w:tcPr>
          <w:p>
            <w:pPr>
              <w:spacing w:after="0" w:line="169"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Current Report on Form 8-K, filed with the SEC on June 30, 2021).</w:t>
              </w:r>
            </w:hyperlink>
          </w:p>
        </w:tc>
        <w:tc>
          <w:tcPr>
            <w:tcW w:w="14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3820" w:type="dxa"/>
            <w:vAlign w:val="bottom"/>
            <w:gridSpan w:val="6"/>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84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(d)(ix)</w:t>
            </w:r>
          </w:p>
        </w:tc>
        <w:tc>
          <w:tcPr>
            <w:tcW w:w="20" w:type="dxa"/>
            <w:vAlign w:val="bottom"/>
          </w:tcPr>
          <w:p>
            <w:pPr>
              <w:spacing w:after="0"/>
              <w:rPr>
                <w:sz w:val="18"/>
                <w:szCs w:val="18"/>
                <w:color w:val="auto"/>
              </w:rPr>
            </w:pPr>
          </w:p>
        </w:tc>
        <w:tc>
          <w:tcPr>
            <w:tcW w:w="9300" w:type="dxa"/>
            <w:vAlign w:val="bottom"/>
            <w:gridSpan w:val="34"/>
          </w:tcPr>
          <w:p>
            <w:pPr>
              <w:spacing w:after="0"/>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Stockholders Agreement, dated June 24, 2021, by and between the Company and PWP Professional Partners LP (incorporated</w:t>
              </w:r>
            </w:hyperlink>
          </w:p>
        </w:tc>
      </w:tr>
      <w:tr>
        <w:trPr>
          <w:trHeight w:val="155"/>
        </w:trPr>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by reference to Exhibit 10.3 to the Company’s Current Report on Form 8-K, filed with the SEC on June 30, 2021).</w:t>
              </w:r>
            </w:hyperlink>
          </w:p>
        </w:tc>
        <w:tc>
          <w:tcPr>
            <w:tcW w:w="4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5520" w:type="dxa"/>
            <w:vAlign w:val="bottom"/>
            <w:gridSpan w:val="9"/>
            <w:shd w:val="clear" w:color="auto" w:fill="0000FF"/>
          </w:tcPr>
          <w:p>
            <w:pPr>
              <w:spacing w:after="0" w:line="20" w:lineRule="exact"/>
              <w:rPr>
                <w:sz w:val="1"/>
                <w:szCs w:val="1"/>
                <w:color w:val="auto"/>
              </w:rPr>
            </w:pPr>
          </w:p>
        </w:tc>
        <w:tc>
          <w:tcPr>
            <w:tcW w:w="840" w:type="dxa"/>
            <w:vAlign w:val="bottom"/>
            <w:gridSpan w:val="10"/>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(d)(x)</w:t>
            </w:r>
          </w:p>
        </w:tc>
        <w:tc>
          <w:tcPr>
            <w:tcW w:w="20" w:type="dxa"/>
            <w:vAlign w:val="bottom"/>
          </w:tcPr>
          <w:p>
            <w:pPr>
              <w:spacing w:after="0"/>
              <w:rPr>
                <w:sz w:val="19"/>
                <w:szCs w:val="19"/>
                <w:color w:val="auto"/>
              </w:rPr>
            </w:pPr>
          </w:p>
        </w:tc>
        <w:tc>
          <w:tcPr>
            <w:tcW w:w="91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29">
              <w:r>
                <w:rPr>
                  <w:rFonts w:ascii="Times New Roman" w:cs="Times New Roman" w:eastAsia="Times New Roman" w:hAnsi="Times New Roman"/>
                  <w:sz w:val="18"/>
                  <w:szCs w:val="18"/>
                  <w:color w:val="0000FF"/>
                  <w:w w:val="99"/>
                </w:rPr>
                <w:t>Tax Receivable Agreement, dated June 24, 2021, by and between the Company, PWP Holdings LP, PWP Professional Partners</w:t>
              </w:r>
            </w:hyperlink>
          </w:p>
        </w:tc>
        <w:tc>
          <w:tcPr>
            <w:tcW w:w="140" w:type="dxa"/>
            <w:vAlign w:val="bottom"/>
            <w:gridSpan w:val="6"/>
          </w:tcPr>
          <w:p>
            <w:pPr>
              <w:spacing w:after="0"/>
              <w:rPr>
                <w:sz w:val="19"/>
                <w:szCs w:val="19"/>
                <w:color w:val="auto"/>
              </w:rPr>
            </w:pPr>
          </w:p>
        </w:tc>
      </w:tr>
      <w:tr>
        <w:trPr>
          <w:trHeight w:val="156"/>
        </w:trPr>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gridSpan w:val="34"/>
          </w:tcPr>
          <w:p>
            <w:pPr>
              <w:spacing w:after="0" w:line="156" w:lineRule="exact"/>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LP and certain partners party thereto (incorporated by reference to Exhibit 10.2 to the Company’s Current Report on Form 8-K,</w:t>
              </w:r>
            </w:hyperlink>
          </w:p>
        </w:tc>
      </w:tr>
      <w:tr>
        <w:trPr>
          <w:trHeight w:val="169"/>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9">
              <w:r>
                <w:rPr>
                  <w:rFonts w:ascii="Times New Roman" w:cs="Times New Roman" w:eastAsia="Times New Roman" w:hAnsi="Times New Roman"/>
                  <w:sz w:val="18"/>
                  <w:szCs w:val="18"/>
                  <w:color w:val="0000FF"/>
                  <w:w w:val="99"/>
                </w:rPr>
                <w:t>filed with the SEC on June 30, 2021).</w:t>
              </w:r>
            </w:hyperlink>
          </w:p>
        </w:tc>
        <w:tc>
          <w:tcPr>
            <w:tcW w:w="6480" w:type="dxa"/>
            <w:vAlign w:val="bottom"/>
            <w:tcBorders>
              <w:top w:val="single" w:sz="8" w:color="0000FF"/>
            </w:tcBorders>
            <w:gridSpan w:val="2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10"/>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(d)(xi)</w:t>
            </w:r>
          </w:p>
        </w:tc>
        <w:tc>
          <w:tcPr>
            <w:tcW w:w="20" w:type="dxa"/>
            <w:vAlign w:val="bottom"/>
          </w:tcPr>
          <w:p>
            <w:pPr>
              <w:spacing w:after="0"/>
              <w:rPr>
                <w:sz w:val="18"/>
                <w:szCs w:val="18"/>
                <w:color w:val="auto"/>
              </w:rPr>
            </w:pPr>
          </w:p>
        </w:tc>
        <w:tc>
          <w:tcPr>
            <w:tcW w:w="90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30">
              <w:r>
                <w:rPr>
                  <w:rFonts w:ascii="Times New Roman" w:cs="Times New Roman" w:eastAsia="Times New Roman" w:hAnsi="Times New Roman"/>
                  <w:sz w:val="18"/>
                  <w:szCs w:val="18"/>
                  <w:color w:val="0000FF"/>
                  <w:w w:val="99"/>
                </w:rPr>
                <w:t>Sponsor Share Surrender and Share Restriction Agreement, dated as of December 29, 2020, by and among PWP Holdings LP,</w:t>
              </w:r>
            </w:hyperlink>
          </w:p>
        </w:tc>
        <w:tc>
          <w:tcPr>
            <w:tcW w:w="220" w:type="dxa"/>
            <w:vAlign w:val="bottom"/>
            <w:gridSpan w:val="11"/>
          </w:tcPr>
          <w:p>
            <w:pPr>
              <w:spacing w:after="0"/>
              <w:rPr>
                <w:sz w:val="18"/>
                <w:szCs w:val="18"/>
                <w:color w:val="auto"/>
              </w:rPr>
            </w:pPr>
          </w:p>
        </w:tc>
      </w:tr>
      <w:tr>
        <w:trPr>
          <w:trHeight w:val="155"/>
        </w:trPr>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gridSpan w:val="34"/>
          </w:tcPr>
          <w:p>
            <w:pPr>
              <w:spacing w:after="0" w:line="156" w:lineRule="exact"/>
              <w:rPr>
                <w:rFonts w:ascii="Times New Roman" w:cs="Times New Roman" w:eastAsia="Times New Roman" w:hAnsi="Times New Roman"/>
                <w:sz w:val="18"/>
                <w:szCs w:val="18"/>
                <w:color w:val="0000FF"/>
                <w:w w:val="99"/>
              </w:rPr>
            </w:pPr>
            <w:hyperlink r:id="rId30">
              <w:r>
                <w:rPr>
                  <w:rFonts w:ascii="Times New Roman" w:cs="Times New Roman" w:eastAsia="Times New Roman" w:hAnsi="Times New Roman"/>
                  <w:sz w:val="18"/>
                  <w:szCs w:val="18"/>
                  <w:color w:val="0000FF"/>
                  <w:w w:val="99"/>
                </w:rPr>
                <w:t>FinTech Acquisition Corp. IV, FinTech Investor Holdings IV, LLC, FinTech Masala Advisors, LLC and the other parties thereto</w:t>
              </w:r>
            </w:hyperlink>
          </w:p>
        </w:tc>
      </w:tr>
      <w:tr>
        <w:trPr>
          <w:trHeight w:val="169"/>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20" w:type="dxa"/>
            <w:vAlign w:val="bottom"/>
            <w:tcBorders>
              <w:top w:val="single" w:sz="8" w:color="0000FF"/>
              <w:bottom w:val="single" w:sz="8" w:color="0000FF"/>
            </w:tcBorders>
            <w:gridSpan w:val="31"/>
          </w:tcPr>
          <w:p>
            <w:pPr>
              <w:spacing w:after="0" w:line="169" w:lineRule="exact"/>
              <w:rPr>
                <w:rFonts w:ascii="Times New Roman" w:cs="Times New Roman" w:eastAsia="Times New Roman" w:hAnsi="Times New Roman"/>
                <w:sz w:val="18"/>
                <w:szCs w:val="18"/>
                <w:color w:val="0000FF"/>
                <w:w w:val="99"/>
              </w:rPr>
            </w:pPr>
            <w:hyperlink r:id="rId30">
              <w:r>
                <w:rPr>
                  <w:rFonts w:ascii="Times New Roman" w:cs="Times New Roman" w:eastAsia="Times New Roman" w:hAnsi="Times New Roman"/>
                  <w:sz w:val="18"/>
                  <w:szCs w:val="18"/>
                  <w:color w:val="0000FF"/>
                  <w:w w:val="99"/>
                </w:rPr>
                <w:t>(incorporated by reference to Exhibit 10.5 to FinTech Acquisition Corp. IV’s Current Report on Form 8-K/A, filed with the SEC</w:t>
              </w:r>
            </w:hyperlink>
          </w:p>
        </w:tc>
        <w:tc>
          <w:tcPr>
            <w:tcW w:w="4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gridSpan w:val="32"/>
          </w:tcPr>
          <w:p>
            <w:pPr>
              <w:spacing w:after="0" w:line="156"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on December 31, 2020).</w:t>
              </w:r>
            </w:hyperlink>
          </w:p>
        </w:tc>
        <w:tc>
          <w:tcPr>
            <w:tcW w:w="40" w:type="dxa"/>
            <w:vAlign w:val="bottom"/>
            <w:gridSpan w:val="2"/>
          </w:tcPr>
          <w:p>
            <w:pPr>
              <w:spacing w:after="0"/>
              <w:rPr>
                <w:sz w:val="13"/>
                <w:szCs w:val="13"/>
                <w:color w:val="auto"/>
              </w:rPr>
            </w:pPr>
          </w:p>
        </w:tc>
      </w:tr>
      <w:tr>
        <w:trPr>
          <w:trHeight w:val="20"/>
        </w:trPr>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6" w:name="page7"/>
    <w:bookmarkEnd w:id="6"/>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9340" w:type="dxa"/>
            <w:vAlign w:val="bottom"/>
            <w:gridSpan w:val="35"/>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3"/>
        </w:trPr>
        <w:tc>
          <w:tcPr>
            <w:tcW w:w="18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(d)(xii)</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40" w:type="dxa"/>
            <w:vAlign w:val="bottom"/>
            <w:gridSpan w:val="35"/>
          </w:tcPr>
          <w:p>
            <w:pPr>
              <w:spacing w:after="0" w:line="182" w:lineRule="exact"/>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Amendment to Sponsor Share Surrender and Share Restriction Agreement, dated as of May 4, 2021, by and among PWP</w:t>
              </w:r>
            </w:hyperlink>
          </w:p>
        </w:tc>
      </w:tr>
      <w:tr>
        <w:trPr>
          <w:trHeight w:val="156"/>
        </w:trPr>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w w:val="98"/>
              </w:rPr>
            </w:pPr>
            <w:hyperlink r:id="rId31">
              <w:r>
                <w:rPr>
                  <w:rFonts w:ascii="Times New Roman" w:cs="Times New Roman" w:eastAsia="Times New Roman" w:hAnsi="Times New Roman"/>
                  <w:sz w:val="18"/>
                  <w:szCs w:val="18"/>
                  <w:color w:val="0000FF"/>
                  <w:w w:val="98"/>
                </w:rPr>
                <w:t>Holdings LP, FinTech Acquisition Corp. IV, FinTech Investor Holdings IV, LLC, FinTech Masala Advisors, LLC and the</w:t>
              </w:r>
            </w:hyperlink>
          </w:p>
        </w:tc>
        <w:tc>
          <w:tcPr>
            <w:tcW w:w="20" w:type="dxa"/>
            <w:vAlign w:val="bottom"/>
          </w:tcPr>
          <w:p>
            <w:pPr>
              <w:spacing w:after="0"/>
              <w:rPr>
                <w:sz w:val="13"/>
                <w:szCs w:val="13"/>
                <w:color w:val="auto"/>
              </w:rPr>
            </w:pPr>
          </w:p>
        </w:tc>
        <w:tc>
          <w:tcPr>
            <w:tcW w:w="600" w:type="dxa"/>
            <w:vAlign w:val="bottom"/>
            <w:gridSpan w:val="14"/>
          </w:tcPr>
          <w:p>
            <w:pPr>
              <w:ind w:left="20"/>
              <w:spacing w:after="0" w:line="156" w:lineRule="exact"/>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other</w:t>
              </w:r>
            </w:hyperlink>
          </w:p>
        </w:tc>
      </w:tr>
      <w:tr>
        <w:trPr>
          <w:trHeight w:val="169"/>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2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parties thereto (incorporated by reference to FinTech Acquisition Corp. IV’s definitive proxy statement, filed with the SEC 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31">
              <w:r>
                <w:rPr>
                  <w:rFonts w:ascii="Times New Roman" w:cs="Times New Roman" w:eastAsia="Times New Roman" w:hAnsi="Times New Roman"/>
                  <w:sz w:val="18"/>
                  <w:szCs w:val="18"/>
                  <w:color w:val="0000FF"/>
                  <w:w w:val="99"/>
                </w:rPr>
                <w:t>May 27, 2021).</w:t>
              </w:r>
            </w:hyperlink>
          </w:p>
        </w:tc>
        <w:tc>
          <w:tcPr>
            <w:tcW w:w="7940" w:type="dxa"/>
            <w:vAlign w:val="bottom"/>
            <w:tcBorders>
              <w:top w:val="single" w:sz="8" w:color="0000FF"/>
            </w:tcBorders>
            <w:gridSpan w:val="23"/>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(d)(xiii)</w:t>
            </w:r>
          </w:p>
        </w:tc>
        <w:tc>
          <w:tcPr>
            <w:tcW w:w="20" w:type="dxa"/>
            <w:vAlign w:val="bottom"/>
          </w:tcPr>
          <w:p>
            <w:pPr>
              <w:spacing w:after="0"/>
              <w:rPr>
                <w:sz w:val="18"/>
                <w:szCs w:val="18"/>
                <w:color w:val="auto"/>
              </w:rPr>
            </w:pPr>
          </w:p>
        </w:tc>
        <w:tc>
          <w:tcPr>
            <w:tcW w:w="92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32">
              <w:r>
                <w:rPr>
                  <w:rFonts w:ascii="Times New Roman" w:cs="Times New Roman" w:eastAsia="Times New Roman" w:hAnsi="Times New Roman"/>
                  <w:sz w:val="18"/>
                  <w:szCs w:val="18"/>
                  <w:color w:val="0000FF"/>
                  <w:w w:val="99"/>
                </w:rPr>
                <w:t>Amended and Restated Agreement of Limited Partnership of PWP Holdings LP, dated as of June 24, 2021, by and among PWP</w:t>
              </w:r>
            </w:hyperlink>
          </w:p>
        </w:tc>
        <w:tc>
          <w:tcPr>
            <w:tcW w:w="140" w:type="dxa"/>
            <w:vAlign w:val="bottom"/>
            <w:gridSpan w:val="6"/>
          </w:tcPr>
          <w:p>
            <w:pPr>
              <w:spacing w:after="0"/>
              <w:rPr>
                <w:sz w:val="18"/>
                <w:szCs w:val="18"/>
                <w:color w:val="auto"/>
              </w:rPr>
            </w:pPr>
          </w:p>
        </w:tc>
      </w:tr>
      <w:tr>
        <w:trPr>
          <w:trHeight w:val="156"/>
        </w:trPr>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gridSpan w:val="35"/>
          </w:tcPr>
          <w:p>
            <w:pPr>
              <w:spacing w:after="0" w:line="156"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GP LLC, the Company, PWP Professional Partners LP, and the other limited partners party thereto (incorporated by reference to</w:t>
              </w:r>
            </w:hyperlink>
          </w:p>
        </w:tc>
      </w:tr>
      <w:tr>
        <w:trPr>
          <w:trHeight w:val="169"/>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140" w:type="dxa"/>
            <w:vAlign w:val="bottom"/>
            <w:tcBorders>
              <w:top w:val="single" w:sz="8" w:color="0000FF"/>
              <w:bottom w:val="single" w:sz="8" w:color="0000FF"/>
            </w:tcBorders>
            <w:gridSpan w:val="16"/>
          </w:tcPr>
          <w:p>
            <w:pPr>
              <w:spacing w:after="0" w:line="169" w:lineRule="exact"/>
              <w:rPr>
                <w:rFonts w:ascii="Times New Roman" w:cs="Times New Roman" w:eastAsia="Times New Roman" w:hAnsi="Times New Roman"/>
                <w:sz w:val="18"/>
                <w:szCs w:val="18"/>
                <w:color w:val="0000FF"/>
                <w:w w:val="99"/>
              </w:rPr>
            </w:pPr>
            <w:hyperlink r:id="rId32">
              <w:r>
                <w:rPr>
                  <w:rFonts w:ascii="Times New Roman" w:cs="Times New Roman" w:eastAsia="Times New Roman" w:hAnsi="Times New Roman"/>
                  <w:sz w:val="18"/>
                  <w:szCs w:val="18"/>
                  <w:color w:val="0000FF"/>
                  <w:w w:val="99"/>
                </w:rPr>
                <w:t>Exhibit 10.4 to the Company’s Current Report on Form 8-K, filed with the SEC on June 30, 2021).</w:t>
              </w:r>
            </w:hyperlink>
          </w:p>
        </w:tc>
        <w:tc>
          <w:tcPr>
            <w:tcW w:w="210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(d)(xiv)</w:t>
            </w:r>
          </w:p>
        </w:tc>
        <w:tc>
          <w:tcPr>
            <w:tcW w:w="20" w:type="dxa"/>
            <w:vAlign w:val="bottom"/>
          </w:tcPr>
          <w:p>
            <w:pPr>
              <w:spacing w:after="0"/>
              <w:rPr>
                <w:sz w:val="18"/>
                <w:szCs w:val="18"/>
                <w:color w:val="auto"/>
              </w:rPr>
            </w:pPr>
          </w:p>
        </w:tc>
        <w:tc>
          <w:tcPr>
            <w:tcW w:w="9340" w:type="dxa"/>
            <w:vAlign w:val="bottom"/>
            <w:gridSpan w:val="35"/>
          </w:tcPr>
          <w:p>
            <w:pPr>
              <w:spacing w:after="0"/>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Amended and Restated Limited Liability Company Agreement of PWP GP LLC, dated June 24, 2021 (incorporated by</w:t>
              </w:r>
            </w:hyperlink>
          </w:p>
        </w:tc>
      </w:tr>
      <w:tr>
        <w:trPr>
          <w:trHeight w:val="155"/>
        </w:trPr>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20" w:type="dxa"/>
            <w:vAlign w:val="bottom"/>
            <w:tcBorders>
              <w:bottom w:val="single" w:sz="8" w:color="0000FF"/>
            </w:tcBorders>
            <w:gridSpan w:val="17"/>
          </w:tcPr>
          <w:p>
            <w:pPr>
              <w:spacing w:after="0" w:line="156" w:lineRule="exact"/>
              <w:rPr>
                <w:rFonts w:ascii="Times New Roman" w:cs="Times New Roman" w:eastAsia="Times New Roman" w:hAnsi="Times New Roman"/>
                <w:sz w:val="18"/>
                <w:szCs w:val="18"/>
                <w:color w:val="0000FF"/>
                <w:highlight w:val="white"/>
                <w:w w:val="99"/>
              </w:rPr>
            </w:pPr>
            <w:hyperlink r:id="rId33">
              <w:r>
                <w:rPr>
                  <w:rFonts w:ascii="Times New Roman" w:cs="Times New Roman" w:eastAsia="Times New Roman" w:hAnsi="Times New Roman"/>
                  <w:sz w:val="18"/>
                  <w:szCs w:val="18"/>
                  <w:color w:val="0000FF"/>
                  <w:highlight w:val="white"/>
                  <w:w w:val="99"/>
                </w:rPr>
                <w:t>reference to Exhibit 10.5 to the Company’s Current Report on Form 8-K, filed with the SEC on June 30, 2021).</w:t>
              </w:r>
            </w:hyperlink>
          </w:p>
        </w:tc>
        <w:tc>
          <w:tcPr>
            <w:tcW w:w="20" w:type="dxa"/>
            <w:vAlign w:val="bottom"/>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(d)(xv)</w:t>
            </w:r>
          </w:p>
        </w:tc>
        <w:tc>
          <w:tcPr>
            <w:tcW w:w="20" w:type="dxa"/>
            <w:vAlign w:val="bottom"/>
          </w:tcPr>
          <w:p>
            <w:pPr>
              <w:spacing w:after="0"/>
              <w:rPr>
                <w:sz w:val="19"/>
                <w:szCs w:val="19"/>
                <w:color w:val="auto"/>
              </w:rPr>
            </w:pPr>
          </w:p>
        </w:tc>
        <w:tc>
          <w:tcPr>
            <w:tcW w:w="9340" w:type="dxa"/>
            <w:vAlign w:val="bottom"/>
            <w:gridSpan w:val="35"/>
          </w:tcPr>
          <w:p>
            <w:pPr>
              <w:spacing w:after="0"/>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Perella Weinberg Partners 2021 Omnibus Incentive Plan (incorporated by reference to Exhibit 10.6 to the Company’s Current</w:t>
              </w:r>
            </w:hyperlink>
          </w:p>
        </w:tc>
      </w:tr>
      <w:tr>
        <w:trPr>
          <w:trHeight w:val="156"/>
        </w:trPr>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bottom w:val="single" w:sz="8" w:color="0000FF"/>
            </w:tcBorders>
            <w:gridSpan w:val="9"/>
          </w:tcPr>
          <w:p>
            <w:pPr>
              <w:spacing w:after="0" w:line="156" w:lineRule="exact"/>
              <w:rPr>
                <w:rFonts w:ascii="Times New Roman" w:cs="Times New Roman" w:eastAsia="Times New Roman" w:hAnsi="Times New Roman"/>
                <w:sz w:val="18"/>
                <w:szCs w:val="18"/>
                <w:color w:val="0000FF"/>
                <w:highlight w:val="white"/>
                <w:w w:val="99"/>
              </w:rPr>
            </w:pPr>
            <w:hyperlink r:id="rId34">
              <w:r>
                <w:rPr>
                  <w:rFonts w:ascii="Times New Roman" w:cs="Times New Roman" w:eastAsia="Times New Roman" w:hAnsi="Times New Roman"/>
                  <w:sz w:val="18"/>
                  <w:szCs w:val="18"/>
                  <w:color w:val="0000FF"/>
                  <w:highlight w:val="white"/>
                  <w:w w:val="99"/>
                </w:rPr>
                <w:t>Report on Form 8-K, filed with the SEC on June 30, 2021).</w:t>
              </w:r>
            </w:hyperlink>
          </w:p>
        </w:tc>
        <w:tc>
          <w:tcPr>
            <w:tcW w:w="2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gridSpan w:val="5"/>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(d)(xvi)</w:t>
            </w:r>
          </w:p>
        </w:tc>
        <w:tc>
          <w:tcPr>
            <w:tcW w:w="20" w:type="dxa"/>
            <w:vAlign w:val="bottom"/>
          </w:tcPr>
          <w:p>
            <w:pPr>
              <w:spacing w:after="0"/>
              <w:rPr>
                <w:sz w:val="19"/>
                <w:szCs w:val="19"/>
                <w:color w:val="auto"/>
              </w:rPr>
            </w:pPr>
          </w:p>
        </w:tc>
        <w:tc>
          <w:tcPr>
            <w:tcW w:w="9340" w:type="dxa"/>
            <w:vAlign w:val="bottom"/>
            <w:gridSpan w:val="35"/>
          </w:tcPr>
          <w:p>
            <w:pPr>
              <w:spacing w:after="0"/>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French Sub-Plan Under the Perella Weinberg Partners 2021 Omnibus Equity Incentive Plan (incorporated by reference to</w:t>
              </w:r>
            </w:hyperlink>
          </w:p>
        </w:tc>
      </w:tr>
      <w:tr>
        <w:trPr>
          <w:trHeight w:val="155"/>
        </w:trPr>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20" w:type="dxa"/>
            <w:vAlign w:val="bottom"/>
            <w:tcBorders>
              <w:bottom w:val="single" w:sz="8" w:color="0000FF"/>
            </w:tcBorders>
            <w:gridSpan w:val="15"/>
          </w:tcPr>
          <w:p>
            <w:pPr>
              <w:spacing w:after="0" w:line="156" w:lineRule="exact"/>
              <w:rPr>
                <w:rFonts w:ascii="Times New Roman" w:cs="Times New Roman" w:eastAsia="Times New Roman" w:hAnsi="Times New Roman"/>
                <w:sz w:val="18"/>
                <w:szCs w:val="18"/>
                <w:color w:val="0000FF"/>
                <w:highlight w:val="white"/>
                <w:w w:val="99"/>
              </w:rPr>
            </w:pPr>
            <w:hyperlink r:id="rId35">
              <w:r>
                <w:rPr>
                  <w:rFonts w:ascii="Times New Roman" w:cs="Times New Roman" w:eastAsia="Times New Roman" w:hAnsi="Times New Roman"/>
                  <w:sz w:val="18"/>
                  <w:szCs w:val="18"/>
                  <w:color w:val="0000FF"/>
                  <w:highlight w:val="white"/>
                  <w:w w:val="99"/>
                </w:rPr>
                <w:t>Exhibit 10.7 to the Company’s Current Report on Form 8-K, filed with the SEC on June 30, 2021).</w:t>
              </w:r>
            </w:hyperlink>
          </w:p>
        </w:tc>
        <w:tc>
          <w:tcPr>
            <w:tcW w:w="20" w:type="dxa"/>
            <w:vAlign w:val="bottom"/>
          </w:tcPr>
          <w:p>
            <w:pPr>
              <w:spacing w:after="0"/>
              <w:rPr>
                <w:sz w:val="13"/>
                <w:szCs w:val="13"/>
                <w:color w:val="auto"/>
              </w:rPr>
            </w:pPr>
          </w:p>
        </w:tc>
        <w:tc>
          <w:tcPr>
            <w:tcW w:w="1600" w:type="dxa"/>
            <w:vAlign w:val="bottom"/>
            <w:tcBorders>
              <w:top w:val="single" w:sz="8" w:color="0000FF"/>
            </w:tcBorders>
            <w:gridSpan w:val="5"/>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(d)(xvii)</w:t>
            </w:r>
          </w:p>
        </w:tc>
        <w:tc>
          <w:tcPr>
            <w:tcW w:w="20" w:type="dxa"/>
            <w:vAlign w:val="bottom"/>
          </w:tcPr>
          <w:p>
            <w:pPr>
              <w:spacing w:after="0"/>
              <w:rPr>
                <w:sz w:val="19"/>
                <w:szCs w:val="19"/>
                <w:color w:val="auto"/>
              </w:rPr>
            </w:pPr>
          </w:p>
        </w:tc>
        <w:tc>
          <w:tcPr>
            <w:tcW w:w="9340" w:type="dxa"/>
            <w:vAlign w:val="bottom"/>
            <w:gridSpan w:val="35"/>
          </w:tcPr>
          <w:p>
            <w:pPr>
              <w:spacing w:after="0"/>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Form of Indemnification Agreement (incorporated by reference to Exhibit 10.8 to the Company’s Current Report on Form 8-K,</w:t>
              </w:r>
            </w:hyperlink>
          </w:p>
        </w:tc>
      </w:tr>
      <w:tr>
        <w:trPr>
          <w:trHeight w:val="156"/>
        </w:trPr>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20" w:type="dxa"/>
            <w:vAlign w:val="bottom"/>
            <w:tcBorders>
              <w:bottom w:val="single" w:sz="8" w:color="0000FF"/>
            </w:tcBorders>
            <w:gridSpan w:val="6"/>
          </w:tcPr>
          <w:p>
            <w:pPr>
              <w:spacing w:after="0" w:line="156" w:lineRule="exact"/>
              <w:rPr>
                <w:rFonts w:ascii="Times New Roman" w:cs="Times New Roman" w:eastAsia="Times New Roman" w:hAnsi="Times New Roman"/>
                <w:sz w:val="18"/>
                <w:szCs w:val="18"/>
                <w:color w:val="0000FF"/>
                <w:highlight w:val="white"/>
                <w:w w:val="99"/>
              </w:rPr>
            </w:pPr>
            <w:hyperlink r:id="rId36">
              <w:r>
                <w:rPr>
                  <w:rFonts w:ascii="Times New Roman" w:cs="Times New Roman" w:eastAsia="Times New Roman" w:hAnsi="Times New Roman"/>
                  <w:sz w:val="18"/>
                  <w:szCs w:val="18"/>
                  <w:color w:val="0000FF"/>
                  <w:highlight w:val="white"/>
                  <w:w w:val="99"/>
                </w:rPr>
                <w:t>filed with the SEC on June 30, 2021).</w:t>
              </w:r>
            </w:hyperlink>
          </w:p>
        </w:tc>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gridSpan w:val="3"/>
          </w:tcPr>
          <w:p>
            <w:pPr>
              <w:spacing w:after="0"/>
              <w:rPr>
                <w:sz w:val="13"/>
                <w:szCs w:val="13"/>
                <w:color w:val="auto"/>
              </w:rPr>
            </w:pPr>
          </w:p>
        </w:tc>
        <w:tc>
          <w:tcPr>
            <w:tcW w:w="18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1720" w:type="dxa"/>
            <w:vAlign w:val="bottom"/>
            <w:tcBorders>
              <w:top w:val="single" w:sz="8" w:color="0000FF"/>
            </w:tcBorders>
            <w:gridSpan w:val="8"/>
          </w:tcPr>
          <w:p>
            <w:pPr>
              <w:spacing w:after="0"/>
              <w:rPr>
                <w:sz w:val="13"/>
                <w:szCs w:val="13"/>
                <w:color w:val="auto"/>
              </w:rPr>
            </w:pPr>
          </w:p>
        </w:tc>
        <w:tc>
          <w:tcPr>
            <w:tcW w:w="360" w:type="dxa"/>
            <w:vAlign w:val="bottom"/>
            <w:tcBorders>
              <w:top w:val="single" w:sz="8" w:color="0000FF"/>
            </w:tcBorders>
            <w:gridSpan w:val="4"/>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(d)(xviii)</w:t>
            </w:r>
          </w:p>
        </w:tc>
        <w:tc>
          <w:tcPr>
            <w:tcW w:w="20" w:type="dxa"/>
            <w:vAlign w:val="bottom"/>
          </w:tcPr>
          <w:p>
            <w:pPr>
              <w:spacing w:after="0"/>
              <w:rPr>
                <w:sz w:val="18"/>
                <w:szCs w:val="18"/>
                <w:color w:val="auto"/>
              </w:rPr>
            </w:pPr>
          </w:p>
        </w:tc>
        <w:tc>
          <w:tcPr>
            <w:tcW w:w="9340" w:type="dxa"/>
            <w:vAlign w:val="bottom"/>
            <w:gridSpan w:val="35"/>
          </w:tcPr>
          <w:p>
            <w:pPr>
              <w:spacing w:after="0"/>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Letter Agreement, dated September 24, 2020, by and among FinTech Acquisition Corp. IV and certain of its security holders,</w:t>
              </w:r>
            </w:hyperlink>
          </w:p>
        </w:tc>
      </w:tr>
      <w:tr>
        <w:trPr>
          <w:trHeight w:val="189"/>
        </w:trPr>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340" w:type="dxa"/>
            <w:vAlign w:val="bottom"/>
            <w:gridSpan w:val="35"/>
          </w:tcPr>
          <w:p>
            <w:pPr>
              <w:spacing w:after="0" w:line="189" w:lineRule="exact"/>
              <w:rPr>
                <w:rFonts w:ascii="Times New Roman" w:cs="Times New Roman" w:eastAsia="Times New Roman" w:hAnsi="Times New Roman"/>
                <w:sz w:val="18"/>
                <w:szCs w:val="18"/>
                <w:color w:val="0000FF"/>
                <w:highlight w:val="white"/>
              </w:rPr>
            </w:pPr>
            <w:hyperlink r:id="rId37">
              <w:r>
                <w:rPr>
                  <w:rFonts w:ascii="Times New Roman" w:cs="Times New Roman" w:eastAsia="Times New Roman" w:hAnsi="Times New Roman"/>
                  <w:sz w:val="18"/>
                  <w:szCs w:val="18"/>
                  <w:color w:val="0000FF"/>
                  <w:highlight w:val="white"/>
                </w:rPr>
                <w:t>officers and directors (incorporated by reference to Exhibit 10.1 to FinTech Acquisition Corp. IV’s Current Report on Form 8-K,</w:t>
              </w:r>
            </w:hyperlink>
          </w:p>
        </w:tc>
      </w:tr>
      <w:tr>
        <w:trPr>
          <w:trHeight w:val="169"/>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6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highlight w:val="white"/>
                <w:w w:val="99"/>
              </w:rPr>
            </w:pPr>
            <w:hyperlink r:id="rId37">
              <w:r>
                <w:rPr>
                  <w:rFonts w:ascii="Times New Roman" w:cs="Times New Roman" w:eastAsia="Times New Roman" w:hAnsi="Times New Roman"/>
                  <w:sz w:val="18"/>
                  <w:szCs w:val="18"/>
                  <w:color w:val="0000FF"/>
                  <w:highlight w:val="white"/>
                  <w:w w:val="99"/>
                </w:rPr>
                <w:t>filed with the SEC on September 30, 2020).</w:t>
              </w:r>
            </w:hyperlink>
          </w:p>
        </w:tc>
        <w:tc>
          <w:tcPr>
            <w:tcW w:w="6160" w:type="dxa"/>
            <w:vAlign w:val="bottom"/>
            <w:tcBorders>
              <w:top w:val="single" w:sz="8" w:color="0000FF"/>
            </w:tcBorders>
            <w:gridSpan w:val="26"/>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19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(d)(xiv)</w:t>
            </w:r>
          </w:p>
        </w:tc>
        <w:tc>
          <w:tcPr>
            <w:tcW w:w="20" w:type="dxa"/>
            <w:vAlign w:val="bottom"/>
          </w:tcPr>
          <w:p>
            <w:pPr>
              <w:spacing w:after="0"/>
              <w:rPr>
                <w:sz w:val="17"/>
                <w:szCs w:val="17"/>
                <w:color w:val="auto"/>
              </w:rPr>
            </w:pPr>
          </w:p>
        </w:tc>
        <w:tc>
          <w:tcPr>
            <w:tcW w:w="9340" w:type="dxa"/>
            <w:vAlign w:val="bottom"/>
            <w:gridSpan w:val="35"/>
          </w:tcPr>
          <w:p>
            <w:pPr>
              <w:spacing w:after="0" w:line="196"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Employment Agreement, dated as of August 11, 2021, by and between Perella Weinberg Partners, PWP Employer LP and Peter</w:t>
              </w:r>
            </w:hyperlink>
          </w:p>
        </w:tc>
      </w:tr>
      <w:tr>
        <w:trPr>
          <w:trHeight w:val="189"/>
        </w:trPr>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340" w:type="dxa"/>
            <w:vAlign w:val="bottom"/>
            <w:gridSpan w:val="35"/>
          </w:tcPr>
          <w:p>
            <w:pPr>
              <w:spacing w:after="0" w:line="189" w:lineRule="exact"/>
              <w:rPr>
                <w:rFonts w:ascii="Times New Roman" w:cs="Times New Roman" w:eastAsia="Times New Roman" w:hAnsi="Times New Roman"/>
                <w:sz w:val="18"/>
                <w:szCs w:val="18"/>
                <w:color w:val="0000FF"/>
                <w:highlight w:val="white"/>
              </w:rPr>
            </w:pPr>
            <w:hyperlink r:id="rId38">
              <w:r>
                <w:rPr>
                  <w:rFonts w:ascii="Times New Roman" w:cs="Times New Roman" w:eastAsia="Times New Roman" w:hAnsi="Times New Roman"/>
                  <w:sz w:val="18"/>
                  <w:szCs w:val="18"/>
                  <w:color w:val="0000FF"/>
                  <w:highlight w:val="white"/>
                </w:rPr>
                <w:t>A. Weinberg (incorporated by reference to Exhibit 10.1 of the Company's Quarterly Report on Form 10-Q filed with the SEC on</w:t>
              </w:r>
            </w:hyperlink>
          </w:p>
        </w:tc>
      </w:tr>
      <w:tr>
        <w:trPr>
          <w:trHeight w:val="169"/>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highlight w:val="white"/>
                <w:w w:val="99"/>
              </w:rPr>
            </w:pPr>
            <w:hyperlink r:id="rId38">
              <w:r>
                <w:rPr>
                  <w:rFonts w:ascii="Times New Roman" w:cs="Times New Roman" w:eastAsia="Times New Roman" w:hAnsi="Times New Roman"/>
                  <w:sz w:val="18"/>
                  <w:szCs w:val="18"/>
                  <w:color w:val="0000FF"/>
                  <w:highlight w:val="white"/>
                  <w:w w:val="99"/>
                </w:rPr>
                <w:t>November 5, 2021).</w:t>
              </w:r>
            </w:hyperlink>
          </w:p>
        </w:tc>
        <w:tc>
          <w:tcPr>
            <w:tcW w:w="7800" w:type="dxa"/>
            <w:vAlign w:val="bottom"/>
            <w:tcBorders>
              <w:top w:val="single" w:sz="8" w:color="0000FF"/>
            </w:tcBorders>
            <w:gridSpan w:val="2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10"/>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(d)(xv)</w:t>
            </w:r>
          </w:p>
        </w:tc>
        <w:tc>
          <w:tcPr>
            <w:tcW w:w="20" w:type="dxa"/>
            <w:vAlign w:val="bottom"/>
          </w:tcPr>
          <w:p>
            <w:pPr>
              <w:spacing w:after="0"/>
              <w:rPr>
                <w:sz w:val="18"/>
                <w:szCs w:val="18"/>
                <w:color w:val="auto"/>
              </w:rPr>
            </w:pPr>
          </w:p>
        </w:tc>
        <w:tc>
          <w:tcPr>
            <w:tcW w:w="9340" w:type="dxa"/>
            <w:vAlign w:val="bottom"/>
            <w:gridSpan w:val="35"/>
          </w:tcPr>
          <w:p>
            <w:pPr>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Employment Agreement, dated as of August 11, 2021, by and between Perella Weinberg Partners, PWP Employer LP and</w:t>
              </w:r>
            </w:hyperlink>
          </w:p>
        </w:tc>
      </w:tr>
      <w:tr>
        <w:trPr>
          <w:trHeight w:val="20"/>
        </w:trPr>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20" w:type="dxa"/>
            <w:vAlign w:val="bottom"/>
            <w:gridSpan w:val="6"/>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720" w:type="dxa"/>
            <w:vAlign w:val="bottom"/>
            <w:gridSpan w:val="8"/>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5"/>
        </w:trPr>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gridSpan w:val="35"/>
          </w:tcPr>
          <w:p>
            <w:pPr>
              <w:spacing w:after="0" w:line="156"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Andrew Bednar (incorporated by reference to Exhibit 10.2 of the Company's Quarterly Report on Form 10-Q filed with the SEC</w:t>
              </w:r>
            </w:hyperlink>
          </w:p>
        </w:tc>
      </w:tr>
      <w:tr>
        <w:trPr>
          <w:trHeight w:val="169"/>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39">
              <w:r>
                <w:rPr>
                  <w:rFonts w:ascii="Times New Roman" w:cs="Times New Roman" w:eastAsia="Times New Roman" w:hAnsi="Times New Roman"/>
                  <w:sz w:val="18"/>
                  <w:szCs w:val="18"/>
                  <w:color w:val="0000FF"/>
                  <w:w w:val="99"/>
                </w:rPr>
                <w:t>on November 5, 2021).</w:t>
              </w:r>
            </w:hyperlink>
          </w:p>
        </w:tc>
        <w:tc>
          <w:tcPr>
            <w:tcW w:w="7620" w:type="dxa"/>
            <w:vAlign w:val="bottom"/>
            <w:tcBorders>
              <w:top w:val="single" w:sz="8" w:color="0000FF"/>
            </w:tcBorders>
            <w:gridSpan w:val="30"/>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96"/>
        </w:trPr>
        <w:tc>
          <w:tcPr>
            <w:tcW w:w="19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(d)(xvi)</w:t>
            </w:r>
          </w:p>
        </w:tc>
        <w:tc>
          <w:tcPr>
            <w:tcW w:w="20" w:type="dxa"/>
            <w:vAlign w:val="bottom"/>
          </w:tcPr>
          <w:p>
            <w:pPr>
              <w:spacing w:after="0"/>
              <w:rPr>
                <w:sz w:val="17"/>
                <w:szCs w:val="17"/>
                <w:color w:val="auto"/>
              </w:rPr>
            </w:pPr>
          </w:p>
        </w:tc>
        <w:tc>
          <w:tcPr>
            <w:tcW w:w="9340" w:type="dxa"/>
            <w:vAlign w:val="bottom"/>
            <w:gridSpan w:val="35"/>
          </w:tcPr>
          <w:p>
            <w:pPr>
              <w:spacing w:after="0" w:line="196"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Employment Agreement, dated as of August 11, 2021, by and between Perella Weinberg Partners, PWP Employer LP and</w:t>
              </w:r>
            </w:hyperlink>
          </w:p>
        </w:tc>
      </w:tr>
      <w:tr>
        <w:trPr>
          <w:trHeight w:val="189"/>
        </w:trPr>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340" w:type="dxa"/>
            <w:vAlign w:val="bottom"/>
            <w:gridSpan w:val="35"/>
          </w:tcPr>
          <w:p>
            <w:pPr>
              <w:spacing w:after="0" w:line="189" w:lineRule="exact"/>
              <w:rPr>
                <w:rFonts w:ascii="Times New Roman" w:cs="Times New Roman" w:eastAsia="Times New Roman" w:hAnsi="Times New Roman"/>
                <w:sz w:val="18"/>
                <w:szCs w:val="18"/>
                <w:color w:val="0000FF"/>
                <w:highlight w:val="white"/>
              </w:rPr>
            </w:pPr>
            <w:hyperlink r:id="rId40">
              <w:r>
                <w:rPr>
                  <w:rFonts w:ascii="Times New Roman" w:cs="Times New Roman" w:eastAsia="Times New Roman" w:hAnsi="Times New Roman"/>
                  <w:sz w:val="18"/>
                  <w:szCs w:val="18"/>
                  <w:color w:val="0000FF"/>
                  <w:highlight w:val="white"/>
                </w:rPr>
                <w:t>Dietrich Becker (incorporated by reference to Exhibit 10.3 of the Company's Quarterly Report on Form 10-Q filed with the SEC</w:t>
              </w:r>
            </w:hyperlink>
          </w:p>
        </w:tc>
      </w:tr>
      <w:tr>
        <w:trPr>
          <w:trHeight w:val="169"/>
        </w:trPr>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highlight w:val="white"/>
                <w:w w:val="99"/>
              </w:rPr>
            </w:pPr>
            <w:hyperlink r:id="rId40">
              <w:r>
                <w:rPr>
                  <w:rFonts w:ascii="Times New Roman" w:cs="Times New Roman" w:eastAsia="Times New Roman" w:hAnsi="Times New Roman"/>
                  <w:sz w:val="18"/>
                  <w:szCs w:val="18"/>
                  <w:color w:val="0000FF"/>
                  <w:highlight w:val="white"/>
                  <w:w w:val="99"/>
                </w:rPr>
                <w:t>on November 5, 2021).</w:t>
              </w:r>
            </w:hyperlink>
          </w:p>
        </w:tc>
        <w:tc>
          <w:tcPr>
            <w:tcW w:w="7600" w:type="dxa"/>
            <w:vAlign w:val="bottom"/>
            <w:tcBorders>
              <w:top w:val="single" w:sz="8" w:color="0000FF"/>
            </w:tcBorders>
            <w:gridSpan w:val="29"/>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10"/>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(d)(xvii)</w:t>
            </w:r>
          </w:p>
        </w:tc>
        <w:tc>
          <w:tcPr>
            <w:tcW w:w="20" w:type="dxa"/>
            <w:vAlign w:val="bottom"/>
          </w:tcPr>
          <w:p>
            <w:pPr>
              <w:spacing w:after="0"/>
              <w:rPr>
                <w:sz w:val="18"/>
                <w:szCs w:val="18"/>
                <w:color w:val="auto"/>
              </w:rPr>
            </w:pPr>
          </w:p>
        </w:tc>
        <w:tc>
          <w:tcPr>
            <w:tcW w:w="9340" w:type="dxa"/>
            <w:vAlign w:val="bottom"/>
            <w:gridSpan w:val="35"/>
          </w:tcPr>
          <w:p>
            <w:pPr>
              <w:spacing w:after="0"/>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Form of Director Restricted Stock Unit Award Agreement (One-Time Award) (incorporated by reference to Exhibit 10.4 of the</w:t>
              </w:r>
            </w:hyperlink>
          </w:p>
        </w:tc>
      </w:tr>
      <w:tr>
        <w:trPr>
          <w:trHeight w:val="155"/>
        </w:trPr>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40" w:type="dxa"/>
            <w:vAlign w:val="bottom"/>
            <w:tcBorders>
              <w:bottom w:val="single" w:sz="8" w:color="0000FF"/>
            </w:tcBorders>
            <w:gridSpan w:val="12"/>
          </w:tcPr>
          <w:p>
            <w:pPr>
              <w:spacing w:after="0" w:line="156" w:lineRule="exact"/>
              <w:rPr>
                <w:rFonts w:ascii="Times New Roman" w:cs="Times New Roman" w:eastAsia="Times New Roman" w:hAnsi="Times New Roman"/>
                <w:sz w:val="18"/>
                <w:szCs w:val="18"/>
                <w:color w:val="0000FF"/>
                <w:highlight w:val="white"/>
                <w:w w:val="99"/>
              </w:rPr>
            </w:pPr>
            <w:hyperlink r:id="rId41">
              <w:r>
                <w:rPr>
                  <w:rFonts w:ascii="Times New Roman" w:cs="Times New Roman" w:eastAsia="Times New Roman" w:hAnsi="Times New Roman"/>
                  <w:sz w:val="18"/>
                  <w:szCs w:val="18"/>
                  <w:color w:val="0000FF"/>
                  <w:highlight w:val="white"/>
                  <w:w w:val="99"/>
                </w:rPr>
                <w:t>Company's Quarterly Report on Form 10-Q filed with the SEC on November 5, 2021).</w:t>
              </w:r>
            </w:hyperlink>
          </w:p>
        </w:tc>
        <w:tc>
          <w:tcPr>
            <w:tcW w:w="20" w:type="dxa"/>
            <w:vAlign w:val="bottom"/>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208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8"/>
          </w:tcPr>
          <w:p>
            <w:pPr>
              <w:spacing w:after="0"/>
              <w:rPr>
                <w:sz w:val="13"/>
                <w:szCs w:val="13"/>
                <w:color w:val="auto"/>
              </w:rPr>
            </w:pPr>
          </w:p>
        </w:tc>
      </w:tr>
      <w:tr>
        <w:trPr>
          <w:trHeight w:val="223"/>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(d)(xviii)</w:t>
            </w:r>
          </w:p>
        </w:tc>
        <w:tc>
          <w:tcPr>
            <w:tcW w:w="20" w:type="dxa"/>
            <w:vAlign w:val="bottom"/>
          </w:tcPr>
          <w:p>
            <w:pPr>
              <w:spacing w:after="0"/>
              <w:rPr>
                <w:sz w:val="19"/>
                <w:szCs w:val="19"/>
                <w:color w:val="auto"/>
              </w:rPr>
            </w:pPr>
          </w:p>
        </w:tc>
        <w:tc>
          <w:tcPr>
            <w:tcW w:w="9340" w:type="dxa"/>
            <w:vAlign w:val="bottom"/>
            <w:gridSpan w:val="35"/>
          </w:tcPr>
          <w:p>
            <w:pPr>
              <w:spacing w:after="0"/>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Form of Director Restricted Stock Unit Award Agreement (Annual Base Retainer Award) (incorporated by reference to Exhibit</w:t>
              </w:r>
            </w:hyperlink>
          </w:p>
        </w:tc>
      </w:tr>
      <w:tr>
        <w:trPr>
          <w:trHeight w:val="156"/>
        </w:trPr>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color w:val="0000FF"/>
                </w:rPr>
                <w:t xml:space="preserve"> of the Company's Quarterly Report on Form 10-Q filed with the SEC on November 5, 2021).</w:t>
              </w:r>
            </w:hyperlink>
          </w:p>
        </w:tc>
        <w:tc>
          <w:tcPr>
            <w:tcW w:w="180" w:type="dxa"/>
            <w:vAlign w:val="bottom"/>
            <w:gridSpan w:val="8"/>
          </w:tcPr>
          <w:p>
            <w:pPr>
              <w:spacing w:after="0"/>
              <w:rPr>
                <w:sz w:val="13"/>
                <w:szCs w:val="13"/>
                <w:color w:val="auto"/>
              </w:rPr>
            </w:pPr>
          </w:p>
        </w:tc>
      </w:tr>
      <w:tr>
        <w:trPr>
          <w:trHeight w:val="20"/>
        </w:trPr>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20" w:type="dxa"/>
            <w:vAlign w:val="bottom"/>
            <w:gridSpan w:val="6"/>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2280" w:type="dxa"/>
            <w:vAlign w:val="bottom"/>
            <w:gridSpan w:val="21"/>
          </w:tcPr>
          <w:p>
            <w:pPr>
              <w:spacing w:after="0" w:line="20" w:lineRule="exact"/>
              <w:rPr>
                <w:sz w:val="1"/>
                <w:szCs w:val="1"/>
                <w:color w:val="auto"/>
              </w:rPr>
            </w:pPr>
          </w:p>
        </w:tc>
      </w:tr>
      <w:tr>
        <w:trPr>
          <w:trHeight w:val="223"/>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(d)(xix)</w:t>
            </w:r>
          </w:p>
        </w:tc>
        <w:tc>
          <w:tcPr>
            <w:tcW w:w="20" w:type="dxa"/>
            <w:vAlign w:val="bottom"/>
          </w:tcPr>
          <w:p>
            <w:pPr>
              <w:spacing w:after="0"/>
              <w:rPr>
                <w:sz w:val="19"/>
                <w:szCs w:val="19"/>
                <w:color w:val="auto"/>
              </w:rPr>
            </w:pPr>
          </w:p>
        </w:tc>
        <w:tc>
          <w:tcPr>
            <w:tcW w:w="9340" w:type="dxa"/>
            <w:vAlign w:val="bottom"/>
            <w:gridSpan w:val="35"/>
          </w:tcPr>
          <w:p>
            <w:pPr>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 xml:space="preserve">Form of Dealer Manager Agreement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10.18 to the Registration Statement on Form S-4 filed</w:t>
            </w:r>
          </w:p>
        </w:tc>
      </w:tr>
      <w:tr>
        <w:trPr>
          <w:trHeight w:val="20"/>
        </w:trPr>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4980" w:type="dxa"/>
            <w:vAlign w:val="bottom"/>
            <w:gridSpan w:val="24"/>
          </w:tcPr>
          <w:p>
            <w:pPr>
              <w:spacing w:after="0" w:line="20" w:lineRule="exact"/>
              <w:rPr>
                <w:sz w:val="1"/>
                <w:szCs w:val="1"/>
                <w:color w:val="auto"/>
              </w:rPr>
            </w:pPr>
          </w:p>
        </w:tc>
      </w:tr>
      <w:tr>
        <w:trPr>
          <w:trHeight w:val="205"/>
        </w:trPr>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40" w:type="dxa"/>
            <w:vAlign w:val="bottom"/>
            <w:gridSpan w:val="35"/>
          </w:tcPr>
          <w:p>
            <w:pPr>
              <w:spacing w:after="0" w:line="205" w:lineRule="exact"/>
              <w:rPr>
                <w:sz w:val="20"/>
                <w:szCs w:val="20"/>
                <w:color w:val="auto"/>
              </w:rPr>
            </w:pPr>
            <w:r>
              <w:rPr>
                <w:rFonts w:ascii="Times New Roman" w:cs="Times New Roman" w:eastAsia="Times New Roman" w:hAnsi="Times New Roman"/>
                <w:sz w:val="18"/>
                <w:szCs w:val="18"/>
                <w:color w:val="auto"/>
              </w:rPr>
              <w:t>by the Company with the SEC on July 22, 2022).</w:t>
            </w:r>
          </w:p>
        </w:tc>
      </w:tr>
      <w:tr>
        <w:trPr>
          <w:trHeight w:val="194"/>
        </w:trPr>
        <w:tc>
          <w:tcPr>
            <w:tcW w:w="19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(d)(xx)</w:t>
            </w:r>
          </w:p>
        </w:tc>
        <w:tc>
          <w:tcPr>
            <w:tcW w:w="20" w:type="dxa"/>
            <w:vAlign w:val="bottom"/>
          </w:tcPr>
          <w:p>
            <w:pPr>
              <w:spacing w:after="0"/>
              <w:rPr>
                <w:sz w:val="16"/>
                <w:szCs w:val="16"/>
                <w:color w:val="auto"/>
              </w:rPr>
            </w:pPr>
          </w:p>
        </w:tc>
        <w:tc>
          <w:tcPr>
            <w:tcW w:w="9340" w:type="dxa"/>
            <w:vAlign w:val="bottom"/>
            <w:gridSpan w:val="35"/>
          </w:tcPr>
          <w:p>
            <w:pPr>
              <w:spacing w:after="0" w:line="194"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Tender and Support Agreemen</w:t>
              </w:r>
            </w:hyperlink>
            <w:r>
              <w:rPr>
                <w:rFonts w:ascii="Times New Roman" w:cs="Times New Roman" w:eastAsia="Times New Roman" w:hAnsi="Times New Roman"/>
                <w:sz w:val="18"/>
                <w:szCs w:val="18"/>
                <w:color w:val="000000"/>
              </w:rPr>
              <w:t>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dated as of July 21, 2022, by and between the Company and each of the persons listed on</w:t>
            </w:r>
          </w:p>
        </w:tc>
      </w:tr>
      <w:tr>
        <w:trPr>
          <w:trHeight w:val="151"/>
        </w:trPr>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Borders>
              <w:top w:val="single" w:sz="8" w:color="0000FF"/>
            </w:tcBorders>
            <w:gridSpan w:val="4"/>
          </w:tcPr>
          <w:p>
            <w:pPr>
              <w:spacing w:after="0" w:line="150" w:lineRule="exact"/>
              <w:rPr>
                <w:sz w:val="20"/>
                <w:szCs w:val="20"/>
                <w:color w:val="auto"/>
              </w:rPr>
            </w:pPr>
            <w:r>
              <w:rPr>
                <w:rFonts w:ascii="Times New Roman" w:cs="Times New Roman" w:eastAsia="Times New Roman" w:hAnsi="Times New Roman"/>
                <w:sz w:val="17"/>
                <w:szCs w:val="17"/>
                <w:color w:val="auto"/>
                <w:w w:val="97"/>
              </w:rPr>
              <w:t>Schedule A thereto (incorporated</w:t>
            </w:r>
          </w:p>
        </w:tc>
        <w:tc>
          <w:tcPr>
            <w:tcW w:w="7120" w:type="dxa"/>
            <w:vAlign w:val="bottom"/>
            <w:gridSpan w:val="31"/>
          </w:tcPr>
          <w:p>
            <w:pPr>
              <w:ind w:left="220"/>
              <w:spacing w:after="0" w:line="150" w:lineRule="exact"/>
              <w:rPr>
                <w:sz w:val="20"/>
                <w:szCs w:val="20"/>
                <w:color w:val="auto"/>
              </w:rPr>
            </w:pPr>
            <w:r>
              <w:rPr>
                <w:rFonts w:ascii="Times New Roman" w:cs="Times New Roman" w:eastAsia="Times New Roman" w:hAnsi="Times New Roman"/>
                <w:sz w:val="17"/>
                <w:szCs w:val="17"/>
                <w:color w:val="auto"/>
              </w:rPr>
              <w:t>by reference to exhibit 10.19 to the Registration Statement on Form S-4 filed by the Company</w:t>
            </w:r>
          </w:p>
        </w:tc>
      </w:tr>
      <w:tr>
        <w:trPr>
          <w:trHeight w:val="230"/>
        </w:trPr>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4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with the SEC on July 22, 2022).</w:t>
            </w:r>
          </w:p>
        </w:tc>
      </w:tr>
      <w:tr>
        <w:trPr>
          <w:trHeight w:val="230"/>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w:t>
            </w:r>
          </w:p>
        </w:tc>
        <w:tc>
          <w:tcPr>
            <w:tcW w:w="20" w:type="dxa"/>
            <w:vAlign w:val="bottom"/>
          </w:tcPr>
          <w:p>
            <w:pPr>
              <w:spacing w:after="0"/>
              <w:rPr>
                <w:sz w:val="19"/>
                <w:szCs w:val="19"/>
                <w:color w:val="auto"/>
              </w:rPr>
            </w:pPr>
          </w:p>
        </w:tc>
        <w:tc>
          <w:tcPr>
            <w:tcW w:w="934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194"/>
        </w:trPr>
        <w:tc>
          <w:tcPr>
            <w:tcW w:w="19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(h)</w:t>
            </w:r>
          </w:p>
        </w:tc>
        <w:tc>
          <w:tcPr>
            <w:tcW w:w="20" w:type="dxa"/>
            <w:vAlign w:val="bottom"/>
          </w:tcPr>
          <w:p>
            <w:pPr>
              <w:spacing w:after="0"/>
              <w:rPr>
                <w:sz w:val="16"/>
                <w:szCs w:val="16"/>
                <w:color w:val="auto"/>
              </w:rPr>
            </w:pPr>
          </w:p>
        </w:tc>
        <w:tc>
          <w:tcPr>
            <w:tcW w:w="9340" w:type="dxa"/>
            <w:vAlign w:val="bottom"/>
            <w:gridSpan w:val="35"/>
          </w:tcPr>
          <w:p>
            <w:pPr>
              <w:spacing w:after="0" w:line="194"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 xml:space="preserve">Tax Opinion of Skadden, Arps, Slate, Meagher &amp; Flom LLP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8.1 to the Registration</w:t>
            </w:r>
          </w:p>
        </w:tc>
      </w:tr>
      <w:tr>
        <w:trPr>
          <w:trHeight w:val="228"/>
        </w:trPr>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6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auto"/>
              </w:rPr>
              <w:t>Statement on Form S-4 filed by the Company with the SEC</w:t>
            </w:r>
          </w:p>
        </w:tc>
        <w:tc>
          <w:tcPr>
            <w:tcW w:w="49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on July 22, 2022).</w:t>
            </w:r>
          </w:p>
        </w:tc>
      </w:tr>
    </w:tbl>
    <w:p>
      <w:pPr>
        <w:spacing w:after="0" w:line="216"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Filing Fee Exhibit.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Filing Fee Table.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Information Required By Schedule 13E-3.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7" w:name="page8"/>
    <w:bookmarkEnd w:id="7"/>
    <w:p>
      <w:pPr>
        <w:spacing w:after="0" w:line="13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2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PERELLA WEINBERG PARTNERS</w:t>
      </w:r>
    </w:p>
    <w:p>
      <w:pPr>
        <w:spacing w:after="0" w:line="293" w:lineRule="exact"/>
        <w:rPr>
          <w:sz w:val="20"/>
          <w:szCs w:val="20"/>
          <w:color w:val="auto"/>
        </w:rPr>
      </w:pPr>
    </w:p>
    <w:p>
      <w:pPr>
        <w:ind w:left="5860"/>
        <w:spacing w:after="0"/>
        <w:tabs>
          <w:tab w:leader="none" w:pos="6320" w:val="left"/>
        </w:tabs>
        <w:rPr>
          <w:sz w:val="20"/>
          <w:szCs w:val="20"/>
          <w:color w:val="auto"/>
        </w:rPr>
      </w:pPr>
      <w:r>
        <w:rPr>
          <w:rFonts w:ascii="Times New Roman" w:cs="Times New Roman" w:eastAsia="Times New Roman" w:hAnsi="Times New Roman"/>
          <w:sz w:val="18"/>
          <w:szCs w:val="18"/>
          <w:color w:val="auto"/>
        </w:rPr>
        <w:t>By:</w:t>
        <w:tab/>
        <w:t>/s/ Gary S.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17145</wp:posOffset>
            </wp:positionV>
            <wp:extent cx="31203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Gary S. Barancik</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July 22, 2022</w:t>
      </w:r>
    </w:p>
    <w:p>
      <w:pPr>
        <w:sectPr>
          <w:pgSz w:w="11900" w:h="16838" w:orient="portrait"/>
          <w:cols w:equalWidth="0" w:num="1">
            <w:col w:w="10540"/>
          </w:cols>
          <w:pgMar w:left="320" w:top="1440" w:right="1039" w:bottom="1440" w:gutter="0" w:footer="0" w:header="0"/>
        </w:sectPr>
      </w:pPr>
    </w:p>
    <w:bookmarkStart w:id="8" w:name="page9"/>
    <w:bookmarkEnd w:id="8"/>
    <w:p>
      <w:pPr>
        <w:ind w:left="1036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18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Schedule TO</w:t>
      </w:r>
    </w:p>
    <w:p>
      <w:pPr>
        <w:spacing w:after="0" w:line="1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(Form Type)</w:t>
      </w:r>
    </w:p>
    <w:p>
      <w:pPr>
        <w:spacing w:after="0" w:line="16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Table 1—Transaction Valuation</w:t>
      </w: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1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Transaction Valuation</w:t>
            </w:r>
            <w:r>
              <w:rPr>
                <w:rFonts w:ascii="Times New Roman" w:cs="Times New Roman" w:eastAsia="Times New Roman" w:hAnsi="Times New Roman"/>
                <w:sz w:val="9"/>
                <w:szCs w:val="9"/>
                <w:b w:val="1"/>
                <w:bCs w:val="1"/>
                <w:color w:val="auto"/>
              </w:rPr>
              <w:t>(1)</w:t>
            </w:r>
          </w:p>
        </w:tc>
        <w:tc>
          <w:tcPr>
            <w:tcW w:w="1500" w:type="dxa"/>
            <w:vAlign w:val="bottom"/>
            <w:gridSpan w:val="2"/>
          </w:tcPr>
          <w:p>
            <w:pPr>
              <w:jc w:val="center"/>
              <w:ind w:left="104"/>
              <w:spacing w:after="0"/>
              <w:rPr>
                <w:sz w:val="20"/>
                <w:szCs w:val="20"/>
                <w:color w:val="auto"/>
              </w:rPr>
            </w:pPr>
            <w:r>
              <w:rPr>
                <w:rFonts w:ascii="Times New Roman" w:cs="Times New Roman" w:eastAsia="Times New Roman" w:hAnsi="Times New Roman"/>
                <w:sz w:val="14"/>
                <w:szCs w:val="14"/>
                <w:b w:val="1"/>
                <w:bCs w:val="1"/>
                <w:color w:val="auto"/>
                <w:w w:val="99"/>
              </w:rPr>
              <w:t>Fee Rate</w:t>
            </w:r>
          </w:p>
        </w:tc>
        <w:tc>
          <w:tcPr>
            <w:tcW w:w="560" w:type="dxa"/>
            <w:vAlign w:val="bottom"/>
          </w:tcPr>
          <w:p>
            <w:pPr>
              <w:spacing w:after="0"/>
              <w:rPr>
                <w:sz w:val="17"/>
                <w:szCs w:val="17"/>
                <w:color w:val="auto"/>
              </w:rPr>
            </w:pPr>
          </w:p>
        </w:tc>
        <w:tc>
          <w:tcPr>
            <w:tcW w:w="18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Amount of Filing Fee</w:t>
            </w:r>
            <w:r>
              <w:rPr>
                <w:rFonts w:ascii="Times New Roman" w:cs="Times New Roman" w:eastAsia="Times New Roman" w:hAnsi="Times New Roman"/>
                <w:sz w:val="9"/>
                <w:szCs w:val="9"/>
                <w:b w:val="1"/>
                <w:bCs w:val="1"/>
                <w:color w:val="auto"/>
              </w:rPr>
              <w:t>(2)</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4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400" w:type="dxa"/>
            <w:vAlign w:val="bottom"/>
            <w:tcBorders>
              <w:right w:val="single" w:sz="8" w:color="auto"/>
            </w:tcBorders>
          </w:tcPr>
          <w:p>
            <w:pPr>
              <w:spacing w:after="0"/>
              <w:rPr>
                <w:sz w:val="19"/>
                <w:szCs w:val="19"/>
                <w:color w:val="auto"/>
              </w:rPr>
            </w:pPr>
          </w:p>
        </w:tc>
        <w:tc>
          <w:tcPr>
            <w:tcW w:w="2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Fees to Be Paid</w:t>
            </w:r>
          </w:p>
        </w:tc>
        <w:tc>
          <w:tcPr>
            <w:tcW w:w="180" w:type="dxa"/>
            <w:vAlign w:val="bottom"/>
            <w:tcBorders>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$5,115,483.75</w:t>
            </w:r>
          </w:p>
        </w:tc>
        <w:tc>
          <w:tcPr>
            <w:tcW w:w="320" w:type="dxa"/>
            <w:vAlign w:val="bottom"/>
            <w:tcBorders>
              <w:bottom w:val="single" w:sz="8" w:color="auto"/>
            </w:tcBorders>
          </w:tcPr>
          <w:p>
            <w:pPr>
              <w:spacing w:after="0"/>
              <w:rPr>
                <w:sz w:val="19"/>
                <w:szCs w:val="19"/>
                <w:color w:val="auto"/>
              </w:rPr>
            </w:pPr>
          </w:p>
        </w:tc>
        <w:tc>
          <w:tcPr>
            <w:tcW w:w="2060" w:type="dxa"/>
            <w:vAlign w:val="bottom"/>
            <w:tcBorders>
              <w:bottom w:val="single" w:sz="8" w:color="auto"/>
              <w:right w:val="single" w:sz="8" w:color="auto"/>
            </w:tcBorders>
            <w:gridSpan w:val="3"/>
          </w:tcPr>
          <w:p>
            <w:pPr>
              <w:jc w:val="center"/>
              <w:ind w:right="288"/>
              <w:spacing w:after="0"/>
              <w:rPr>
                <w:sz w:val="20"/>
                <w:szCs w:val="20"/>
                <w:color w:val="auto"/>
              </w:rPr>
            </w:pPr>
            <w:r>
              <w:rPr>
                <w:rFonts w:ascii="Times New Roman" w:cs="Times New Roman" w:eastAsia="Times New Roman" w:hAnsi="Times New Roman"/>
                <w:sz w:val="18"/>
                <w:szCs w:val="18"/>
                <w:color w:val="auto"/>
                <w:w w:val="99"/>
              </w:rPr>
              <w:t>$92.70 per $1,000,000</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gridSpan w:val="2"/>
          </w:tcPr>
          <w:p>
            <w:pPr>
              <w:jc w:val="center"/>
              <w:ind w:right="288"/>
              <w:spacing w:after="0"/>
              <w:rPr>
                <w:sz w:val="20"/>
                <w:szCs w:val="20"/>
                <w:color w:val="auto"/>
              </w:rPr>
            </w:pPr>
            <w:r>
              <w:rPr>
                <w:rFonts w:ascii="Times New Roman" w:cs="Times New Roman" w:eastAsia="Times New Roman" w:hAnsi="Times New Roman"/>
                <w:sz w:val="18"/>
                <w:szCs w:val="18"/>
                <w:color w:val="auto"/>
              </w:rPr>
              <w:t>$474.21</w:t>
            </w: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0" w:type="dxa"/>
            <w:vAlign w:val="bottom"/>
            <w:tcBorders>
              <w:right w:val="single" w:sz="8" w:color="auto"/>
            </w:tcBorders>
          </w:tcPr>
          <w:p>
            <w:pPr>
              <w:spacing w:after="0"/>
              <w:rPr>
                <w:sz w:val="19"/>
                <w:szCs w:val="19"/>
                <w:color w:val="auto"/>
              </w:rPr>
            </w:pPr>
          </w:p>
        </w:tc>
        <w:tc>
          <w:tcPr>
            <w:tcW w:w="2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Fees Previously Paid</w:t>
            </w:r>
          </w:p>
        </w:tc>
        <w:tc>
          <w:tcPr>
            <w:tcW w:w="1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0" w:type="dxa"/>
            <w:vAlign w:val="bottom"/>
            <w:tcBorders>
              <w:right w:val="single" w:sz="8" w:color="auto"/>
            </w:tcBorders>
          </w:tcPr>
          <w:p>
            <w:pPr>
              <w:spacing w:after="0"/>
              <w:rPr>
                <w:sz w:val="19"/>
                <w:szCs w:val="19"/>
                <w:color w:val="auto"/>
              </w:rPr>
            </w:pPr>
          </w:p>
        </w:tc>
        <w:tc>
          <w:tcPr>
            <w:tcW w:w="2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Transaction Valuation</w:t>
            </w:r>
          </w:p>
        </w:tc>
        <w:tc>
          <w:tcPr>
            <w:tcW w:w="1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gridSpan w:val="2"/>
          </w:tcPr>
          <w:p>
            <w:pPr>
              <w:jc w:val="center"/>
              <w:ind w:right="288"/>
              <w:spacing w:after="0"/>
              <w:rPr>
                <w:sz w:val="20"/>
                <w:szCs w:val="20"/>
                <w:color w:val="auto"/>
              </w:rPr>
            </w:pPr>
            <w:r>
              <w:rPr>
                <w:rFonts w:ascii="Times New Roman" w:cs="Times New Roman" w:eastAsia="Times New Roman" w:hAnsi="Times New Roman"/>
                <w:sz w:val="18"/>
                <w:szCs w:val="18"/>
                <w:color w:val="auto"/>
              </w:rPr>
              <w:t>$5,115,483.75</w:t>
            </w: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0" w:type="dxa"/>
            <w:vAlign w:val="bottom"/>
            <w:tcBorders>
              <w:right w:val="single" w:sz="8" w:color="auto"/>
            </w:tcBorders>
          </w:tcPr>
          <w:p>
            <w:pPr>
              <w:spacing w:after="0"/>
              <w:rPr>
                <w:sz w:val="19"/>
                <w:szCs w:val="19"/>
                <w:color w:val="auto"/>
              </w:rPr>
            </w:pPr>
          </w:p>
        </w:tc>
        <w:tc>
          <w:tcPr>
            <w:tcW w:w="2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Fees Due for Filing</w:t>
            </w:r>
          </w:p>
        </w:tc>
        <w:tc>
          <w:tcPr>
            <w:tcW w:w="1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gridSpan w:val="2"/>
          </w:tcPr>
          <w:p>
            <w:pPr>
              <w:jc w:val="center"/>
              <w:ind w:right="288"/>
              <w:spacing w:after="0"/>
              <w:rPr>
                <w:sz w:val="20"/>
                <w:szCs w:val="20"/>
                <w:color w:val="auto"/>
              </w:rPr>
            </w:pPr>
            <w:r>
              <w:rPr>
                <w:rFonts w:ascii="Times New Roman" w:cs="Times New Roman" w:eastAsia="Times New Roman" w:hAnsi="Times New Roman"/>
                <w:sz w:val="18"/>
                <w:szCs w:val="18"/>
                <w:color w:val="auto"/>
              </w:rPr>
              <w:t>$474.21</w:t>
            </w: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1400" w:type="dxa"/>
            <w:vAlign w:val="bottom"/>
            <w:tcBorders>
              <w:right w:val="single" w:sz="8" w:color="auto"/>
            </w:tcBorders>
          </w:tcPr>
          <w:p>
            <w:pPr>
              <w:spacing w:after="0"/>
              <w:rPr>
                <w:sz w:val="24"/>
                <w:szCs w:val="24"/>
                <w:color w:val="auto"/>
              </w:rPr>
            </w:pPr>
          </w:p>
        </w:tc>
        <w:tc>
          <w:tcPr>
            <w:tcW w:w="2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1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gridSpan w:val="2"/>
          </w:tcPr>
          <w:p>
            <w:pPr>
              <w:jc w:val="center"/>
              <w:ind w:right="288"/>
              <w:spacing w:after="0" w:line="304" w:lineRule="exact"/>
              <w:rPr>
                <w:sz w:val="20"/>
                <w:szCs w:val="20"/>
                <w:color w:val="auto"/>
              </w:rPr>
            </w:pPr>
            <w:r>
              <w:rPr>
                <w:rFonts w:ascii="Times New Roman" w:cs="Times New Roman" w:eastAsia="Times New Roman" w:hAnsi="Times New Roman"/>
                <w:sz w:val="22"/>
                <w:szCs w:val="22"/>
                <w:color w:val="auto"/>
                <w:w w:val="95"/>
              </w:rPr>
              <w:t>$</w:t>
            </w:r>
            <w:r>
              <w:rPr>
                <w:rFonts w:ascii="Times New Roman" w:cs="Times New Roman" w:eastAsia="Times New Roman" w:hAnsi="Times New Roman"/>
                <w:sz w:val="17"/>
                <w:szCs w:val="17"/>
                <w:color w:val="auto"/>
                <w:w w:val="95"/>
              </w:rPr>
              <w:t>474.21</w:t>
            </w:r>
            <w:r>
              <w:rPr>
                <w:rFonts w:ascii="Times New Roman" w:cs="Times New Roman" w:eastAsia="Times New Roman" w:hAnsi="Times New Roman"/>
                <w:sz w:val="28"/>
                <w:szCs w:val="28"/>
                <w:color w:val="auto"/>
                <w:w w:val="95"/>
                <w:vertAlign w:val="superscript"/>
              </w:rPr>
              <w:t>(3)</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00" w:type="dxa"/>
            <w:vAlign w:val="bottom"/>
            <w:tcBorders>
              <w:right w:val="single" w:sz="8" w:color="auto"/>
            </w:tcBorders>
          </w:tcPr>
          <w:p>
            <w:pPr>
              <w:spacing w:after="0"/>
              <w:rPr>
                <w:sz w:val="19"/>
                <w:szCs w:val="19"/>
                <w:color w:val="auto"/>
              </w:rPr>
            </w:pPr>
          </w:p>
        </w:tc>
        <w:tc>
          <w:tcPr>
            <w:tcW w:w="2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gridSpan w:val="2"/>
          </w:tcPr>
          <w:p>
            <w:pPr>
              <w:jc w:val="center"/>
              <w:ind w:right="288"/>
              <w:spacing w:after="0"/>
              <w:rPr>
                <w:sz w:val="20"/>
                <w:szCs w:val="20"/>
                <w:color w:val="auto"/>
              </w:rPr>
            </w:pPr>
            <w:r>
              <w:rPr>
                <w:rFonts w:ascii="Times New Roman" w:cs="Times New Roman" w:eastAsia="Times New Roman" w:hAnsi="Times New Roman"/>
                <w:sz w:val="18"/>
                <w:szCs w:val="18"/>
                <w:color w:val="auto"/>
                <w:w w:val="98"/>
              </w:rPr>
              <w:t>$0.00</w:t>
            </w: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6"/>
        </w:trPr>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80" w:type="dxa"/>
            <w:vAlign w:val="bottom"/>
            <w:gridSpan w:val="6"/>
          </w:tcPr>
          <w:p>
            <w:pPr>
              <w:ind w:left="80"/>
              <w:spacing w:after="0"/>
              <w:rPr>
                <w:sz w:val="20"/>
                <w:szCs w:val="20"/>
                <w:color w:val="auto"/>
              </w:rPr>
            </w:pPr>
            <w:r>
              <w:rPr>
                <w:rFonts w:ascii="Times New Roman" w:cs="Times New Roman" w:eastAsia="Times New Roman" w:hAnsi="Times New Roman"/>
                <w:sz w:val="22"/>
                <w:szCs w:val="22"/>
                <w:b w:val="1"/>
                <w:bCs w:val="1"/>
                <w:color w:val="auto"/>
                <w:w w:val="99"/>
              </w:rPr>
              <w:t>Table 2—Fee Offset Claims and Sources</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Registrant or filer name</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Form or filing</w:t>
            </w:r>
          </w:p>
        </w:tc>
        <w:tc>
          <w:tcPr>
            <w:tcW w:w="12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5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Initial filing date</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320" w:type="dxa"/>
            <w:vAlign w:val="bottom"/>
          </w:tcPr>
          <w:p>
            <w:pPr>
              <w:spacing w:after="0"/>
              <w:rPr>
                <w:sz w:val="24"/>
                <w:szCs w:val="24"/>
                <w:color w:val="auto"/>
              </w:rPr>
            </w:pPr>
          </w:p>
        </w:tc>
        <w:tc>
          <w:tcPr>
            <w:tcW w:w="11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Fee offset claimed</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 paid with fee</w:t>
            </w:r>
          </w:p>
        </w:tc>
        <w:tc>
          <w:tcPr>
            <w:tcW w:w="0" w:type="dxa"/>
            <w:vAlign w:val="bottom"/>
          </w:tcPr>
          <w:p>
            <w:pPr>
              <w:spacing w:after="0"/>
              <w:rPr>
                <w:sz w:val="1"/>
                <w:szCs w:val="1"/>
                <w:color w:val="auto"/>
              </w:rPr>
            </w:pPr>
          </w:p>
        </w:tc>
      </w:tr>
      <w:tr>
        <w:trPr>
          <w:trHeight w:val="195"/>
        </w:trPr>
        <w:tc>
          <w:tcPr>
            <w:tcW w:w="14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type</w:t>
            </w:r>
          </w:p>
        </w:tc>
        <w:tc>
          <w:tcPr>
            <w:tcW w:w="1200" w:type="dxa"/>
            <w:vAlign w:val="bottom"/>
            <w:tcBorders>
              <w:bottom w:val="single" w:sz="8" w:color="auto"/>
            </w:tcBorders>
            <w:gridSpan w:val="2"/>
            <w:vMerge w:val="continue"/>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offset source</w:t>
            </w:r>
          </w:p>
        </w:tc>
        <w:tc>
          <w:tcPr>
            <w:tcW w:w="0" w:type="dxa"/>
            <w:vAlign w:val="bottom"/>
          </w:tcPr>
          <w:p>
            <w:pPr>
              <w:spacing w:after="0"/>
              <w:rPr>
                <w:sz w:val="1"/>
                <w:szCs w:val="1"/>
                <w:color w:val="auto"/>
              </w:rPr>
            </w:pPr>
          </w:p>
        </w:tc>
      </w:tr>
      <w:tr>
        <w:trPr>
          <w:trHeight w:val="205"/>
        </w:trPr>
        <w:tc>
          <w:tcPr>
            <w:tcW w:w="14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Fee Offset Claims</w:t>
            </w:r>
          </w:p>
        </w:tc>
        <w:tc>
          <w:tcPr>
            <w:tcW w:w="58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Borders>
              <w:right w:val="single" w:sz="8" w:color="auto"/>
            </w:tcBorders>
          </w:tcPr>
          <w:p>
            <w:pPr>
              <w:jc w:val="center"/>
              <w:ind w:right="124"/>
              <w:spacing w:after="0"/>
              <w:rPr>
                <w:sz w:val="20"/>
                <w:szCs w:val="20"/>
                <w:color w:val="auto"/>
              </w:rPr>
            </w:pPr>
            <w:r>
              <w:rPr>
                <w:rFonts w:ascii="Times New Roman" w:cs="Times New Roman" w:eastAsia="Times New Roman" w:hAnsi="Times New Roman"/>
                <w:sz w:val="14"/>
                <w:szCs w:val="14"/>
                <w:color w:val="auto"/>
              </w:rPr>
              <w:t>S-4</w:t>
            </w:r>
          </w:p>
        </w:tc>
        <w:tc>
          <w:tcPr>
            <w:tcW w:w="120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333-266275</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July 22, 2022</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12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$474.21</w:t>
            </w:r>
            <w:r>
              <w:rPr>
                <w:rFonts w:ascii="Times New Roman" w:cs="Times New Roman" w:eastAsia="Times New Roman" w:hAnsi="Times New Roman"/>
                <w:sz w:val="9"/>
                <w:szCs w:val="9"/>
                <w:color w:val="auto"/>
              </w:rPr>
              <w:t>(3)</w:t>
            </w:r>
          </w:p>
        </w:tc>
        <w:tc>
          <w:tcPr>
            <w:tcW w:w="6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400" w:type="dxa"/>
            <w:vAlign w:val="bottom"/>
            <w:tcBorders>
              <w:left w:val="single" w:sz="8" w:color="auto"/>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gridSpan w:val="2"/>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4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Fee Offset Sources</w:t>
            </w:r>
          </w:p>
        </w:tc>
        <w:tc>
          <w:tcPr>
            <w:tcW w:w="58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Perella Weinberg Partners</w:t>
            </w:r>
          </w:p>
        </w:tc>
        <w:tc>
          <w:tcPr>
            <w:tcW w:w="180" w:type="dxa"/>
            <w:vAlign w:val="bottom"/>
          </w:tcPr>
          <w:p>
            <w:pPr>
              <w:spacing w:after="0"/>
              <w:rPr>
                <w:sz w:val="17"/>
                <w:szCs w:val="17"/>
                <w:color w:val="auto"/>
              </w:rPr>
            </w:pPr>
          </w:p>
        </w:tc>
        <w:tc>
          <w:tcPr>
            <w:tcW w:w="1000" w:type="dxa"/>
            <w:vAlign w:val="bottom"/>
            <w:tcBorders>
              <w:right w:val="single" w:sz="8" w:color="auto"/>
            </w:tcBorders>
          </w:tcPr>
          <w:p>
            <w:pPr>
              <w:jc w:val="center"/>
              <w:ind w:right="124"/>
              <w:spacing w:after="0"/>
              <w:rPr>
                <w:sz w:val="20"/>
                <w:szCs w:val="20"/>
                <w:color w:val="auto"/>
              </w:rPr>
            </w:pPr>
            <w:r>
              <w:rPr>
                <w:rFonts w:ascii="Times New Roman" w:cs="Times New Roman" w:eastAsia="Times New Roman" w:hAnsi="Times New Roman"/>
                <w:sz w:val="14"/>
                <w:szCs w:val="14"/>
                <w:color w:val="auto"/>
              </w:rPr>
              <w:t>S-4</w:t>
            </w:r>
          </w:p>
        </w:tc>
        <w:tc>
          <w:tcPr>
            <w:tcW w:w="120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333-266275</w:t>
            </w:r>
          </w:p>
        </w:tc>
        <w:tc>
          <w:tcPr>
            <w:tcW w:w="13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July 22, 2022</w:t>
            </w:r>
          </w:p>
        </w:tc>
        <w:tc>
          <w:tcPr>
            <w:tcW w:w="32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$474.21</w:t>
            </w:r>
            <w:r>
              <w:rPr>
                <w:rFonts w:ascii="Times New Roman" w:cs="Times New Roman" w:eastAsia="Times New Roman" w:hAnsi="Times New Roman"/>
                <w:sz w:val="9"/>
                <w:szCs w:val="9"/>
                <w:color w:val="auto"/>
                <w:w w:val="99"/>
              </w:rPr>
              <w:t>(3)</w:t>
            </w:r>
          </w:p>
        </w:tc>
        <w:tc>
          <w:tcPr>
            <w:tcW w:w="0" w:type="dxa"/>
            <w:vAlign w:val="bottom"/>
          </w:tcPr>
          <w:p>
            <w:pPr>
              <w:spacing w:after="0"/>
              <w:rPr>
                <w:sz w:val="1"/>
                <w:szCs w:val="1"/>
                <w:color w:val="auto"/>
              </w:rPr>
            </w:pPr>
          </w:p>
        </w:tc>
      </w:tr>
      <w:tr>
        <w:trPr>
          <w:trHeight w:val="23"/>
        </w:trPr>
        <w:tc>
          <w:tcPr>
            <w:tcW w:w="1400" w:type="dxa"/>
            <w:vAlign w:val="bottom"/>
            <w:tcBorders>
              <w:left w:val="single" w:sz="8" w:color="auto"/>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w:t>
      </w:r>
    </w:p>
    <w:p>
      <w:pPr>
        <w:spacing w:after="0" w:line="7" w:lineRule="exact"/>
        <w:rPr>
          <w:sz w:val="20"/>
          <w:szCs w:val="20"/>
          <w:color w:val="auto"/>
        </w:rPr>
      </w:pPr>
    </w:p>
    <w:p>
      <w:pPr>
        <w:ind w:left="340" w:right="40" w:hanging="332"/>
        <w:spacing w:after="0" w:line="219" w:lineRule="auto"/>
        <w:tabs>
          <w:tab w:leader="none" w:pos="3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transaction valuation is estimated solely for purposes of calculating the amount of the filing fee. Perella Weinberg Partners (the "Company") is offering holders of a total of 7,869,975 warrants to purchase shares of the Company's Class A common stock, par value $0.0001 per share ("Class A Common Stock"), outstanding as of July 19, 2022 the opportunity to exchange such warrants and receive 0.20 shares of Class A Common Stock in exchange for each warrant. The transaction value was determined by using the average of the high and low prices of the warrants as reported on The Nasdaq Global Select Market on July 18, 2022, which was $0.65 per warrant.</w:t>
      </w:r>
    </w:p>
    <w:p>
      <w:pPr>
        <w:spacing w:after="0" w:line="60"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the filing fee assumes that all outstanding warrants of the Company will be exchanged.</w:t>
      </w:r>
    </w:p>
    <w:p>
      <w:pPr>
        <w:spacing w:after="0" w:line="86" w:lineRule="exact"/>
        <w:rPr>
          <w:rFonts w:ascii="Times New Roman" w:cs="Times New Roman" w:eastAsia="Times New Roman" w:hAnsi="Times New Roman"/>
          <w:sz w:val="16"/>
          <w:szCs w:val="16"/>
          <w:color w:val="auto"/>
        </w:rPr>
      </w:pPr>
    </w:p>
    <w:p>
      <w:pPr>
        <w:ind w:left="340" w:right="300" w:hanging="332"/>
        <w:spacing w:after="0" w:line="245" w:lineRule="auto"/>
        <w:tabs>
          <w:tab w:leader="none" w:pos="3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previously paid $474.21 upon the initial filing of its Registration Statement on Form S-4 on July 22, 2022 in connection with the transaction reported hereby.</w:t>
      </w:r>
    </w:p>
    <w:sectPr>
      <w:pgSz w:w="11900" w:h="16838" w:orient="portrait"/>
      <w:cols w:equalWidth="0" w:num="1">
        <w:col w:w="11260"/>
      </w:cols>
      <w:pgMar w:left="320" w:top="11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lowerLetter"/>
      <w:start w:val="1"/>
    </w:lvl>
    <w:lvl w:ilvl="1">
      <w:lvlJc w:val="left"/>
      <w:lvlText w:val="•"/>
      <w:numFmt w:val="bullet"/>
      <w:start w:val="1"/>
    </w:lvl>
  </w:abstractNum>
  <w:abstractNum w:abstractNumId="5">
    <w:nsid w:val="140E0F76"/>
    <w:multiLevelType w:val="hybridMultilevel"/>
    <w:lvl w:ilvl="0">
      <w:lvlJc w:val="left"/>
      <w:lvlText w:val="(%1)"/>
      <w:numFmt w:val="lowerLetter"/>
      <w:start w:val="3"/>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1)"/>
      <w:numFmt w:val="lowerLetter"/>
      <w:start w:val="1"/>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lowerLetter"/>
      <w:start w:val="1"/>
    </w:lvl>
  </w:abstractNum>
  <w:abstractNum w:abstractNumId="10">
    <w:nsid w:val="1BEFD79F"/>
    <w:multiLevelType w:val="hybridMultilevel"/>
    <w:lvl w:ilvl="0">
      <w:lvlJc w:val="left"/>
      <w:lvlText w:val="(%1)"/>
      <w:numFmt w:val="lowerLetter"/>
      <w:start w:val="2"/>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1"/>
    </w:lvl>
    <w:lvl w:ilvl="1">
      <w:lvlJc w:val="left"/>
      <w:lvlText w:val="(%2)"/>
      <w:numFmt w:val="decimal"/>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lowerLetter"/>
      <w:start w:val="2"/>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46" Type="http://schemas.openxmlformats.org/officeDocument/2006/relationships/image" Target="media/image7.png"/><Relationship Id="rId14" Type="http://schemas.openxmlformats.org/officeDocument/2006/relationships/hyperlink" Target="https://www.sec.gov/Archives/edgar/data/1777835/000162828022019278/pwp-sx4.htm" TargetMode="External"/><Relationship Id="rId15" Type="http://schemas.openxmlformats.org/officeDocument/2006/relationships/hyperlink" Target="https://www.sec.gov/Archives/edgar/data/1777835/000162828022019278/exhibit991-sx4.htm" TargetMode="External"/><Relationship Id="rId16" Type="http://schemas.openxmlformats.org/officeDocument/2006/relationships/hyperlink" Target="https://www.sec.gov/Archives/edgar/data/1777835/000162828022019278/exhibit992-sx4.htm" TargetMode="External"/><Relationship Id="rId17" Type="http://schemas.openxmlformats.org/officeDocument/2006/relationships/hyperlink" Target="https://www.sec.gov/Archives/edgar/data/1777835/000162828022019278/exhibit993-sx4.htm" TargetMode="External"/><Relationship Id="rId18" Type="http://schemas.openxmlformats.org/officeDocument/2006/relationships/hyperlink" Target="https://www.sec.gov/Archives/edgar/data/1777835/000162828022019278/exhibit994-sx4.htm" TargetMode="External"/><Relationship Id="rId19" Type="http://schemas.openxmlformats.org/officeDocument/2006/relationships/hyperlink" Target="https://www.sec.gov/Archives/edgar/data/0001777835/000162828022019279/exhibit991-8xk.htm" TargetMode="External"/><Relationship Id="rId20" Type="http://schemas.openxmlformats.org/officeDocument/2006/relationships/hyperlink" Target="https://www.sec.gov/Archives/edgar/data/1777835/000121390020045792/ea132500ex2-1_fintechacq4.htm" TargetMode="External"/><Relationship Id="rId21" Type="http://schemas.openxmlformats.org/officeDocument/2006/relationships/hyperlink" Target="https://www.sec.gov/Archives/edgar/data/1777835/000162828022000893/exhibit31-sx1a1.htm" TargetMode="External"/><Relationship Id="rId22" Type="http://schemas.openxmlformats.org/officeDocument/2006/relationships/hyperlink" Target="https://www.sec.gov/Archives/edgar/data/1777835/000119312521204696/d119701dex32.htm" TargetMode="External"/><Relationship Id="rId23" Type="http://schemas.openxmlformats.org/officeDocument/2006/relationships/hyperlink" Target="https://www.sec.gov/Archives/edgar/data/1777835/000119312521204696/d119701dex41.htm" TargetMode="External"/><Relationship Id="rId24" Type="http://schemas.openxmlformats.org/officeDocument/2006/relationships/hyperlink" Target="https://www.sec.gov/Archives/edgar/data/1777835/000121390020029071/ea127460ex4-1_fintechacq4.htm" TargetMode="External"/><Relationship Id="rId25" Type="http://schemas.openxmlformats.org/officeDocument/2006/relationships/hyperlink" Target="https://www.sec.gov/Archives/edgar/data/1777835/000162828021025439/exhibit43-sx1.htm" TargetMode="External"/><Relationship Id="rId26" Type="http://schemas.openxmlformats.org/officeDocument/2006/relationships/hyperlink" Target="https://www.sec.gov/Archives/edgar/data/1777835/000121390020045792/ea132500ex10-1_fintechacq4.htm" TargetMode="External"/><Relationship Id="rId27" Type="http://schemas.openxmlformats.org/officeDocument/2006/relationships/hyperlink" Target="https://www.sec.gov/Archives/edgar/data/1777835/000119312521204696/d119701dex101.htm" TargetMode="External"/><Relationship Id="rId28" Type="http://schemas.openxmlformats.org/officeDocument/2006/relationships/hyperlink" Target="https://www.sec.gov/Archives/edgar/data/1777835/000119312521204696/d119701dex103.htm" TargetMode="External"/><Relationship Id="rId29" Type="http://schemas.openxmlformats.org/officeDocument/2006/relationships/hyperlink" Target="https://www.sec.gov/Archives/edgar/data/1777835/000119312521204696/d119701dex102.htm" TargetMode="External"/><Relationship Id="rId30" Type="http://schemas.openxmlformats.org/officeDocument/2006/relationships/hyperlink" Target="https://www.sec.gov/Archives/edgar/data/1777835/000121390020045792/ea132500ex2-1_fintechacq4.htm#ex_008" TargetMode="External"/><Relationship Id="rId31" Type="http://schemas.openxmlformats.org/officeDocument/2006/relationships/hyperlink" Target="https://www.sec.gov/Archives/edgar/data/0001777835/000119312521175488/d101000ddefm14a.htm" TargetMode="External"/><Relationship Id="rId32" Type="http://schemas.openxmlformats.org/officeDocument/2006/relationships/hyperlink" Target="https://www.sec.gov/Archives/edgar/data/1777835/000119312521204696/d119701dex104.htm" TargetMode="External"/><Relationship Id="rId33" Type="http://schemas.openxmlformats.org/officeDocument/2006/relationships/hyperlink" Target="https://www.sec.gov/Archives/edgar/data/1777835/000119312521204696/d119701dex105.htm" TargetMode="External"/><Relationship Id="rId34" Type="http://schemas.openxmlformats.org/officeDocument/2006/relationships/hyperlink" Target="https://www.sec.gov/Archives/edgar/data/1777835/000119312521204696/d119701dex106.htm" TargetMode="External"/><Relationship Id="rId35" Type="http://schemas.openxmlformats.org/officeDocument/2006/relationships/hyperlink" Target="https://www.sec.gov/Archives/edgar/data/1777835/000119312521204696/d119701dex107.htm" TargetMode="External"/><Relationship Id="rId36" Type="http://schemas.openxmlformats.org/officeDocument/2006/relationships/hyperlink" Target="https://www.sec.gov/Archives/edgar/data/1777835/000119312521204696/d119701dex108.htm" TargetMode="External"/><Relationship Id="rId37" Type="http://schemas.openxmlformats.org/officeDocument/2006/relationships/hyperlink" Target="https://www.sec.gov/Archives/edgar/data/1777835/000121390020029071/ea127460ex10-1_fintechacq4.htm" TargetMode="External"/><Relationship Id="rId38" Type="http://schemas.openxmlformats.org/officeDocument/2006/relationships/hyperlink" Target="https://www.sec.gov/Archives/edgar/data/1777835/000095017021003237/pwp-ex10_1.htm" TargetMode="External"/><Relationship Id="rId39" Type="http://schemas.openxmlformats.org/officeDocument/2006/relationships/hyperlink" Target="https://www.sec.gov/Archives/edgar/data/1777835/000095017021003237/pwp-ex10_2.htm" TargetMode="External"/><Relationship Id="rId40" Type="http://schemas.openxmlformats.org/officeDocument/2006/relationships/hyperlink" Target="https://www.sec.gov/Archives/edgar/data/1777835/000095017021003237/pwp-ex10_3.htm" TargetMode="External"/><Relationship Id="rId41" Type="http://schemas.openxmlformats.org/officeDocument/2006/relationships/hyperlink" Target="https://www.sec.gov/Archives/edgar/data/1777835/000095017021003237/pwp-ex10_4.htm" TargetMode="External"/><Relationship Id="rId42" Type="http://schemas.openxmlformats.org/officeDocument/2006/relationships/hyperlink" Target="https://www.sec.gov/Archives/edgar/data/1777835/000095017021003237/pwp-ex10_5.htm" TargetMode="External"/><Relationship Id="rId43" Type="http://schemas.openxmlformats.org/officeDocument/2006/relationships/hyperlink" Target="https://www.sec.gov/Archives/edgar/data/1777835/000162828022019278/exhibit1018-sx4.htm" TargetMode="External"/><Relationship Id="rId44" Type="http://schemas.openxmlformats.org/officeDocument/2006/relationships/hyperlink" Target="https://www.sec.gov/Archives/edgar/data/1777835/000162828022019278/exhibit1019-sx4.htm" TargetMode="External"/><Relationship Id="rId45" Type="http://schemas.openxmlformats.org/officeDocument/2006/relationships/hyperlink" Target="https://www.sec.gov/Archives/edgar/data/1777835/000162828022019278/exhibit81-sx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2022-07-22T08:04:50Z</dcterms:created>
  <dcterms:modified xsi:type="dcterms:W3CDTF">2022-07-22T08:04:50Z</dcterms:modified>
</cp:coreProperties>
</file>