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2)*</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40" w:right="8840"/>
        <w:spacing w:after="0" w:line="247" w:lineRule="exact"/>
        <w:tabs>
          <w:tab w:leader="none" w:pos="101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w:t>
      </w:r>
    </w:p>
    <w:p>
      <w:pPr>
        <w:spacing w:after="0" w:line="1" w:lineRule="exact"/>
        <w:rPr>
          <w:rFonts w:ascii="MS PGothic" w:cs="MS PGothic" w:eastAsia="MS PGothic" w:hAnsi="MS PGothic"/>
          <w:sz w:val="19"/>
          <w:szCs w:val="19"/>
          <w:color w:val="auto"/>
        </w:rPr>
      </w:pPr>
    </w:p>
    <w:p>
      <w:pPr>
        <w:ind w:left="1000" w:hanging="360"/>
        <w:spacing w:after="0"/>
        <w:tabs>
          <w:tab w:leader="none" w:pos="10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11 Pages)</w:t>
      </w:r>
    </w:p>
    <w:p>
      <w:pPr>
        <w:spacing w:after="0" w:line="243" w:lineRule="exact"/>
        <w:rPr>
          <w:sz w:val="24"/>
          <w:szCs w:val="24"/>
          <w:color w:val="auto"/>
        </w:rPr>
      </w:pPr>
    </w:p>
    <w:p>
      <w:pPr>
        <w:jc w:val="both"/>
        <w:ind w:right="80" w:firstLine="648"/>
        <w:spacing w:after="0" w:line="254"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4"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60"/>
          </w:cols>
          <w:pgMar w:left="320" w:top="549" w:right="6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49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CUSIP No. 71367G102</w:t>
            </w:r>
          </w:p>
        </w:tc>
        <w:tc>
          <w:tcPr>
            <w:tcW w:w="31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13G/A</w:t>
            </w:r>
          </w:p>
        </w:tc>
        <w:tc>
          <w:tcPr>
            <w:tcW w:w="312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w w:val="97"/>
              </w:rPr>
              <w:t>Page 2 of 11 Pages</w:t>
            </w:r>
          </w:p>
        </w:tc>
        <w:tc>
          <w:tcPr>
            <w:tcW w:w="0" w:type="dxa"/>
            <w:vAlign w:val="bottom"/>
          </w:tcPr>
          <w:p>
            <w:pPr>
              <w:spacing w:after="0"/>
              <w:rPr>
                <w:sz w:val="1"/>
                <w:szCs w:val="1"/>
                <w:color w:val="auto"/>
              </w:rPr>
            </w:pPr>
          </w:p>
        </w:tc>
      </w:tr>
      <w:tr>
        <w:trPr>
          <w:trHeight w:val="326"/>
        </w:trPr>
        <w:tc>
          <w:tcPr>
            <w:tcW w:w="14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460" w:type="dxa"/>
            <w:vAlign w:val="bottom"/>
            <w:vMerge w:val="restart"/>
          </w:tcPr>
          <w:p>
            <w:pPr>
              <w:jc w:val="right"/>
              <w:ind w:right="348"/>
              <w:spacing w:after="0"/>
              <w:rPr>
                <w:sz w:val="20"/>
                <w:szCs w:val="20"/>
                <w:color w:val="auto"/>
              </w:rPr>
            </w:pPr>
            <w:r>
              <w:rPr>
                <w:rFonts w:ascii="Times New Roman" w:cs="Times New Roman" w:eastAsia="Times New Roman" w:hAnsi="Times New Roman"/>
                <w:sz w:val="29"/>
                <w:szCs w:val="29"/>
                <w:b w:val="1"/>
                <w:bCs w:val="1"/>
                <w:color w:val="auto"/>
              </w:rPr>
              <w:t>1</w:t>
            </w:r>
          </w:p>
        </w:tc>
        <w:tc>
          <w:tcPr>
            <w:tcW w:w="3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1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460" w:type="dxa"/>
            <w:vAlign w:val="bottom"/>
            <w:vMerge w:val="continue"/>
          </w:tcPr>
          <w:p>
            <w:pPr>
              <w:spacing w:after="0"/>
              <w:rPr>
                <w:sz w:val="15"/>
                <w:szCs w:val="15"/>
                <w:color w:val="auto"/>
              </w:rPr>
            </w:pPr>
          </w:p>
        </w:tc>
        <w:tc>
          <w:tcPr>
            <w:tcW w:w="3480" w:type="dxa"/>
            <w:vAlign w:val="bottom"/>
            <w:vMerge w:val="restart"/>
          </w:tcPr>
          <w:p>
            <w:pPr>
              <w:ind w:left="780"/>
              <w:spacing w:after="0"/>
              <w:rPr>
                <w:sz w:val="20"/>
                <w:szCs w:val="20"/>
                <w:color w:val="auto"/>
              </w:rPr>
            </w:pPr>
            <w:r>
              <w:rPr>
                <w:rFonts w:ascii="Times New Roman" w:cs="Times New Roman" w:eastAsia="Times New Roman" w:hAnsi="Times New Roman"/>
                <w:sz w:val="20"/>
                <w:szCs w:val="20"/>
                <w:color w:val="auto"/>
              </w:rPr>
              <w:t>Adage Capital Partners, L.P.</w:t>
            </w:r>
          </w:p>
        </w:tc>
        <w:tc>
          <w:tcPr>
            <w:tcW w:w="31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46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3180" w:type="dxa"/>
            <w:vAlign w:val="bottom"/>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6660" w:type="dxa"/>
            <w:vAlign w:val="bottom"/>
            <w:tcBorders>
              <w:bottom w:val="single" w:sz="8" w:color="auto"/>
            </w:tcBorders>
            <w:gridSpan w:val="2"/>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48"/>
              <w:spacing w:after="0" w:line="320" w:lineRule="exact"/>
              <w:rPr>
                <w:sz w:val="20"/>
                <w:szCs w:val="20"/>
                <w:color w:val="auto"/>
              </w:rPr>
            </w:pPr>
            <w:r>
              <w:rPr>
                <w:rFonts w:ascii="Times New Roman" w:cs="Times New Roman" w:eastAsia="Times New Roman" w:hAnsi="Times New Roman"/>
                <w:sz w:val="29"/>
                <w:szCs w:val="29"/>
                <w:b w:val="1"/>
                <w:bCs w:val="1"/>
                <w:color w:val="auto"/>
              </w:rPr>
              <w:t>2</w:t>
            </w:r>
          </w:p>
        </w:tc>
        <w:tc>
          <w:tcPr>
            <w:tcW w:w="66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120" w:type="dxa"/>
            <w:vAlign w:val="bottom"/>
            <w:vMerge w:val="restart"/>
          </w:tcPr>
          <w:p>
            <w:pPr>
              <w:ind w:left="1880"/>
              <w:spacing w:after="0" w:line="32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6"/>
        </w:trPr>
        <w:tc>
          <w:tcPr>
            <w:tcW w:w="1460" w:type="dxa"/>
            <w:vAlign w:val="bottom"/>
            <w:vMerge w:val="continue"/>
          </w:tcPr>
          <w:p>
            <w:pPr>
              <w:spacing w:after="0"/>
              <w:rPr>
                <w:sz w:val="6"/>
                <w:szCs w:val="6"/>
                <w:color w:val="auto"/>
              </w:rPr>
            </w:pPr>
          </w:p>
        </w:tc>
        <w:tc>
          <w:tcPr>
            <w:tcW w:w="3480" w:type="dxa"/>
            <w:vAlign w:val="bottom"/>
          </w:tcPr>
          <w:p>
            <w:pPr>
              <w:spacing w:after="0"/>
              <w:rPr>
                <w:sz w:val="6"/>
                <w:szCs w:val="6"/>
                <w:color w:val="auto"/>
              </w:rPr>
            </w:pPr>
          </w:p>
        </w:tc>
        <w:tc>
          <w:tcPr>
            <w:tcW w:w="318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3"/>
        </w:trPr>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-888365</wp:posOffset>
            </wp:positionV>
            <wp:extent cx="7132320" cy="4620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ind w:left="1920" w:hanging="1079"/>
        <w:spacing w:after="0" w:line="185" w:lineRule="auto"/>
        <w:tabs>
          <w:tab w:leader="none" w:pos="1920" w:val="left"/>
        </w:tabs>
        <w:numPr>
          <w:ilvl w:val="0"/>
          <w:numId w:val="2"/>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3,463,837</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3,463,837</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3,463,837</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8.10%</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PN</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1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CUSIP No. 71367G102</w:t>
            </w:r>
          </w:p>
        </w:tc>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13G/A</w:t>
            </w:r>
          </w:p>
        </w:tc>
        <w:tc>
          <w:tcPr>
            <w:tcW w:w="312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w w:val="97"/>
              </w:rPr>
              <w:t>Page 3 of 11 Pages</w:t>
            </w:r>
          </w:p>
        </w:tc>
        <w:tc>
          <w:tcPr>
            <w:tcW w:w="0" w:type="dxa"/>
            <w:vAlign w:val="bottom"/>
          </w:tcPr>
          <w:p>
            <w:pPr>
              <w:spacing w:after="0"/>
              <w:rPr>
                <w:sz w:val="1"/>
                <w:szCs w:val="1"/>
                <w:color w:val="auto"/>
              </w:rPr>
            </w:pPr>
          </w:p>
        </w:tc>
      </w:tr>
      <w:tr>
        <w:trPr>
          <w:trHeight w:val="420"/>
        </w:trPr>
        <w:tc>
          <w:tcPr>
            <w:tcW w:w="14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460" w:type="dxa"/>
            <w:vAlign w:val="bottom"/>
            <w:vMerge w:val="restart"/>
          </w:tcPr>
          <w:p>
            <w:pPr>
              <w:jc w:val="right"/>
              <w:ind w:right="348"/>
              <w:spacing w:after="0"/>
              <w:rPr>
                <w:sz w:val="20"/>
                <w:szCs w:val="20"/>
                <w:color w:val="auto"/>
              </w:rPr>
            </w:pPr>
            <w:r>
              <w:rPr>
                <w:rFonts w:ascii="Times New Roman" w:cs="Times New Roman" w:eastAsia="Times New Roman" w:hAnsi="Times New Roman"/>
                <w:sz w:val="29"/>
                <w:szCs w:val="29"/>
                <w:b w:val="1"/>
                <w:bCs w:val="1"/>
                <w:color w:val="auto"/>
              </w:rPr>
              <w:t>1</w:t>
            </w:r>
          </w:p>
        </w:tc>
        <w:tc>
          <w:tcPr>
            <w:tcW w:w="37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NAME OF REPORTING PERSON</w:t>
            </w:r>
          </w:p>
        </w:tc>
        <w:tc>
          <w:tcPr>
            <w:tcW w:w="29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460" w:type="dxa"/>
            <w:vAlign w:val="bottom"/>
            <w:vMerge w:val="continue"/>
          </w:tcPr>
          <w:p>
            <w:pPr>
              <w:spacing w:after="0"/>
              <w:rPr>
                <w:sz w:val="15"/>
                <w:szCs w:val="15"/>
                <w:color w:val="auto"/>
              </w:rPr>
            </w:pPr>
          </w:p>
        </w:tc>
        <w:tc>
          <w:tcPr>
            <w:tcW w:w="3720" w:type="dxa"/>
            <w:vAlign w:val="bottom"/>
            <w:vMerge w:val="restart"/>
          </w:tcPr>
          <w:p>
            <w:pPr>
              <w:ind w:left="780"/>
              <w:spacing w:after="0"/>
              <w:rPr>
                <w:sz w:val="20"/>
                <w:szCs w:val="20"/>
                <w:color w:val="auto"/>
              </w:rPr>
            </w:pPr>
            <w:r>
              <w:rPr>
                <w:rFonts w:ascii="Times New Roman" w:cs="Times New Roman" w:eastAsia="Times New Roman" w:hAnsi="Times New Roman"/>
                <w:sz w:val="20"/>
                <w:szCs w:val="20"/>
                <w:color w:val="auto"/>
              </w:rPr>
              <w:t>Adage Capital Partners GP, L.L.C.</w:t>
            </w:r>
          </w:p>
        </w:tc>
        <w:tc>
          <w:tcPr>
            <w:tcW w:w="2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460" w:type="dxa"/>
            <w:vAlign w:val="bottom"/>
          </w:tcPr>
          <w:p>
            <w:pPr>
              <w:spacing w:after="0"/>
              <w:rPr>
                <w:sz w:val="6"/>
                <w:szCs w:val="6"/>
                <w:color w:val="auto"/>
              </w:rPr>
            </w:pPr>
          </w:p>
        </w:tc>
        <w:tc>
          <w:tcPr>
            <w:tcW w:w="3720" w:type="dxa"/>
            <w:vAlign w:val="bottom"/>
            <w:vMerge w:val="continue"/>
          </w:tcPr>
          <w:p>
            <w:pPr>
              <w:spacing w:after="0"/>
              <w:rPr>
                <w:sz w:val="6"/>
                <w:szCs w:val="6"/>
                <w:color w:val="auto"/>
              </w:rPr>
            </w:pPr>
          </w:p>
        </w:tc>
        <w:tc>
          <w:tcPr>
            <w:tcW w:w="2940" w:type="dxa"/>
            <w:vAlign w:val="bottom"/>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6660" w:type="dxa"/>
            <w:vAlign w:val="bottom"/>
            <w:tcBorders>
              <w:bottom w:val="single" w:sz="8" w:color="auto"/>
            </w:tcBorders>
            <w:gridSpan w:val="2"/>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48"/>
              <w:spacing w:after="0" w:line="320" w:lineRule="exact"/>
              <w:rPr>
                <w:sz w:val="20"/>
                <w:szCs w:val="20"/>
                <w:color w:val="auto"/>
              </w:rPr>
            </w:pPr>
            <w:r>
              <w:rPr>
                <w:rFonts w:ascii="Times New Roman" w:cs="Times New Roman" w:eastAsia="Times New Roman" w:hAnsi="Times New Roman"/>
                <w:sz w:val="29"/>
                <w:szCs w:val="29"/>
                <w:b w:val="1"/>
                <w:bCs w:val="1"/>
                <w:color w:val="auto"/>
              </w:rPr>
              <w:t>2</w:t>
            </w:r>
          </w:p>
        </w:tc>
        <w:tc>
          <w:tcPr>
            <w:tcW w:w="66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120" w:type="dxa"/>
            <w:vAlign w:val="bottom"/>
            <w:vMerge w:val="restart"/>
          </w:tcPr>
          <w:p>
            <w:pPr>
              <w:ind w:left="1880"/>
              <w:spacing w:after="0" w:line="32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6"/>
        </w:trPr>
        <w:tc>
          <w:tcPr>
            <w:tcW w:w="1460" w:type="dxa"/>
            <w:vAlign w:val="bottom"/>
            <w:vMerge w:val="continue"/>
          </w:tcPr>
          <w:p>
            <w:pPr>
              <w:spacing w:after="0"/>
              <w:rPr>
                <w:sz w:val="6"/>
                <w:szCs w:val="6"/>
                <w:color w:val="auto"/>
              </w:rPr>
            </w:pPr>
          </w:p>
        </w:tc>
        <w:tc>
          <w:tcPr>
            <w:tcW w:w="3720" w:type="dxa"/>
            <w:vAlign w:val="bottom"/>
          </w:tcPr>
          <w:p>
            <w:pPr>
              <w:spacing w:after="0"/>
              <w:rPr>
                <w:sz w:val="6"/>
                <w:szCs w:val="6"/>
                <w:color w:val="auto"/>
              </w:rPr>
            </w:pPr>
          </w:p>
        </w:tc>
        <w:tc>
          <w:tcPr>
            <w:tcW w:w="294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3"/>
        </w:trPr>
        <w:tc>
          <w:tcPr>
            <w:tcW w:w="1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7132320" cy="4620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ind w:left="1920" w:hanging="1079"/>
        <w:spacing w:after="0" w:line="185" w:lineRule="auto"/>
        <w:tabs>
          <w:tab w:leader="none" w:pos="1920" w:val="left"/>
        </w:tabs>
        <w:numPr>
          <w:ilvl w:val="0"/>
          <w:numId w:val="3"/>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3,463,837</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3,463,837</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3,463,837</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8.10%</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OO</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CUSIP No. 71367G102</w:t>
            </w:r>
          </w:p>
        </w:tc>
        <w:tc>
          <w:tcPr>
            <w:tcW w:w="3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13G/A</w:t>
            </w:r>
          </w:p>
        </w:tc>
        <w:tc>
          <w:tcPr>
            <w:tcW w:w="312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w w:val="97"/>
              </w:rPr>
              <w:t>Page 4 of 11 Pages</w:t>
            </w:r>
          </w:p>
        </w:tc>
        <w:tc>
          <w:tcPr>
            <w:tcW w:w="0" w:type="dxa"/>
            <w:vAlign w:val="bottom"/>
          </w:tcPr>
          <w:p>
            <w:pPr>
              <w:spacing w:after="0"/>
              <w:rPr>
                <w:sz w:val="1"/>
                <w:szCs w:val="1"/>
                <w:color w:val="auto"/>
              </w:rPr>
            </w:pPr>
          </w:p>
        </w:tc>
      </w:tr>
      <w:tr>
        <w:trPr>
          <w:trHeight w:val="555"/>
        </w:trPr>
        <w:tc>
          <w:tcPr>
            <w:tcW w:w="14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460" w:type="dxa"/>
            <w:vAlign w:val="bottom"/>
            <w:vMerge w:val="restart"/>
          </w:tcPr>
          <w:p>
            <w:pPr>
              <w:jc w:val="right"/>
              <w:ind w:right="348"/>
              <w:spacing w:after="0"/>
              <w:rPr>
                <w:sz w:val="20"/>
                <w:szCs w:val="20"/>
                <w:color w:val="auto"/>
              </w:rPr>
            </w:pPr>
            <w:r>
              <w:rPr>
                <w:rFonts w:ascii="Times New Roman" w:cs="Times New Roman" w:eastAsia="Times New Roman" w:hAnsi="Times New Roman"/>
                <w:sz w:val="29"/>
                <w:szCs w:val="29"/>
                <w:b w:val="1"/>
                <w:bCs w:val="1"/>
                <w:color w:val="auto"/>
              </w:rPr>
              <w:t>1</w:t>
            </w:r>
          </w:p>
        </w:tc>
        <w:tc>
          <w:tcPr>
            <w:tcW w:w="3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0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460" w:type="dxa"/>
            <w:vAlign w:val="bottom"/>
            <w:vMerge w:val="continue"/>
          </w:tcPr>
          <w:p>
            <w:pPr>
              <w:spacing w:after="0"/>
              <w:rPr>
                <w:sz w:val="15"/>
                <w:szCs w:val="15"/>
                <w:color w:val="auto"/>
              </w:rPr>
            </w:pPr>
          </w:p>
        </w:tc>
        <w:tc>
          <w:tcPr>
            <w:tcW w:w="3620" w:type="dxa"/>
            <w:vAlign w:val="bottom"/>
            <w:vMerge w:val="restart"/>
          </w:tcPr>
          <w:p>
            <w:pPr>
              <w:ind w:left="780"/>
              <w:spacing w:after="0"/>
              <w:rPr>
                <w:sz w:val="20"/>
                <w:szCs w:val="20"/>
                <w:color w:val="auto"/>
              </w:rPr>
            </w:pPr>
            <w:r>
              <w:rPr>
                <w:rFonts w:ascii="Times New Roman" w:cs="Times New Roman" w:eastAsia="Times New Roman" w:hAnsi="Times New Roman"/>
                <w:sz w:val="20"/>
                <w:szCs w:val="20"/>
                <w:color w:val="auto"/>
              </w:rPr>
              <w:t>Adage Capital Advisors, L.L.C.</w:t>
            </w:r>
          </w:p>
        </w:tc>
        <w:tc>
          <w:tcPr>
            <w:tcW w:w="30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460" w:type="dxa"/>
            <w:vAlign w:val="bottom"/>
          </w:tcPr>
          <w:p>
            <w:pPr>
              <w:spacing w:after="0"/>
              <w:rPr>
                <w:sz w:val="6"/>
                <w:szCs w:val="6"/>
                <w:color w:val="auto"/>
              </w:rPr>
            </w:pPr>
          </w:p>
        </w:tc>
        <w:tc>
          <w:tcPr>
            <w:tcW w:w="3620" w:type="dxa"/>
            <w:vAlign w:val="bottom"/>
            <w:vMerge w:val="continue"/>
          </w:tcPr>
          <w:p>
            <w:pPr>
              <w:spacing w:after="0"/>
              <w:rPr>
                <w:sz w:val="6"/>
                <w:szCs w:val="6"/>
                <w:color w:val="auto"/>
              </w:rPr>
            </w:pPr>
          </w:p>
        </w:tc>
        <w:tc>
          <w:tcPr>
            <w:tcW w:w="3040" w:type="dxa"/>
            <w:vAlign w:val="bottom"/>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6660" w:type="dxa"/>
            <w:vAlign w:val="bottom"/>
            <w:tcBorders>
              <w:bottom w:val="single" w:sz="8" w:color="auto"/>
            </w:tcBorders>
            <w:gridSpan w:val="2"/>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48"/>
              <w:spacing w:after="0" w:line="320" w:lineRule="exact"/>
              <w:rPr>
                <w:sz w:val="20"/>
                <w:szCs w:val="20"/>
                <w:color w:val="auto"/>
              </w:rPr>
            </w:pPr>
            <w:r>
              <w:rPr>
                <w:rFonts w:ascii="Times New Roman" w:cs="Times New Roman" w:eastAsia="Times New Roman" w:hAnsi="Times New Roman"/>
                <w:sz w:val="29"/>
                <w:szCs w:val="29"/>
                <w:b w:val="1"/>
                <w:bCs w:val="1"/>
                <w:color w:val="auto"/>
              </w:rPr>
              <w:t>2</w:t>
            </w:r>
          </w:p>
        </w:tc>
        <w:tc>
          <w:tcPr>
            <w:tcW w:w="66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120" w:type="dxa"/>
            <w:vAlign w:val="bottom"/>
            <w:vMerge w:val="restart"/>
          </w:tcPr>
          <w:p>
            <w:pPr>
              <w:ind w:left="1880"/>
              <w:spacing w:after="0" w:line="32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6"/>
        </w:trPr>
        <w:tc>
          <w:tcPr>
            <w:tcW w:w="1460" w:type="dxa"/>
            <w:vAlign w:val="bottom"/>
            <w:vMerge w:val="continue"/>
          </w:tcPr>
          <w:p>
            <w:pPr>
              <w:spacing w:after="0"/>
              <w:rPr>
                <w:sz w:val="6"/>
                <w:szCs w:val="6"/>
                <w:color w:val="auto"/>
              </w:rPr>
            </w:pPr>
          </w:p>
        </w:tc>
        <w:tc>
          <w:tcPr>
            <w:tcW w:w="36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3"/>
        </w:trPr>
        <w:tc>
          <w:tcPr>
            <w:tcW w:w="14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ind w:left="1920" w:hanging="1079"/>
        <w:spacing w:after="0" w:line="185" w:lineRule="auto"/>
        <w:tabs>
          <w:tab w:leader="none" w:pos="1920" w:val="left"/>
        </w:tabs>
        <w:numPr>
          <w:ilvl w:val="0"/>
          <w:numId w:val="4"/>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3,463,837</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3,463,837</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3,463,837</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8.10%</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OO</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8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CUSIP No. 71367G102</w:t>
            </w:r>
          </w:p>
        </w:tc>
        <w:tc>
          <w:tcPr>
            <w:tcW w:w="33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13G/A</w:t>
            </w:r>
          </w:p>
        </w:tc>
        <w:tc>
          <w:tcPr>
            <w:tcW w:w="312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w w:val="97"/>
              </w:rPr>
              <w:t>Page 5 of 11 Pages</w:t>
            </w:r>
          </w:p>
        </w:tc>
        <w:tc>
          <w:tcPr>
            <w:tcW w:w="0" w:type="dxa"/>
            <w:vAlign w:val="bottom"/>
          </w:tcPr>
          <w:p>
            <w:pPr>
              <w:spacing w:after="0"/>
              <w:rPr>
                <w:sz w:val="1"/>
                <w:szCs w:val="1"/>
                <w:color w:val="auto"/>
              </w:rPr>
            </w:pPr>
          </w:p>
        </w:tc>
      </w:tr>
      <w:tr>
        <w:trPr>
          <w:trHeight w:val="555"/>
        </w:trPr>
        <w:tc>
          <w:tcPr>
            <w:tcW w:w="14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460" w:type="dxa"/>
            <w:vAlign w:val="bottom"/>
            <w:vMerge w:val="restart"/>
          </w:tcPr>
          <w:p>
            <w:pPr>
              <w:jc w:val="right"/>
              <w:ind w:right="348"/>
              <w:spacing w:after="0"/>
              <w:rPr>
                <w:sz w:val="20"/>
                <w:szCs w:val="20"/>
                <w:color w:val="auto"/>
              </w:rPr>
            </w:pPr>
            <w:r>
              <w:rPr>
                <w:rFonts w:ascii="Times New Roman" w:cs="Times New Roman" w:eastAsia="Times New Roman" w:hAnsi="Times New Roman"/>
                <w:sz w:val="29"/>
                <w:szCs w:val="29"/>
                <w:b w:val="1"/>
                <w:bCs w:val="1"/>
                <w:color w:val="auto"/>
              </w:rPr>
              <w:t>1</w:t>
            </w:r>
          </w:p>
        </w:tc>
        <w:tc>
          <w:tcPr>
            <w:tcW w:w="3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3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460" w:type="dxa"/>
            <w:vAlign w:val="bottom"/>
            <w:vMerge w:val="continue"/>
          </w:tcPr>
          <w:p>
            <w:pPr>
              <w:spacing w:after="0"/>
              <w:rPr>
                <w:sz w:val="15"/>
                <w:szCs w:val="15"/>
                <w:color w:val="auto"/>
              </w:rPr>
            </w:pPr>
          </w:p>
        </w:tc>
        <w:tc>
          <w:tcPr>
            <w:tcW w:w="3360" w:type="dxa"/>
            <w:vAlign w:val="bottom"/>
            <w:vMerge w:val="restart"/>
          </w:tcPr>
          <w:p>
            <w:pPr>
              <w:ind w:left="780"/>
              <w:spacing w:after="0"/>
              <w:rPr>
                <w:sz w:val="20"/>
                <w:szCs w:val="20"/>
                <w:color w:val="auto"/>
              </w:rPr>
            </w:pPr>
            <w:r>
              <w:rPr>
                <w:rFonts w:ascii="Times New Roman" w:cs="Times New Roman" w:eastAsia="Times New Roman" w:hAnsi="Times New Roman"/>
                <w:sz w:val="20"/>
                <w:szCs w:val="20"/>
                <w:color w:val="auto"/>
              </w:rPr>
              <w:t>Robert Atchinson</w:t>
            </w:r>
          </w:p>
        </w:tc>
        <w:tc>
          <w:tcPr>
            <w:tcW w:w="33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460" w:type="dxa"/>
            <w:vAlign w:val="bottom"/>
          </w:tcPr>
          <w:p>
            <w:pPr>
              <w:spacing w:after="0"/>
              <w:rPr>
                <w:sz w:val="6"/>
                <w:szCs w:val="6"/>
                <w:color w:val="auto"/>
              </w:rPr>
            </w:pPr>
          </w:p>
        </w:tc>
        <w:tc>
          <w:tcPr>
            <w:tcW w:w="3360" w:type="dxa"/>
            <w:vAlign w:val="bottom"/>
            <w:vMerge w:val="continue"/>
          </w:tcPr>
          <w:p>
            <w:pPr>
              <w:spacing w:after="0"/>
              <w:rPr>
                <w:sz w:val="6"/>
                <w:szCs w:val="6"/>
                <w:color w:val="auto"/>
              </w:rPr>
            </w:pPr>
          </w:p>
        </w:tc>
        <w:tc>
          <w:tcPr>
            <w:tcW w:w="3300" w:type="dxa"/>
            <w:vAlign w:val="bottom"/>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6660" w:type="dxa"/>
            <w:vAlign w:val="bottom"/>
            <w:tcBorders>
              <w:bottom w:val="single" w:sz="8" w:color="auto"/>
            </w:tcBorders>
            <w:gridSpan w:val="2"/>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48"/>
              <w:spacing w:after="0" w:line="320" w:lineRule="exact"/>
              <w:rPr>
                <w:sz w:val="20"/>
                <w:szCs w:val="20"/>
                <w:color w:val="auto"/>
              </w:rPr>
            </w:pPr>
            <w:r>
              <w:rPr>
                <w:rFonts w:ascii="Times New Roman" w:cs="Times New Roman" w:eastAsia="Times New Roman" w:hAnsi="Times New Roman"/>
                <w:sz w:val="29"/>
                <w:szCs w:val="29"/>
                <w:b w:val="1"/>
                <w:bCs w:val="1"/>
                <w:color w:val="auto"/>
              </w:rPr>
              <w:t>2</w:t>
            </w:r>
          </w:p>
        </w:tc>
        <w:tc>
          <w:tcPr>
            <w:tcW w:w="66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120" w:type="dxa"/>
            <w:vAlign w:val="bottom"/>
            <w:vMerge w:val="restart"/>
          </w:tcPr>
          <w:p>
            <w:pPr>
              <w:ind w:left="1880"/>
              <w:spacing w:after="0" w:line="32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6"/>
        </w:trPr>
        <w:tc>
          <w:tcPr>
            <w:tcW w:w="1460" w:type="dxa"/>
            <w:vAlign w:val="bottom"/>
            <w:vMerge w:val="continue"/>
          </w:tcPr>
          <w:p>
            <w:pPr>
              <w:spacing w:after="0"/>
              <w:rPr>
                <w:sz w:val="6"/>
                <w:szCs w:val="6"/>
                <w:color w:val="auto"/>
              </w:rPr>
            </w:pPr>
          </w:p>
        </w:tc>
        <w:tc>
          <w:tcPr>
            <w:tcW w:w="3360" w:type="dxa"/>
            <w:vAlign w:val="bottom"/>
          </w:tcPr>
          <w:p>
            <w:pPr>
              <w:spacing w:after="0"/>
              <w:rPr>
                <w:sz w:val="6"/>
                <w:szCs w:val="6"/>
                <w:color w:val="auto"/>
              </w:rPr>
            </w:pPr>
          </w:p>
        </w:tc>
        <w:tc>
          <w:tcPr>
            <w:tcW w:w="33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3"/>
        </w:trPr>
        <w:tc>
          <w:tcPr>
            <w:tcW w:w="14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ind w:left="1920" w:hanging="1079"/>
        <w:spacing w:after="0" w:line="185" w:lineRule="auto"/>
        <w:tabs>
          <w:tab w:leader="none" w:pos="1920" w:val="left"/>
        </w:tabs>
        <w:numPr>
          <w:ilvl w:val="0"/>
          <w:numId w:val="5"/>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United States</w:t>
            </w: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6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60" w:type="dxa"/>
            <w:vAlign w:val="bottom"/>
          </w:tcPr>
          <w:p>
            <w:pPr>
              <w:spacing w:after="0"/>
              <w:rPr>
                <w:sz w:val="8"/>
                <w:szCs w:val="8"/>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3,463,837</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60" w:type="dxa"/>
            <w:vAlign w:val="bottom"/>
          </w:tcPr>
          <w:p>
            <w:pPr>
              <w:spacing w:after="0"/>
              <w:rPr>
                <w:sz w:val="8"/>
                <w:szCs w:val="8"/>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3,463,837</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gridSpan w:val="2"/>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3,463,837</w:t>
            </w:r>
          </w:p>
        </w:tc>
        <w:tc>
          <w:tcPr>
            <w:tcW w:w="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3"/>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gridSpan w:val="2"/>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8.10%</w:t>
            </w:r>
          </w:p>
        </w:tc>
        <w:tc>
          <w:tcPr>
            <w:tcW w:w="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gridSpan w:val="2"/>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IN</w:t>
            </w: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8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CUSIP No. 71367G102</w:t>
            </w:r>
          </w:p>
        </w:tc>
        <w:tc>
          <w:tcPr>
            <w:tcW w:w="33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13G/A</w:t>
            </w:r>
          </w:p>
        </w:tc>
        <w:tc>
          <w:tcPr>
            <w:tcW w:w="312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w w:val="97"/>
              </w:rPr>
              <w:t>Page 6 of 11 Pages</w:t>
            </w:r>
          </w:p>
        </w:tc>
        <w:tc>
          <w:tcPr>
            <w:tcW w:w="0" w:type="dxa"/>
            <w:vAlign w:val="bottom"/>
          </w:tcPr>
          <w:p>
            <w:pPr>
              <w:spacing w:after="0"/>
              <w:rPr>
                <w:sz w:val="1"/>
                <w:szCs w:val="1"/>
                <w:color w:val="auto"/>
              </w:rPr>
            </w:pPr>
          </w:p>
        </w:tc>
      </w:tr>
      <w:tr>
        <w:trPr>
          <w:trHeight w:val="555"/>
        </w:trPr>
        <w:tc>
          <w:tcPr>
            <w:tcW w:w="14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460" w:type="dxa"/>
            <w:vAlign w:val="bottom"/>
            <w:vMerge w:val="restart"/>
          </w:tcPr>
          <w:p>
            <w:pPr>
              <w:jc w:val="right"/>
              <w:ind w:right="348"/>
              <w:spacing w:after="0"/>
              <w:rPr>
                <w:sz w:val="20"/>
                <w:szCs w:val="20"/>
                <w:color w:val="auto"/>
              </w:rPr>
            </w:pPr>
            <w:r>
              <w:rPr>
                <w:rFonts w:ascii="Times New Roman" w:cs="Times New Roman" w:eastAsia="Times New Roman" w:hAnsi="Times New Roman"/>
                <w:sz w:val="29"/>
                <w:szCs w:val="29"/>
                <w:b w:val="1"/>
                <w:bCs w:val="1"/>
                <w:color w:val="auto"/>
              </w:rPr>
              <w:t>1</w:t>
            </w:r>
          </w:p>
        </w:tc>
        <w:tc>
          <w:tcPr>
            <w:tcW w:w="3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3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460" w:type="dxa"/>
            <w:vAlign w:val="bottom"/>
            <w:vMerge w:val="continue"/>
          </w:tcPr>
          <w:p>
            <w:pPr>
              <w:spacing w:after="0"/>
              <w:rPr>
                <w:sz w:val="15"/>
                <w:szCs w:val="15"/>
                <w:color w:val="auto"/>
              </w:rPr>
            </w:pPr>
          </w:p>
        </w:tc>
        <w:tc>
          <w:tcPr>
            <w:tcW w:w="3360" w:type="dxa"/>
            <w:vAlign w:val="bottom"/>
            <w:vMerge w:val="restart"/>
          </w:tcPr>
          <w:p>
            <w:pPr>
              <w:ind w:left="780"/>
              <w:spacing w:after="0"/>
              <w:rPr>
                <w:sz w:val="20"/>
                <w:szCs w:val="20"/>
                <w:color w:val="auto"/>
              </w:rPr>
            </w:pPr>
            <w:r>
              <w:rPr>
                <w:rFonts w:ascii="Times New Roman" w:cs="Times New Roman" w:eastAsia="Times New Roman" w:hAnsi="Times New Roman"/>
                <w:sz w:val="20"/>
                <w:szCs w:val="20"/>
                <w:color w:val="auto"/>
              </w:rPr>
              <w:t>Phillip Gross</w:t>
            </w:r>
          </w:p>
        </w:tc>
        <w:tc>
          <w:tcPr>
            <w:tcW w:w="33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460" w:type="dxa"/>
            <w:vAlign w:val="bottom"/>
          </w:tcPr>
          <w:p>
            <w:pPr>
              <w:spacing w:after="0"/>
              <w:rPr>
                <w:sz w:val="6"/>
                <w:szCs w:val="6"/>
                <w:color w:val="auto"/>
              </w:rPr>
            </w:pPr>
          </w:p>
        </w:tc>
        <w:tc>
          <w:tcPr>
            <w:tcW w:w="3360" w:type="dxa"/>
            <w:vAlign w:val="bottom"/>
            <w:vMerge w:val="continue"/>
          </w:tcPr>
          <w:p>
            <w:pPr>
              <w:spacing w:after="0"/>
              <w:rPr>
                <w:sz w:val="6"/>
                <w:szCs w:val="6"/>
                <w:color w:val="auto"/>
              </w:rPr>
            </w:pPr>
          </w:p>
        </w:tc>
        <w:tc>
          <w:tcPr>
            <w:tcW w:w="3300" w:type="dxa"/>
            <w:vAlign w:val="bottom"/>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6660" w:type="dxa"/>
            <w:vAlign w:val="bottom"/>
            <w:tcBorders>
              <w:bottom w:val="single" w:sz="8" w:color="auto"/>
            </w:tcBorders>
            <w:gridSpan w:val="2"/>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48"/>
              <w:spacing w:after="0" w:line="320" w:lineRule="exact"/>
              <w:rPr>
                <w:sz w:val="20"/>
                <w:szCs w:val="20"/>
                <w:color w:val="auto"/>
              </w:rPr>
            </w:pPr>
            <w:r>
              <w:rPr>
                <w:rFonts w:ascii="Times New Roman" w:cs="Times New Roman" w:eastAsia="Times New Roman" w:hAnsi="Times New Roman"/>
                <w:sz w:val="29"/>
                <w:szCs w:val="29"/>
                <w:b w:val="1"/>
                <w:bCs w:val="1"/>
                <w:color w:val="auto"/>
              </w:rPr>
              <w:t>2</w:t>
            </w:r>
          </w:p>
        </w:tc>
        <w:tc>
          <w:tcPr>
            <w:tcW w:w="66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120" w:type="dxa"/>
            <w:vAlign w:val="bottom"/>
            <w:vMerge w:val="restart"/>
          </w:tcPr>
          <w:p>
            <w:pPr>
              <w:ind w:left="1880"/>
              <w:spacing w:after="0" w:line="32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6"/>
        </w:trPr>
        <w:tc>
          <w:tcPr>
            <w:tcW w:w="1460" w:type="dxa"/>
            <w:vAlign w:val="bottom"/>
            <w:vMerge w:val="continue"/>
          </w:tcPr>
          <w:p>
            <w:pPr>
              <w:spacing w:after="0"/>
              <w:rPr>
                <w:sz w:val="6"/>
                <w:szCs w:val="6"/>
                <w:color w:val="auto"/>
              </w:rPr>
            </w:pPr>
          </w:p>
        </w:tc>
        <w:tc>
          <w:tcPr>
            <w:tcW w:w="3360" w:type="dxa"/>
            <w:vAlign w:val="bottom"/>
          </w:tcPr>
          <w:p>
            <w:pPr>
              <w:spacing w:after="0"/>
              <w:rPr>
                <w:sz w:val="6"/>
                <w:szCs w:val="6"/>
                <w:color w:val="auto"/>
              </w:rPr>
            </w:pPr>
          </w:p>
        </w:tc>
        <w:tc>
          <w:tcPr>
            <w:tcW w:w="33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3"/>
        </w:trPr>
        <w:tc>
          <w:tcPr>
            <w:tcW w:w="14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7132320" cy="4620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ind w:left="1920" w:hanging="1079"/>
        <w:spacing w:after="0" w:line="185" w:lineRule="auto"/>
        <w:tabs>
          <w:tab w:leader="none" w:pos="1920" w:val="left"/>
        </w:tabs>
        <w:numPr>
          <w:ilvl w:val="0"/>
          <w:numId w:val="6"/>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United States</w:t>
            </w: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6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60" w:type="dxa"/>
            <w:vAlign w:val="bottom"/>
          </w:tcPr>
          <w:p>
            <w:pPr>
              <w:spacing w:after="0"/>
              <w:rPr>
                <w:sz w:val="8"/>
                <w:szCs w:val="8"/>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3,463,837</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60" w:type="dxa"/>
            <w:vAlign w:val="bottom"/>
          </w:tcPr>
          <w:p>
            <w:pPr>
              <w:spacing w:after="0"/>
              <w:rPr>
                <w:sz w:val="8"/>
                <w:szCs w:val="8"/>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3,463,837</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gridSpan w:val="2"/>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3,463,837</w:t>
            </w:r>
          </w:p>
        </w:tc>
        <w:tc>
          <w:tcPr>
            <w:tcW w:w="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3"/>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gridSpan w:val="2"/>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8.10%</w:t>
            </w:r>
          </w:p>
        </w:tc>
        <w:tc>
          <w:tcPr>
            <w:tcW w:w="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gridSpan w:val="2"/>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IN</w:t>
            </w: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6" w:name="page7"/>
    <w:bookmarkEnd w:id="6"/>
    <w:p>
      <w:pPr>
        <w:spacing w:after="0"/>
        <w:tabs>
          <w:tab w:leader="none" w:pos="5360" w:val="left"/>
          <w:tab w:leader="none" w:pos="9820" w:val="left"/>
        </w:tabs>
        <w:rPr>
          <w:sz w:val="20"/>
          <w:szCs w:val="20"/>
          <w:color w:val="auto"/>
        </w:rPr>
      </w:pPr>
      <w:r>
        <w:rPr>
          <w:rFonts w:ascii="Times New Roman" w:cs="Times New Roman" w:eastAsia="Times New Roman" w:hAnsi="Times New Roman"/>
          <w:sz w:val="22"/>
          <w:szCs w:val="22"/>
          <w:b w:val="1"/>
          <w:bCs w:val="1"/>
          <w:color w:val="auto"/>
        </w:rPr>
        <w:t>CUSIP No. 71367G102</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11 Pages</w:t>
      </w:r>
    </w:p>
    <w:p>
      <w:pPr>
        <w:spacing w:after="0" w:line="200" w:lineRule="exact"/>
        <w:rPr>
          <w:sz w:val="20"/>
          <w:szCs w:val="20"/>
          <w:color w:val="auto"/>
        </w:rPr>
      </w:pPr>
    </w:p>
    <w:p>
      <w:pPr>
        <w:spacing w:after="0" w:line="36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NAME OF ISSUER</w:t>
      </w:r>
    </w:p>
    <w:p>
      <w:pPr>
        <w:spacing w:after="0" w:line="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The name of the issuer is Perella Weinberg Partners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ADDRESS OF ISSUER'S PRINCIPAL EXECUTIVE OFFICES</w:t>
      </w:r>
    </w:p>
    <w:p>
      <w:pPr>
        <w:spacing w:after="0" w:line="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The Company's principal executive offices are located at 767 Fifth Avenue, New York, NY 10153.</w:t>
      </w:r>
    </w:p>
    <w:p>
      <w:pPr>
        <w:spacing w:after="0" w:line="20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2(a).</w:t>
      </w:r>
      <w:r>
        <w:rPr>
          <w:sz w:val="20"/>
          <w:szCs w:val="20"/>
          <w:color w:val="auto"/>
        </w:rPr>
        <w:tab/>
      </w:r>
      <w:r>
        <w:rPr>
          <w:rFonts w:ascii="Times New Roman" w:cs="Times New Roman" w:eastAsia="Times New Roman" w:hAnsi="Times New Roman"/>
          <w:sz w:val="19"/>
          <w:szCs w:val="19"/>
          <w:b w:val="1"/>
          <w:bCs w:val="1"/>
          <w:color w:val="auto"/>
        </w:rPr>
        <w:t>NAME OF PERSON FILING</w:t>
      </w:r>
    </w:p>
    <w:p>
      <w:pPr>
        <w:spacing w:after="0" w:line="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This statement is filed by:</w:t>
      </w:r>
    </w:p>
    <w:p>
      <w:pPr>
        <w:spacing w:after="0" w:line="207" w:lineRule="exact"/>
        <w:rPr>
          <w:sz w:val="20"/>
          <w:szCs w:val="20"/>
          <w:color w:val="auto"/>
        </w:rPr>
      </w:pPr>
    </w:p>
    <w:p>
      <w:pPr>
        <w:ind w:left="2580" w:right="400" w:hanging="787"/>
        <w:spacing w:after="0" w:line="269" w:lineRule="auto"/>
        <w:tabs>
          <w:tab w:leader="none" w:pos="2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Adage Capital Partners, L.P., a Delaware limited partnership ("</w:t>
      </w:r>
      <w:r>
        <w:rPr>
          <w:rFonts w:ascii="Times New Roman" w:cs="Times New Roman" w:eastAsia="Times New Roman" w:hAnsi="Times New Roman"/>
          <w:sz w:val="20"/>
          <w:szCs w:val="20"/>
          <w:u w:val="single" w:color="auto"/>
          <w:color w:val="auto"/>
        </w:rPr>
        <w:t>ACP</w:t>
      </w:r>
      <w:r>
        <w:rPr>
          <w:rFonts w:ascii="Times New Roman" w:cs="Times New Roman" w:eastAsia="Times New Roman" w:hAnsi="Times New Roman"/>
          <w:sz w:val="20"/>
          <w:szCs w:val="20"/>
          <w:color w:val="auto"/>
        </w:rPr>
        <w:t>") with respect to the shares of Class A Common Stock directly owned by it;</w:t>
      </w:r>
    </w:p>
    <w:p>
      <w:pPr>
        <w:spacing w:after="0" w:line="172" w:lineRule="exact"/>
        <w:rPr>
          <w:rFonts w:ascii="Times New Roman" w:cs="Times New Roman" w:eastAsia="Times New Roman" w:hAnsi="Times New Roman"/>
          <w:sz w:val="20"/>
          <w:szCs w:val="20"/>
          <w:color w:val="auto"/>
        </w:rPr>
      </w:pPr>
    </w:p>
    <w:p>
      <w:pPr>
        <w:jc w:val="both"/>
        <w:ind w:left="2580" w:right="660" w:hanging="787"/>
        <w:spacing w:after="0" w:line="254" w:lineRule="auto"/>
        <w:tabs>
          <w:tab w:leader="none" w:pos="2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Adage Capital Partners GP, L.L.C., a limited liability company organized under the laws of the State of Delaware ("</w:t>
      </w:r>
      <w:r>
        <w:rPr>
          <w:rFonts w:ascii="Times New Roman" w:cs="Times New Roman" w:eastAsia="Times New Roman" w:hAnsi="Times New Roman"/>
          <w:sz w:val="20"/>
          <w:szCs w:val="20"/>
          <w:u w:val="single" w:color="auto"/>
          <w:color w:val="auto"/>
        </w:rPr>
        <w:t>ACPGP</w:t>
      </w:r>
      <w:r>
        <w:rPr>
          <w:rFonts w:ascii="Times New Roman" w:cs="Times New Roman" w:eastAsia="Times New Roman" w:hAnsi="Times New Roman"/>
          <w:sz w:val="20"/>
          <w:szCs w:val="20"/>
          <w:color w:val="auto"/>
        </w:rPr>
        <w:t>"), as general partner of ACP with respect to the shares of Class A Common Stock directly owned by ACP;</w:t>
      </w:r>
    </w:p>
    <w:p>
      <w:pPr>
        <w:spacing w:after="0" w:line="187" w:lineRule="exact"/>
        <w:rPr>
          <w:rFonts w:ascii="Times New Roman" w:cs="Times New Roman" w:eastAsia="Times New Roman" w:hAnsi="Times New Roman"/>
          <w:sz w:val="20"/>
          <w:szCs w:val="20"/>
          <w:color w:val="auto"/>
        </w:rPr>
      </w:pPr>
    </w:p>
    <w:p>
      <w:pPr>
        <w:ind w:left="2580" w:right="400" w:hanging="787"/>
        <w:spacing w:after="0" w:line="254" w:lineRule="auto"/>
        <w:tabs>
          <w:tab w:leader="none" w:pos="2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Adage Capital Advisors, L.L.C., a limited liability company organized under the laws of the State of Delaware ("</w:t>
      </w:r>
      <w:r>
        <w:rPr>
          <w:rFonts w:ascii="Times New Roman" w:cs="Times New Roman" w:eastAsia="Times New Roman" w:hAnsi="Times New Roman"/>
          <w:sz w:val="20"/>
          <w:szCs w:val="20"/>
          <w:u w:val="single" w:color="auto"/>
          <w:color w:val="auto"/>
        </w:rPr>
        <w:t>ACA</w:t>
      </w:r>
      <w:r>
        <w:rPr>
          <w:rFonts w:ascii="Times New Roman" w:cs="Times New Roman" w:eastAsia="Times New Roman" w:hAnsi="Times New Roman"/>
          <w:sz w:val="20"/>
          <w:szCs w:val="20"/>
          <w:color w:val="auto"/>
        </w:rPr>
        <w:t>"), as managing member of ACPGP, general partner of ACP, with respect to the shares of Class A Common Stock directly owned by ACP;</w:t>
      </w:r>
    </w:p>
    <w:p>
      <w:pPr>
        <w:spacing w:after="0" w:line="187" w:lineRule="exact"/>
        <w:rPr>
          <w:rFonts w:ascii="Times New Roman" w:cs="Times New Roman" w:eastAsia="Times New Roman" w:hAnsi="Times New Roman"/>
          <w:sz w:val="20"/>
          <w:szCs w:val="20"/>
          <w:color w:val="auto"/>
        </w:rPr>
      </w:pPr>
    </w:p>
    <w:p>
      <w:pPr>
        <w:ind w:left="2580" w:right="320" w:hanging="787"/>
        <w:spacing w:after="0" w:line="295" w:lineRule="auto"/>
        <w:tabs>
          <w:tab w:leader="none" w:pos="25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Robert Atchinson ("</w:t>
      </w:r>
      <w:r>
        <w:rPr>
          <w:rFonts w:ascii="Times New Roman" w:cs="Times New Roman" w:eastAsia="Times New Roman" w:hAnsi="Times New Roman"/>
          <w:sz w:val="19"/>
          <w:szCs w:val="19"/>
          <w:u w:val="single" w:color="auto"/>
          <w:color w:val="auto"/>
        </w:rPr>
        <w:t>Mr. Atchinson</w:t>
      </w:r>
      <w:r>
        <w:rPr>
          <w:rFonts w:ascii="Times New Roman" w:cs="Times New Roman" w:eastAsia="Times New Roman" w:hAnsi="Times New Roman"/>
          <w:sz w:val="19"/>
          <w:szCs w:val="19"/>
          <w:color w:val="auto"/>
        </w:rPr>
        <w:t>"), as managing member of ACA, managing member of ACPGP, general partner of ACP with respect to the shares of Class A Common Stock directly owned by ACP; and</w:t>
      </w:r>
    </w:p>
    <w:p>
      <w:pPr>
        <w:spacing w:after="0" w:line="151" w:lineRule="exact"/>
        <w:rPr>
          <w:rFonts w:ascii="Times New Roman" w:cs="Times New Roman" w:eastAsia="Times New Roman" w:hAnsi="Times New Roman"/>
          <w:sz w:val="19"/>
          <w:szCs w:val="19"/>
          <w:color w:val="auto"/>
        </w:rPr>
      </w:pPr>
    </w:p>
    <w:p>
      <w:pPr>
        <w:ind w:left="2580" w:right="220" w:hanging="787"/>
        <w:spacing w:after="0" w:line="269" w:lineRule="auto"/>
        <w:tabs>
          <w:tab w:leader="none" w:pos="2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Phillip Gross ("</w:t>
      </w:r>
      <w:r>
        <w:rPr>
          <w:rFonts w:ascii="Times New Roman" w:cs="Times New Roman" w:eastAsia="Times New Roman" w:hAnsi="Times New Roman"/>
          <w:sz w:val="20"/>
          <w:szCs w:val="20"/>
          <w:u w:val="single" w:color="auto"/>
          <w:color w:val="auto"/>
        </w:rPr>
        <w:t>Mr. Gross</w:t>
      </w:r>
      <w:r>
        <w:rPr>
          <w:rFonts w:ascii="Times New Roman" w:cs="Times New Roman" w:eastAsia="Times New Roman" w:hAnsi="Times New Roman"/>
          <w:sz w:val="20"/>
          <w:szCs w:val="20"/>
          <w:color w:val="auto"/>
        </w:rPr>
        <w:t>"), as managing member of ACA, managing member of ACPGP, general partner of ACP with respect to the shares of Class A Common Stock directly owned by ACP.</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19"/>
                <w:szCs w:val="19"/>
                <w:color w:val="auto"/>
              </w:rPr>
            </w:pPr>
          </w:p>
        </w:tc>
        <w:tc>
          <w:tcPr>
            <w:tcW w:w="9900" w:type="dxa"/>
            <w:vAlign w:val="bottom"/>
            <w:gridSpan w:val="5"/>
          </w:tcPr>
          <w:p>
            <w:pPr>
              <w:ind w:left="380"/>
              <w:spacing w:after="0"/>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"Reporting Persons." Any disclosures</w:t>
            </w:r>
          </w:p>
        </w:tc>
      </w:tr>
      <w:tr>
        <w:trPr>
          <w:trHeight w:val="20"/>
        </w:trPr>
        <w:tc>
          <w:tcPr>
            <w:tcW w:w="13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27"/>
        </w:trPr>
        <w:tc>
          <w:tcPr>
            <w:tcW w:w="1320" w:type="dxa"/>
            <w:vAlign w:val="bottom"/>
          </w:tcPr>
          <w:p>
            <w:pPr>
              <w:spacing w:after="0"/>
              <w:rPr>
                <w:sz w:val="19"/>
                <w:szCs w:val="19"/>
                <w:color w:val="auto"/>
              </w:rPr>
            </w:pPr>
          </w:p>
        </w:tc>
        <w:tc>
          <w:tcPr>
            <w:tcW w:w="9900" w:type="dxa"/>
            <w:vAlign w:val="bottom"/>
            <w:gridSpan w:val="5"/>
          </w:tcPr>
          <w:p>
            <w:pPr>
              <w:ind w:left="380"/>
              <w:spacing w:after="0" w:line="228" w:lineRule="exact"/>
              <w:rPr>
                <w:sz w:val="20"/>
                <w:szCs w:val="20"/>
                <w:color w:val="auto"/>
              </w:rPr>
            </w:pPr>
            <w:r>
              <w:rPr>
                <w:rFonts w:ascii="Times New Roman" w:cs="Times New Roman" w:eastAsia="Times New Roman" w:hAnsi="Times New Roman"/>
                <w:sz w:val="20"/>
                <w:szCs w:val="20"/>
                <w:color w:val="auto"/>
                <w:w w:val="98"/>
              </w:rPr>
              <w:t>herein with respect to persons other than the Reporting Persons are made on information and belief after making inquiry</w:t>
            </w:r>
          </w:p>
        </w:tc>
      </w:tr>
      <w:tr>
        <w:trPr>
          <w:trHeight w:val="258"/>
        </w:trPr>
        <w:tc>
          <w:tcPr>
            <w:tcW w:w="1320" w:type="dxa"/>
            <w:vAlign w:val="bottom"/>
          </w:tcPr>
          <w:p>
            <w:pPr>
              <w:spacing w:after="0"/>
              <w:rPr>
                <w:sz w:val="22"/>
                <w:szCs w:val="22"/>
                <w:color w:val="auto"/>
              </w:rPr>
            </w:pPr>
          </w:p>
        </w:tc>
        <w:tc>
          <w:tcPr>
            <w:tcW w:w="9900" w:type="dxa"/>
            <w:vAlign w:val="bottom"/>
            <w:gridSpan w:val="5"/>
          </w:tcPr>
          <w:p>
            <w:pPr>
              <w:ind w:left="380"/>
              <w:spacing w:after="0"/>
              <w:rPr>
                <w:sz w:val="20"/>
                <w:szCs w:val="20"/>
                <w:color w:val="auto"/>
              </w:rPr>
            </w:pPr>
            <w:r>
              <w:rPr>
                <w:rFonts w:ascii="Times New Roman" w:cs="Times New Roman" w:eastAsia="Times New Roman" w:hAnsi="Times New Roman"/>
                <w:sz w:val="20"/>
                <w:szCs w:val="20"/>
                <w:color w:val="auto"/>
              </w:rPr>
              <w:t>to the appropriate party.</w:t>
            </w:r>
          </w:p>
        </w:tc>
      </w:tr>
      <w:tr>
        <w:trPr>
          <w:trHeight w:val="430"/>
        </w:trPr>
        <w:tc>
          <w:tcPr>
            <w:tcW w:w="1320" w:type="dxa"/>
            <w:vAlign w:val="bottom"/>
          </w:tcPr>
          <w:p>
            <w:pPr>
              <w:spacing w:after="0"/>
              <w:rPr>
                <w:sz w:val="24"/>
                <w:szCs w:val="24"/>
                <w:color w:val="auto"/>
              </w:rPr>
            </w:pPr>
          </w:p>
        </w:tc>
        <w:tc>
          <w:tcPr>
            <w:tcW w:w="9900" w:type="dxa"/>
            <w:vAlign w:val="bottom"/>
            <w:gridSpan w:val="5"/>
          </w:tcPr>
          <w:p>
            <w:pPr>
              <w:ind w:left="380"/>
              <w:spacing w:after="0"/>
              <w:rPr>
                <w:sz w:val="20"/>
                <w:szCs w:val="20"/>
                <w:color w:val="auto"/>
              </w:rPr>
            </w:pPr>
            <w:r>
              <w:rPr>
                <w:rFonts w:ascii="Times New Roman" w:cs="Times New Roman" w:eastAsia="Times New Roman" w:hAnsi="Times New Roman"/>
                <w:sz w:val="20"/>
                <w:szCs w:val="20"/>
                <w:color w:val="auto"/>
              </w:rPr>
              <w:t>The filing of this statement should not be construed in and of itself as an admission by any Reporting Person as to</w:t>
            </w:r>
          </w:p>
        </w:tc>
      </w:tr>
      <w:tr>
        <w:trPr>
          <w:trHeight w:val="258"/>
        </w:trPr>
        <w:tc>
          <w:tcPr>
            <w:tcW w:w="1320" w:type="dxa"/>
            <w:vAlign w:val="bottom"/>
          </w:tcPr>
          <w:p>
            <w:pPr>
              <w:spacing w:after="0"/>
              <w:rPr>
                <w:sz w:val="22"/>
                <w:szCs w:val="22"/>
                <w:color w:val="auto"/>
              </w:rPr>
            </w:pPr>
          </w:p>
        </w:tc>
        <w:tc>
          <w:tcPr>
            <w:tcW w:w="9900" w:type="dxa"/>
            <w:vAlign w:val="bottom"/>
            <w:gridSpan w:val="5"/>
          </w:tcPr>
          <w:p>
            <w:pPr>
              <w:ind w:left="380"/>
              <w:spacing w:after="0"/>
              <w:rPr>
                <w:sz w:val="20"/>
                <w:szCs w:val="20"/>
                <w:color w:val="auto"/>
              </w:rPr>
            </w:pPr>
            <w:r>
              <w:rPr>
                <w:rFonts w:ascii="Times New Roman" w:cs="Times New Roman" w:eastAsia="Times New Roman" w:hAnsi="Times New Roman"/>
                <w:sz w:val="20"/>
                <w:szCs w:val="20"/>
                <w:color w:val="auto"/>
              </w:rPr>
              <w:t>beneficial ownership of the securities reported herein.</w:t>
            </w:r>
          </w:p>
        </w:tc>
      </w:tr>
      <w:tr>
        <w:trPr>
          <w:trHeight w:val="430"/>
        </w:trPr>
        <w:tc>
          <w:tcPr>
            <w:tcW w:w="132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900" w:type="dxa"/>
            <w:vAlign w:val="bottom"/>
            <w:gridSpan w:val="5"/>
          </w:tcPr>
          <w:p>
            <w:pPr>
              <w:ind w:left="38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230"/>
        </w:trPr>
        <w:tc>
          <w:tcPr>
            <w:tcW w:w="1320" w:type="dxa"/>
            <w:vAlign w:val="bottom"/>
          </w:tcPr>
          <w:p>
            <w:pPr>
              <w:spacing w:after="0"/>
              <w:rPr>
                <w:sz w:val="19"/>
                <w:szCs w:val="19"/>
                <w:color w:val="auto"/>
              </w:rPr>
            </w:pPr>
          </w:p>
        </w:tc>
        <w:tc>
          <w:tcPr>
            <w:tcW w:w="9900" w:type="dxa"/>
            <w:vAlign w:val="bottom"/>
            <w:gridSpan w:val="5"/>
          </w:tcPr>
          <w:p>
            <w:pPr>
              <w:ind w:left="380"/>
              <w:spacing w:after="0"/>
              <w:rPr>
                <w:sz w:val="20"/>
                <w:szCs w:val="20"/>
                <w:color w:val="auto"/>
              </w:rPr>
            </w:pPr>
            <w:r>
              <w:rPr>
                <w:rFonts w:ascii="Times New Roman" w:cs="Times New Roman" w:eastAsia="Times New Roman" w:hAnsi="Times New Roman"/>
                <w:sz w:val="20"/>
                <w:szCs w:val="20"/>
                <w:color w:val="auto"/>
              </w:rPr>
              <w:t>The address of the business office of each of the Reporting Persons is 200 Clarendon Street, 52nd Floor, Boston,</w:t>
            </w:r>
          </w:p>
        </w:tc>
      </w:tr>
      <w:tr>
        <w:trPr>
          <w:trHeight w:val="258"/>
        </w:trPr>
        <w:tc>
          <w:tcPr>
            <w:tcW w:w="1320" w:type="dxa"/>
            <w:vAlign w:val="bottom"/>
          </w:tcPr>
          <w:p>
            <w:pPr>
              <w:spacing w:after="0"/>
              <w:rPr>
                <w:sz w:val="22"/>
                <w:szCs w:val="22"/>
                <w:color w:val="auto"/>
              </w:rPr>
            </w:pPr>
          </w:p>
        </w:tc>
        <w:tc>
          <w:tcPr>
            <w:tcW w:w="9900" w:type="dxa"/>
            <w:vAlign w:val="bottom"/>
            <w:gridSpan w:val="5"/>
          </w:tcPr>
          <w:p>
            <w:pPr>
              <w:ind w:left="380"/>
              <w:spacing w:after="0"/>
              <w:rPr>
                <w:sz w:val="20"/>
                <w:szCs w:val="20"/>
                <w:color w:val="auto"/>
              </w:rPr>
            </w:pPr>
            <w:r>
              <w:rPr>
                <w:rFonts w:ascii="Times New Roman" w:cs="Times New Roman" w:eastAsia="Times New Roman" w:hAnsi="Times New Roman"/>
                <w:sz w:val="20"/>
                <w:szCs w:val="20"/>
                <w:color w:val="auto"/>
              </w:rPr>
              <w:t>Massachusetts 02116.</w:t>
            </w:r>
          </w:p>
        </w:tc>
      </w:tr>
      <w:tr>
        <w:trPr>
          <w:trHeight w:val="430"/>
        </w:trPr>
        <w:tc>
          <w:tcPr>
            <w:tcW w:w="1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900" w:type="dxa"/>
            <w:vAlign w:val="bottom"/>
            <w:gridSpan w:val="5"/>
          </w:tcPr>
          <w:p>
            <w:pPr>
              <w:ind w:left="38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230"/>
        </w:trPr>
        <w:tc>
          <w:tcPr>
            <w:tcW w:w="1320" w:type="dxa"/>
            <w:vAlign w:val="bottom"/>
          </w:tcPr>
          <w:p>
            <w:pPr>
              <w:spacing w:after="0"/>
              <w:rPr>
                <w:sz w:val="19"/>
                <w:szCs w:val="19"/>
                <w:color w:val="auto"/>
              </w:rPr>
            </w:pPr>
          </w:p>
        </w:tc>
        <w:tc>
          <w:tcPr>
            <w:tcW w:w="9900" w:type="dxa"/>
            <w:vAlign w:val="bottom"/>
            <w:gridSpan w:val="5"/>
          </w:tcPr>
          <w:p>
            <w:pPr>
              <w:ind w:left="380"/>
              <w:spacing w:after="0"/>
              <w:rPr>
                <w:sz w:val="20"/>
                <w:szCs w:val="20"/>
                <w:color w:val="auto"/>
              </w:rPr>
            </w:pPr>
            <w:r>
              <w:rPr>
                <w:rFonts w:ascii="Times New Roman" w:cs="Times New Roman" w:eastAsia="Times New Roman" w:hAnsi="Times New Roman"/>
                <w:sz w:val="20"/>
                <w:szCs w:val="20"/>
                <w:color w:val="auto"/>
              </w:rPr>
              <w:t>ACP is a limited partnership organized under the laws of the State of Delaware. ACPGP and ACA are limited liability</w:t>
            </w:r>
          </w:p>
        </w:tc>
      </w:tr>
      <w:tr>
        <w:trPr>
          <w:trHeight w:val="230"/>
        </w:trPr>
        <w:tc>
          <w:tcPr>
            <w:tcW w:w="1320" w:type="dxa"/>
            <w:vAlign w:val="bottom"/>
          </w:tcPr>
          <w:p>
            <w:pPr>
              <w:spacing w:after="0"/>
              <w:rPr>
                <w:sz w:val="19"/>
                <w:szCs w:val="19"/>
                <w:color w:val="auto"/>
              </w:rPr>
            </w:pPr>
          </w:p>
        </w:tc>
        <w:tc>
          <w:tcPr>
            <w:tcW w:w="9900" w:type="dxa"/>
            <w:vAlign w:val="bottom"/>
            <w:gridSpan w:val="5"/>
          </w:tcPr>
          <w:p>
            <w:pPr>
              <w:ind w:left="380"/>
              <w:spacing w:after="0"/>
              <w:rPr>
                <w:sz w:val="20"/>
                <w:szCs w:val="20"/>
                <w:color w:val="auto"/>
              </w:rPr>
            </w:pPr>
            <w:r>
              <w:rPr>
                <w:rFonts w:ascii="Times New Roman" w:cs="Times New Roman" w:eastAsia="Times New Roman" w:hAnsi="Times New Roman"/>
                <w:sz w:val="20"/>
                <w:szCs w:val="20"/>
                <w:color w:val="auto"/>
              </w:rPr>
              <w:t>companies organized under the laws of the State of Delaware. Messrs. Gross and Atchinson are citizens of the United</w:t>
            </w:r>
          </w:p>
        </w:tc>
      </w:tr>
      <w:tr>
        <w:trPr>
          <w:trHeight w:val="258"/>
        </w:trPr>
        <w:tc>
          <w:tcPr>
            <w:tcW w:w="1320" w:type="dxa"/>
            <w:vAlign w:val="bottom"/>
          </w:tcPr>
          <w:p>
            <w:pPr>
              <w:spacing w:after="0"/>
              <w:rPr>
                <w:sz w:val="22"/>
                <w:szCs w:val="22"/>
                <w:color w:val="auto"/>
              </w:rPr>
            </w:pPr>
          </w:p>
        </w:tc>
        <w:tc>
          <w:tcPr>
            <w:tcW w:w="9900" w:type="dxa"/>
            <w:vAlign w:val="bottom"/>
            <w:gridSpan w:val="5"/>
          </w:tcPr>
          <w:p>
            <w:pPr>
              <w:ind w:left="380"/>
              <w:spacing w:after="0"/>
              <w:rPr>
                <w:sz w:val="20"/>
                <w:szCs w:val="20"/>
                <w:color w:val="auto"/>
              </w:rPr>
            </w:pPr>
            <w:r>
              <w:rPr>
                <w:rFonts w:ascii="Times New Roman" w:cs="Times New Roman" w:eastAsia="Times New Roman" w:hAnsi="Times New Roman"/>
                <w:sz w:val="20"/>
                <w:szCs w:val="20"/>
                <w:color w:val="auto"/>
              </w:rPr>
              <w:t>States.</w:t>
            </w:r>
          </w:p>
        </w:tc>
      </w:tr>
      <w:tr>
        <w:trPr>
          <w:trHeight w:val="430"/>
        </w:trPr>
        <w:tc>
          <w:tcPr>
            <w:tcW w:w="1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900" w:type="dxa"/>
            <w:vAlign w:val="bottom"/>
            <w:gridSpan w:val="5"/>
          </w:tcPr>
          <w:p>
            <w:pPr>
              <w:ind w:left="38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212"/>
        </w:trPr>
        <w:tc>
          <w:tcPr>
            <w:tcW w:w="1320" w:type="dxa"/>
            <w:vAlign w:val="bottom"/>
          </w:tcPr>
          <w:p>
            <w:pPr>
              <w:spacing w:after="0"/>
              <w:rPr>
                <w:sz w:val="18"/>
                <w:szCs w:val="18"/>
                <w:color w:val="auto"/>
              </w:rPr>
            </w:pPr>
          </w:p>
        </w:tc>
        <w:tc>
          <w:tcPr>
            <w:tcW w:w="9900" w:type="dxa"/>
            <w:vAlign w:val="bottom"/>
            <w:gridSpan w:val="5"/>
          </w:tcPr>
          <w:p>
            <w:pPr>
              <w:ind w:left="380"/>
              <w:spacing w:after="0" w:line="212" w:lineRule="exact"/>
              <w:rPr>
                <w:sz w:val="20"/>
                <w:szCs w:val="20"/>
                <w:color w:val="auto"/>
              </w:rPr>
            </w:pPr>
            <w:r>
              <w:rPr>
                <w:rFonts w:ascii="Times New Roman" w:cs="Times New Roman" w:eastAsia="Times New Roman" w:hAnsi="Times New Roman"/>
                <w:sz w:val="20"/>
                <w:szCs w:val="20"/>
                <w:color w:val="auto"/>
              </w:rPr>
              <w:t>Class A Common Stock, $0.0001 par value per share (the "Class A Common Stock").</w:t>
            </w:r>
          </w:p>
        </w:tc>
      </w:tr>
      <w:tr>
        <w:trPr>
          <w:trHeight w:val="20"/>
        </w:trPr>
        <w:tc>
          <w:tcPr>
            <w:tcW w:w="13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ectPr>
          <w:pgSz w:w="11900" w:h="16838" w:orient="portrait"/>
          <w:cols w:equalWidth="0" w:num="1">
            <w:col w:w="11240"/>
          </w:cols>
          <w:pgMar w:left="320" w:top="216"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3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CUSIP No. 71367G102</w:t>
            </w:r>
          </w:p>
        </w:tc>
        <w:tc>
          <w:tcPr>
            <w:tcW w:w="356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13G/A</w:t>
            </w:r>
          </w:p>
        </w:tc>
        <w:tc>
          <w:tcPr>
            <w:tcW w:w="338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w w:val="97"/>
              </w:rPr>
              <w:t>Page 8 of 11 Pages</w:t>
            </w:r>
          </w:p>
        </w:tc>
      </w:tr>
      <w:tr>
        <w:trPr>
          <w:trHeight w:val="76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3040" w:type="dxa"/>
            <w:vAlign w:val="bottom"/>
          </w:tcPr>
          <w:p>
            <w:pPr>
              <w:ind w:left="440"/>
              <w:spacing w:after="0"/>
              <w:rPr>
                <w:sz w:val="20"/>
                <w:szCs w:val="20"/>
                <w:color w:val="auto"/>
              </w:rPr>
            </w:pPr>
            <w:r>
              <w:rPr>
                <w:rFonts w:ascii="Times New Roman" w:cs="Times New Roman" w:eastAsia="Times New Roman" w:hAnsi="Times New Roman"/>
                <w:sz w:val="20"/>
                <w:szCs w:val="20"/>
                <w:b w:val="1"/>
                <w:bCs w:val="1"/>
                <w:color w:val="auto"/>
              </w:rPr>
              <w:t>CUSIP NUMBER</w:t>
            </w:r>
          </w:p>
        </w:tc>
        <w:tc>
          <w:tcPr>
            <w:tcW w:w="35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58"/>
        </w:trPr>
        <w:tc>
          <w:tcPr>
            <w:tcW w:w="1260" w:type="dxa"/>
            <w:vAlign w:val="bottom"/>
          </w:tcPr>
          <w:p>
            <w:pPr>
              <w:spacing w:after="0"/>
              <w:rPr>
                <w:sz w:val="22"/>
                <w:szCs w:val="22"/>
                <w:color w:val="auto"/>
              </w:rPr>
            </w:pPr>
          </w:p>
        </w:tc>
        <w:tc>
          <w:tcPr>
            <w:tcW w:w="30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71367G102</w:t>
            </w:r>
          </w:p>
        </w:tc>
        <w:tc>
          <w:tcPr>
            <w:tcW w:w="3560" w:type="dxa"/>
            <w:vAlign w:val="bottom"/>
          </w:tcPr>
          <w:p>
            <w:pPr>
              <w:spacing w:after="0"/>
              <w:rPr>
                <w:sz w:val="22"/>
                <w:szCs w:val="22"/>
                <w:color w:val="auto"/>
              </w:rPr>
            </w:pPr>
          </w:p>
        </w:tc>
        <w:tc>
          <w:tcPr>
            <w:tcW w:w="3380" w:type="dxa"/>
            <w:vAlign w:val="bottom"/>
          </w:tcPr>
          <w:p>
            <w:pPr>
              <w:spacing w:after="0"/>
              <w:rPr>
                <w:sz w:val="22"/>
                <w:szCs w:val="22"/>
                <w:color w:val="auto"/>
              </w:rPr>
            </w:pPr>
          </w:p>
        </w:tc>
      </w:tr>
    </w:tbl>
    <w:p>
      <w:pPr>
        <w:spacing w:after="0" w:line="197" w:lineRule="exact"/>
        <w:rPr>
          <w:sz w:val="20"/>
          <w:szCs w:val="20"/>
          <w:color w:val="auto"/>
        </w:rPr>
      </w:pPr>
    </w:p>
    <w:p>
      <w:pPr>
        <w:jc w:val="both"/>
        <w:ind w:left="1700" w:hanging="1686"/>
        <w:spacing w:after="0" w:line="273" w:lineRule="auto"/>
        <w:tabs>
          <w:tab w:leader="none" w:pos="16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Rules 13d-1(b), OR 13d-2(b) OR (c), CHECK WHETHER THE PERSON FILING IS A:</w:t>
      </w:r>
    </w:p>
    <w:p>
      <w:pPr>
        <w:spacing w:after="0" w:line="151" w:lineRule="exact"/>
        <w:rPr>
          <w:sz w:val="20"/>
          <w:szCs w:val="20"/>
          <w:color w:val="auto"/>
        </w:rPr>
      </w:pPr>
    </w:p>
    <w:p>
      <w:pPr>
        <w:ind w:left="2560" w:hanging="767"/>
        <w:spacing w:after="0" w:line="230" w:lineRule="exact"/>
        <w:tabs>
          <w:tab w:leader="none" w:pos="256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An investment adviser in accordance with Rule 13d-1(b)(1)(ii)(E);</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An employee benefit plan or endowment fund in accordance with Rule 13d-1(b)(1)(ii)(F);</w:t>
      </w:r>
    </w:p>
    <w:p>
      <w:pPr>
        <w:spacing w:after="0" w:line="229"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parent holding company or control person in accordance with Rule 13d-1(b)(1)(ii)(G);</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savings association as defined in Section 3(b) of the Federal Deposit Insurance Act;</w:t>
      </w:r>
    </w:p>
    <w:p>
      <w:pPr>
        <w:spacing w:after="0" w:line="229" w:lineRule="exact"/>
        <w:rPr>
          <w:rFonts w:ascii="Times New Roman" w:cs="Times New Roman" w:eastAsia="Times New Roman" w:hAnsi="Times New Roman"/>
          <w:sz w:val="20"/>
          <w:szCs w:val="20"/>
          <w:color w:val="auto"/>
        </w:rPr>
      </w:pPr>
    </w:p>
    <w:p>
      <w:pPr>
        <w:ind w:left="3040" w:right="260" w:hanging="1247"/>
        <w:spacing w:after="0" w:line="253" w:lineRule="exact"/>
        <w:tabs>
          <w:tab w:leader="none" w:pos="2572"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w:t>
      </w:r>
    </w:p>
    <w:p>
      <w:pPr>
        <w:spacing w:after="0" w:line="184"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47" w:lineRule="exact"/>
        <w:rPr>
          <w:sz w:val="20"/>
          <w:szCs w:val="20"/>
          <w:color w:val="auto"/>
        </w:rPr>
      </w:pPr>
    </w:p>
    <w:p>
      <w:pPr>
        <w:ind w:left="1800" w:right="2880"/>
        <w:spacing w:after="0" w:line="269" w:lineRule="auto"/>
        <w:rPr>
          <w:sz w:val="20"/>
          <w:szCs w:val="20"/>
          <w:color w:val="auto"/>
        </w:rPr>
      </w:pPr>
      <w:r>
        <w:rPr>
          <w:rFonts w:ascii="Times New Roman" w:cs="Times New Roman" w:eastAsia="Times New Roman" w:hAnsi="Times New Roman"/>
          <w:sz w:val="20"/>
          <w:szCs w:val="20"/>
          <w:color w:val="auto"/>
        </w:rPr>
        <w:t xml:space="preserve">If filing as a non-U.S. institution in accordance with Rule 13d-1(b)(1)(ii)(J), please specify the type of institution: </w:t>
      </w:r>
      <w:r>
        <w:rPr>
          <w:rFonts w:ascii="Times New Roman" w:cs="Times New Roman" w:eastAsia="Times New Roman" w:hAnsi="Times New Roman"/>
          <w:sz w:val="20"/>
          <w:szCs w:val="20"/>
          <w:u w:val="single" w:color="auto"/>
          <w:color w:val="auto"/>
        </w:rPr>
        <w:t>Not applicable.</w:t>
      </w:r>
    </w:p>
    <w:p>
      <w:pPr>
        <w:sectPr>
          <w:pgSz w:w="11900" w:h="16838" w:orient="portrait"/>
          <w:cols w:equalWidth="0" w:num="1">
            <w:col w:w="11240"/>
          </w:cols>
          <w:pgMar w:left="320" w:top="216" w:right="339" w:bottom="1440" w:gutter="0" w:footer="0" w:header="0"/>
        </w:sectPr>
      </w:pPr>
    </w:p>
    <w:bookmarkStart w:id="8" w:name="page9"/>
    <w:bookmarkEnd w:id="8"/>
    <w:p>
      <w:pPr>
        <w:spacing w:after="0"/>
        <w:tabs>
          <w:tab w:leader="none" w:pos="5360" w:val="left"/>
          <w:tab w:leader="none" w:pos="9820" w:val="left"/>
        </w:tabs>
        <w:rPr>
          <w:sz w:val="20"/>
          <w:szCs w:val="20"/>
          <w:color w:val="auto"/>
        </w:rPr>
      </w:pPr>
      <w:r>
        <w:rPr>
          <w:rFonts w:ascii="Times New Roman" w:cs="Times New Roman" w:eastAsia="Times New Roman" w:hAnsi="Times New Roman"/>
          <w:sz w:val="22"/>
          <w:szCs w:val="22"/>
          <w:b w:val="1"/>
          <w:bCs w:val="1"/>
          <w:color w:val="auto"/>
        </w:rPr>
        <w:t>CUSIP No. 71367G102</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9 of 11 Pages</w:t>
      </w: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100"/>
        <w:spacing w:after="0"/>
        <w:tabs>
          <w:tab w:leader="none" w:pos="15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ind w:left="1700" w:hanging="792"/>
        <w:spacing w:after="0"/>
        <w:tabs>
          <w:tab w:leader="none" w:pos="1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Adage Capital Partners, L.P., Adage Capital Partners GP, L.L.C. and Adage Capital Advisors, L.L.C.</w:t>
      </w:r>
    </w:p>
    <w:p>
      <w:pPr>
        <w:spacing w:after="0" w:line="242" w:lineRule="exact"/>
        <w:rPr>
          <w:rFonts w:ascii="Times New Roman" w:cs="Times New Roman" w:eastAsia="Times New Roman" w:hAnsi="Times New Roman"/>
          <w:sz w:val="20"/>
          <w:szCs w:val="20"/>
          <w:color w:val="auto"/>
        </w:rPr>
      </w:pPr>
    </w:p>
    <w:p>
      <w:pPr>
        <w:ind w:left="2260" w:hanging="556"/>
        <w:spacing w:after="0"/>
        <w:tabs>
          <w:tab w:leader="none" w:pos="226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3,463,837</w:t>
      </w:r>
    </w:p>
    <w:p>
      <w:pPr>
        <w:spacing w:after="0" w:line="21" w:lineRule="exact"/>
        <w:rPr>
          <w:rFonts w:ascii="Times New Roman" w:cs="Times New Roman" w:eastAsia="Times New Roman" w:hAnsi="Times New Roman"/>
          <w:sz w:val="20"/>
          <w:szCs w:val="20"/>
          <w:color w:val="auto"/>
        </w:rPr>
      </w:pPr>
    </w:p>
    <w:p>
      <w:pPr>
        <w:ind w:left="2260" w:right="200" w:hanging="556"/>
        <w:spacing w:after="0" w:line="239" w:lineRule="auto"/>
        <w:tabs>
          <w:tab w:leader="none" w:pos="226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8.10%. The percentage set forth in this Schedule 13G/A is calculated based upon a total of 42,737,958 shares of Class A Common Stock outstanding, which is the sum of (i) 42,375,596 shares of Class A Common Stock as of November 2, 2022, as reported in the Company’s Quarterly Report on Form 10-Q for the quarterly period ended September 30,2022 filed with the Securities and Exchange Commission on November 7, 2022 and (ii) the issuance of 362,262 shares of Class A Common Stock on December 1, 2022, as reported on the Company's Current Report Form 8-K filed with the Securities and Exchange Commission on December 2, 2022.</w:t>
      </w:r>
    </w:p>
    <w:p>
      <w:pPr>
        <w:spacing w:after="0" w:line="3" w:lineRule="exact"/>
        <w:rPr>
          <w:rFonts w:ascii="Times New Roman" w:cs="Times New Roman" w:eastAsia="Times New Roman" w:hAnsi="Times New Roman"/>
          <w:sz w:val="20"/>
          <w:szCs w:val="20"/>
          <w:color w:val="auto"/>
        </w:rPr>
      </w:pPr>
    </w:p>
    <w:p>
      <w:pPr>
        <w:ind w:left="2260" w:hanging="556"/>
        <w:spacing w:after="0"/>
        <w:tabs>
          <w:tab w:leader="none" w:pos="226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9"/>
          <w:szCs w:val="19"/>
          <w:color w:val="auto"/>
        </w:rPr>
        <w:t>Sole power to vote or direct the vote: 0</w:t>
      </w:r>
    </w:p>
    <w:p>
      <w:pPr>
        <w:ind w:left="2820" w:hanging="562"/>
        <w:spacing w:after="0"/>
        <w:tabs>
          <w:tab w:leader="none" w:pos="2820"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the vote: 3,463,837</w:t>
      </w:r>
    </w:p>
    <w:p>
      <w:pPr>
        <w:ind w:left="2820" w:hanging="562"/>
        <w:spacing w:after="0"/>
        <w:tabs>
          <w:tab w:leader="none" w:pos="2820"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0</w:t>
      </w:r>
    </w:p>
    <w:p>
      <w:pPr>
        <w:ind w:left="2820" w:hanging="562"/>
        <w:spacing w:after="0"/>
        <w:tabs>
          <w:tab w:leader="none" w:pos="2820"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of: 3,463,837</w:t>
      </w:r>
    </w:p>
    <w:p>
      <w:pPr>
        <w:spacing w:after="0" w:line="207" w:lineRule="exact"/>
        <w:rPr>
          <w:sz w:val="20"/>
          <w:szCs w:val="20"/>
          <w:color w:val="auto"/>
        </w:rPr>
      </w:pPr>
    </w:p>
    <w:p>
      <w:pPr>
        <w:ind w:left="120" w:right="200"/>
        <w:spacing w:after="0" w:line="249" w:lineRule="auto"/>
        <w:rPr>
          <w:sz w:val="20"/>
          <w:szCs w:val="20"/>
          <w:color w:val="auto"/>
        </w:rPr>
      </w:pPr>
      <w:r>
        <w:rPr>
          <w:rFonts w:ascii="Times New Roman" w:cs="Times New Roman" w:eastAsia="Times New Roman" w:hAnsi="Times New Roman"/>
          <w:sz w:val="20"/>
          <w:szCs w:val="20"/>
          <w:color w:val="auto"/>
        </w:rPr>
        <w:t>ACP has the power to dispose of and the power to vote the shares of Class A Common Stock beneficially owned by it, which power may be exercised by its general partner, ACPGP. ACA, as managing member of ACPGP, directs ACPGP's operations. Neither ACPGP nor ACA directly own any shares of Class A Common Stock. By reason of the provisions of Rule 13d-3 of the Act, ACPGP and ACA may be deemed to beneficially own the shares owned by ACP.</w:t>
      </w:r>
    </w:p>
    <w:p>
      <w:pPr>
        <w:spacing w:after="0" w:line="193" w:lineRule="exact"/>
        <w:rPr>
          <w:sz w:val="20"/>
          <w:szCs w:val="20"/>
          <w:color w:val="auto"/>
        </w:rPr>
      </w:pPr>
    </w:p>
    <w:p>
      <w:pPr>
        <w:ind w:left="1700" w:hanging="792"/>
        <w:spacing w:after="0"/>
        <w:tabs>
          <w:tab w:leader="none" w:pos="17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Robert Atchinson and Phillip Gross</w:t>
      </w:r>
    </w:p>
    <w:p>
      <w:pPr>
        <w:spacing w:after="0" w:line="229" w:lineRule="exact"/>
        <w:rPr>
          <w:rFonts w:ascii="Times New Roman" w:cs="Times New Roman" w:eastAsia="Times New Roman" w:hAnsi="Times New Roman"/>
          <w:sz w:val="20"/>
          <w:szCs w:val="20"/>
          <w:color w:val="auto"/>
        </w:rPr>
      </w:pPr>
    </w:p>
    <w:p>
      <w:pPr>
        <w:ind w:left="2260" w:hanging="556"/>
        <w:spacing w:after="0"/>
        <w:tabs>
          <w:tab w:leader="none" w:pos="226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3,463,837</w:t>
      </w:r>
    </w:p>
    <w:p>
      <w:pPr>
        <w:spacing w:after="0" w:line="21" w:lineRule="exact"/>
        <w:rPr>
          <w:rFonts w:ascii="Times New Roman" w:cs="Times New Roman" w:eastAsia="Times New Roman" w:hAnsi="Times New Roman"/>
          <w:sz w:val="20"/>
          <w:szCs w:val="20"/>
          <w:color w:val="auto"/>
        </w:rPr>
      </w:pPr>
    </w:p>
    <w:p>
      <w:pPr>
        <w:ind w:left="2260" w:hanging="556"/>
        <w:spacing w:after="0"/>
        <w:tabs>
          <w:tab w:leader="none" w:pos="226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8.10%</w:t>
      </w:r>
    </w:p>
    <w:p>
      <w:pPr>
        <w:ind w:left="2260" w:hanging="556"/>
        <w:spacing w:after="0"/>
        <w:tabs>
          <w:tab w:leader="none" w:pos="226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9"/>
          <w:szCs w:val="19"/>
          <w:color w:val="auto"/>
        </w:rPr>
        <w:t>Sole power to vote or direct the vote: 0</w:t>
      </w:r>
    </w:p>
    <w:p>
      <w:pPr>
        <w:ind w:left="2820" w:hanging="562"/>
        <w:spacing w:after="0"/>
        <w:tabs>
          <w:tab w:leader="none" w:pos="2820" w:val="left"/>
        </w:tabs>
        <w:numPr>
          <w:ilvl w:val="2"/>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the vote: 3,463,837</w:t>
      </w:r>
    </w:p>
    <w:p>
      <w:pPr>
        <w:ind w:left="2820" w:hanging="562"/>
        <w:spacing w:after="0"/>
        <w:tabs>
          <w:tab w:leader="none" w:pos="2820" w:val="left"/>
        </w:tabs>
        <w:numPr>
          <w:ilvl w:val="2"/>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0</w:t>
      </w:r>
    </w:p>
    <w:p>
      <w:pPr>
        <w:ind w:left="2820" w:hanging="562"/>
        <w:spacing w:after="0"/>
        <w:tabs>
          <w:tab w:leader="none" w:pos="2820" w:val="left"/>
        </w:tabs>
        <w:numPr>
          <w:ilvl w:val="2"/>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of: 3,463,837</w:t>
      </w:r>
    </w:p>
    <w:p>
      <w:pPr>
        <w:spacing w:after="0" w:line="207" w:lineRule="exact"/>
        <w:rPr>
          <w:sz w:val="20"/>
          <w:szCs w:val="20"/>
          <w:color w:val="auto"/>
        </w:rPr>
      </w:pPr>
    </w:p>
    <w:p>
      <w:pPr>
        <w:ind w:left="120" w:right="320"/>
        <w:spacing w:after="0" w:line="254" w:lineRule="auto"/>
        <w:rPr>
          <w:sz w:val="20"/>
          <w:szCs w:val="20"/>
          <w:color w:val="auto"/>
        </w:rPr>
      </w:pPr>
      <w:r>
        <w:rPr>
          <w:rFonts w:ascii="Times New Roman" w:cs="Times New Roman" w:eastAsia="Times New Roman" w:hAnsi="Times New Roman"/>
          <w:sz w:val="20"/>
          <w:szCs w:val="20"/>
          <w:color w:val="auto"/>
        </w:rPr>
        <w:t>Messrs. Atchinson and Gross, as managing members of ACA, have shared power to vote the shares of Class A Common Stock beneficially owned by ACP. Neither Mr. Atchinson nor Mr. Gross directly own any shares of Class A Common Stock. By reason of the provisions of Rule 13d-3 of the Act, each may be deemed to beneficially own the shares beneficially owned by ACP.</w:t>
      </w:r>
    </w:p>
    <w:p>
      <w:pPr>
        <w:spacing w:after="0" w:line="184"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700" w:right="1760" w:hanging="1589"/>
        <w:spacing w:after="0" w:line="273" w:lineRule="auto"/>
        <w:tabs>
          <w:tab w:leader="none" w:pos="16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20"/>
          <w:szCs w:val="20"/>
          <w:b w:val="1"/>
          <w:bCs w:val="1"/>
          <w:color w:val="auto"/>
        </w:rPr>
        <w:t xml:space="preserve">OWNERSHIP OF MORE THAN FIVE PERCENT ON BEHALF OF ANOTHER PERSON </w:t>
      </w:r>
      <w:r>
        <w:rPr>
          <w:rFonts w:ascii="Times New Roman" w:cs="Times New Roman" w:eastAsia="Times New Roman" w:hAnsi="Times New Roman"/>
          <w:sz w:val="20"/>
          <w:szCs w:val="20"/>
          <w:color w:val="auto"/>
        </w:rPr>
        <w:t>Not applicable.</w:t>
      </w:r>
    </w:p>
    <w:p>
      <w:pPr>
        <w:spacing w:after="0" w:line="165"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w:t>
      </w:r>
    </w:p>
    <w:p>
      <w:pPr>
        <w:spacing w:after="0" w:line="26" w:lineRule="exact"/>
        <w:rPr>
          <w:sz w:val="20"/>
          <w:szCs w:val="20"/>
          <w:color w:val="auto"/>
        </w:rPr>
      </w:pPr>
    </w:p>
    <w:p>
      <w:pPr>
        <w:ind w:left="1700" w:right="146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BEING REPORTED ON BY THE PARENT HOLDING COMPANY OR CONTROL PERSON </w:t>
      </w: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216" w:right="339" w:bottom="1440" w:gutter="0" w:footer="0" w:header="0"/>
          <w:type w:val="continuous"/>
        </w:sectPr>
      </w:pPr>
    </w:p>
    <w:bookmarkStart w:id="9" w:name="page10"/>
    <w:bookmarkEnd w:id="9"/>
    <w:p>
      <w:pPr>
        <w:spacing w:after="0"/>
        <w:tabs>
          <w:tab w:leader="none" w:pos="5360" w:val="left"/>
          <w:tab w:leader="none" w:pos="9740" w:val="left"/>
        </w:tabs>
        <w:rPr>
          <w:sz w:val="20"/>
          <w:szCs w:val="20"/>
          <w:color w:val="auto"/>
        </w:rPr>
      </w:pPr>
      <w:r>
        <w:rPr>
          <w:rFonts w:ascii="Times New Roman" w:cs="Times New Roman" w:eastAsia="Times New Roman" w:hAnsi="Times New Roman"/>
          <w:sz w:val="22"/>
          <w:szCs w:val="22"/>
          <w:b w:val="1"/>
          <w:bCs w:val="1"/>
          <w:color w:val="auto"/>
        </w:rPr>
        <w:t>CUSIP No. 71367G102</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10 of 11 Pages</w:t>
      </w: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1700" w:right="2700" w:hanging="1589"/>
        <w:spacing w:after="0" w:line="273" w:lineRule="auto"/>
        <w:tabs>
          <w:tab w:leader="none" w:pos="16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20"/>
          <w:szCs w:val="20"/>
          <w:b w:val="1"/>
          <w:bCs w:val="1"/>
          <w:color w:val="auto"/>
        </w:rPr>
        <w:t xml:space="preserve">IDENTIFICATION AND CLASSIFICATION OF MEMBERS OF THE GROUP </w:t>
      </w:r>
      <w:r>
        <w:rPr>
          <w:rFonts w:ascii="Times New Roman" w:cs="Times New Roman" w:eastAsia="Times New Roman" w:hAnsi="Times New Roman"/>
          <w:sz w:val="20"/>
          <w:szCs w:val="20"/>
          <w:color w:val="auto"/>
        </w:rPr>
        <w:t>Not applicable.</w:t>
      </w:r>
    </w:p>
    <w:p>
      <w:pPr>
        <w:spacing w:after="0" w:line="165"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29" w:lineRule="exact"/>
        <w:rPr>
          <w:sz w:val="20"/>
          <w:szCs w:val="20"/>
          <w:color w:val="auto"/>
        </w:rPr>
      </w:pPr>
    </w:p>
    <w:p>
      <w:pPr>
        <w:ind w:left="1700" w:right="2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16" w:right="339" w:bottom="1440" w:gutter="0" w:footer="0" w:header="0"/>
          <w:type w:val="continuous"/>
        </w:sectPr>
      </w:pPr>
    </w:p>
    <w:bookmarkStart w:id="10" w:name="page11"/>
    <w:bookmarkEnd w:id="10"/>
    <w:p>
      <w:pPr>
        <w:spacing w:after="0"/>
        <w:tabs>
          <w:tab w:leader="none" w:pos="5360" w:val="left"/>
          <w:tab w:leader="none" w:pos="9740" w:val="left"/>
        </w:tabs>
        <w:rPr>
          <w:sz w:val="20"/>
          <w:szCs w:val="20"/>
          <w:color w:val="auto"/>
        </w:rPr>
      </w:pPr>
      <w:r>
        <w:rPr>
          <w:rFonts w:ascii="Times New Roman" w:cs="Times New Roman" w:eastAsia="Times New Roman" w:hAnsi="Times New Roman"/>
          <w:sz w:val="22"/>
          <w:szCs w:val="22"/>
          <w:b w:val="1"/>
          <w:bCs w:val="1"/>
          <w:color w:val="auto"/>
        </w:rPr>
        <w:t>CUSIP No. 71367G102</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11 of 11 Pages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certifies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9, 2023</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ADAGE CAPITAL PARTNERS, L.P.</w:t>
      </w:r>
    </w:p>
    <w:p>
      <w:pPr>
        <w:spacing w:after="0" w:line="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By: Adage Capital Partners GP, L.L.C.,</w:t>
      </w:r>
    </w:p>
    <w:p>
      <w:pPr>
        <w:ind w:left="508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line="2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u w:val="single" w:color="auto"/>
          <w:color w:val="auto"/>
        </w:rPr>
        <w:t>/s/ Robert Atchinson</w:t>
      </w:r>
    </w:p>
    <w:p>
      <w:pPr>
        <w:spacing w:after="0" w:line="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Name: Robert Atchinson</w:t>
      </w:r>
    </w:p>
    <w:p>
      <w:pPr>
        <w:ind w:left="508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ADAGE CAPITAL PARTNERS GP, L.L.C.</w:t>
      </w:r>
    </w:p>
    <w:p>
      <w:pPr>
        <w:spacing w:after="0" w:line="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By: Adage Capital Advisors, L.L.C.,</w:t>
      </w:r>
    </w:p>
    <w:p>
      <w:pPr>
        <w:ind w:left="5080"/>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u w:val="single" w:color="auto"/>
          <w:color w:val="auto"/>
        </w:rPr>
        <w:t>/s/ Robert Atchinson</w:t>
      </w:r>
    </w:p>
    <w:p>
      <w:pPr>
        <w:spacing w:after="0" w:line="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Name: Robert Atchinson</w:t>
      </w:r>
    </w:p>
    <w:p>
      <w:pPr>
        <w:ind w:left="508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ADAGE CAPITAL ADVISORS,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u w:val="single" w:color="auto"/>
          <w:color w:val="auto"/>
        </w:rPr>
        <w:t>/s/ Robert Atchinson</w:t>
      </w:r>
    </w:p>
    <w:p>
      <w:pPr>
        <w:spacing w:after="0" w:line="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Name: Robert Atchinson</w:t>
      </w:r>
    </w:p>
    <w:p>
      <w:pPr>
        <w:ind w:left="508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ROBERT ATCHINSON</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u w:val="single" w:color="auto"/>
          <w:color w:val="auto"/>
        </w:rPr>
        <w:t>/s/ Robert Atchinson</w:t>
      </w:r>
    </w:p>
    <w:p>
      <w:pPr>
        <w:spacing w:after="0" w:line="2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ROBERT ATCHINSON, individually</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PHILLIP GROSS</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u w:val="single" w:color="auto"/>
          <w:color w:val="auto"/>
        </w:rPr>
        <w:t>/s/ Phillip Gross</w:t>
      </w:r>
    </w:p>
    <w:p>
      <w:pPr>
        <w:spacing w:after="0" w:line="2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PHILLIP GROSS, individually</w:t>
      </w:r>
    </w:p>
    <w:sectPr>
      <w:pgSz w:w="11900" w:h="16838" w:orient="portrait"/>
      <w:cols w:equalWidth="0" w:num="1">
        <w:col w:w="11240"/>
      </w:cols>
      <w:pgMar w:left="320" w:top="2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9">
    <w:nsid w:val="4DB127F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2023-02-09T11:39:15Z</dcterms:created>
  <dcterms:modified xsi:type="dcterms:W3CDTF">2023-02-09T11:39:15Z</dcterms:modified>
</cp:coreProperties>
</file>