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MUGFORD KRISTIN W</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767 FIFTH AVENUE</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Perella Weinberg Partners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PWP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05/22/2024</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05/22/2024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6,383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38,505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6,383 unvested shares subject to awards of restricted stock units, which vest on the date of Perella Weinberg Partners' next general annual stockholder meeting following the grant date, subject to continued board service through such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05/24/2024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408"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2024-05-24T17:28:43Z</dcterms:created>
  <dcterms:modified xsi:type="dcterms:W3CDTF">2024-05-24T17:28:43Z</dcterms:modified>
</cp:coreProperties>
</file>