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660"/>
        <w:spacing w:after="0"/>
        <w:rPr>
          <w:sz w:val="20"/>
          <w:szCs w:val="20"/>
          <w:color w:val="auto"/>
        </w:rPr>
      </w:pPr>
      <w:r>
        <w:rPr>
          <w:rFonts w:ascii="Arial" w:cs="Arial" w:eastAsia="Arial" w:hAnsi="Arial"/>
          <w:sz w:val="18"/>
          <w:szCs w:val="18"/>
          <w:b w:val="1"/>
          <w:bCs w:val="1"/>
          <w:color w:val="auto"/>
        </w:rPr>
        <w:t>As filed with the Securities and Exchange Commission on August 30, 2021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4"/>
          <w:szCs w:val="24"/>
          <w:color w:val="auto"/>
        </w:rPr>
      </w:pPr>
    </w:p>
    <w:p>
      <w:pPr>
        <w:jc w:val="center"/>
        <w:ind w:right="48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480"/>
        <w:spacing w:after="0"/>
        <w:rPr>
          <w:sz w:val="20"/>
          <w:szCs w:val="20"/>
          <w:color w:val="auto"/>
        </w:rPr>
      </w:pPr>
      <w:r>
        <w:rPr>
          <w:rFonts w:ascii="Arial" w:cs="Arial" w:eastAsia="Arial" w:hAnsi="Arial"/>
          <w:sz w:val="32"/>
          <w:szCs w:val="32"/>
          <w:b w:val="1"/>
          <w:bCs w:val="1"/>
          <w:color w:val="auto"/>
        </w:rPr>
        <w:t>SECURITIES AND EXCHANGE COMMISSION</w:t>
      </w:r>
    </w:p>
    <w:p>
      <w:pPr>
        <w:ind w:left="3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80"/>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480"/>
        <w:spacing w:after="0"/>
        <w:rPr>
          <w:sz w:val="20"/>
          <w:szCs w:val="20"/>
          <w:color w:val="auto"/>
        </w:rPr>
      </w:pPr>
      <w:r>
        <w:rPr>
          <w:rFonts w:ascii="Arial" w:cs="Arial" w:eastAsia="Arial" w:hAnsi="Arial"/>
          <w:sz w:val="32"/>
          <w:szCs w:val="32"/>
          <w:b w:val="1"/>
          <w:bCs w:val="1"/>
          <w:color w:val="auto"/>
        </w:rPr>
        <w:t>REGISTRATION STATEMENT</w:t>
      </w:r>
    </w:p>
    <w:p>
      <w:pPr>
        <w:jc w:val="center"/>
        <w:ind w:right="480"/>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48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480"/>
        <w:spacing w:after="0"/>
        <w:rPr>
          <w:sz w:val="20"/>
          <w:szCs w:val="20"/>
          <w:color w:val="auto"/>
        </w:rPr>
      </w:pPr>
      <w:r>
        <w:rPr>
          <w:rFonts w:ascii="Arial" w:cs="Arial" w:eastAsia="Arial" w:hAnsi="Arial"/>
          <w:sz w:val="43"/>
          <w:szCs w:val="43"/>
          <w:b w:val="1"/>
          <w:bCs w:val="1"/>
          <w:color w:val="auto"/>
        </w:rPr>
        <w:t>Perella Weinberg Partners</w:t>
      </w:r>
    </w:p>
    <w:p>
      <w:pPr>
        <w:spacing w:after="0" w:line="50" w:lineRule="exact"/>
        <w:rPr>
          <w:sz w:val="24"/>
          <w:szCs w:val="24"/>
          <w:color w:val="auto"/>
        </w:rPr>
      </w:pPr>
    </w:p>
    <w:p>
      <w:pPr>
        <w:ind w:left="25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540" w:type="dxa"/>
        <w:tblCellMar>
          <w:top w:w="0" w:type="dxa"/>
          <w:left w:w="0" w:type="dxa"/>
          <w:bottom w:w="0" w:type="dxa"/>
          <w:right w:w="0" w:type="dxa"/>
        </w:tblCellMar>
      </w:tblPr>
      <w:tr>
        <w:trPr>
          <w:trHeight w:val="212"/>
        </w:trPr>
        <w:tc>
          <w:tcPr>
            <w:tcW w:w="4360" w:type="dxa"/>
            <w:vAlign w:val="bottom"/>
          </w:tcPr>
          <w:p>
            <w:pPr>
              <w:jc w:val="center"/>
              <w:ind w:right="1799"/>
              <w:spacing w:after="0"/>
              <w:rPr>
                <w:sz w:val="20"/>
                <w:szCs w:val="20"/>
                <w:color w:val="auto"/>
              </w:rPr>
            </w:pPr>
            <w:r>
              <w:rPr>
                <w:rFonts w:ascii="Arial" w:cs="Arial" w:eastAsia="Arial" w:hAnsi="Arial"/>
                <w:sz w:val="18"/>
                <w:szCs w:val="18"/>
                <w:b w:val="1"/>
                <w:bCs w:val="1"/>
                <w:color w:val="auto"/>
                <w:w w:val="91"/>
              </w:rPr>
              <w:t>Delaware</w:t>
            </w:r>
          </w:p>
        </w:tc>
        <w:tc>
          <w:tcPr>
            <w:tcW w:w="3000" w:type="dxa"/>
            <w:vAlign w:val="bottom"/>
          </w:tcPr>
          <w:p>
            <w:pPr>
              <w:jc w:val="right"/>
              <w:ind w:right="41"/>
              <w:spacing w:after="0"/>
              <w:rPr>
                <w:sz w:val="20"/>
                <w:szCs w:val="20"/>
                <w:color w:val="auto"/>
              </w:rPr>
            </w:pPr>
            <w:r>
              <w:rPr>
                <w:rFonts w:ascii="Arial" w:cs="Arial" w:eastAsia="Arial" w:hAnsi="Arial"/>
                <w:sz w:val="18"/>
                <w:szCs w:val="18"/>
                <w:b w:val="1"/>
                <w:bCs w:val="1"/>
                <w:color w:val="auto"/>
              </w:rPr>
              <w:t>84-1770732</w:t>
            </w:r>
          </w:p>
        </w:tc>
      </w:tr>
      <w:tr>
        <w:trPr>
          <w:trHeight w:val="148"/>
        </w:trPr>
        <w:tc>
          <w:tcPr>
            <w:tcW w:w="436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00" w:type="dxa"/>
            <w:vAlign w:val="bottom"/>
          </w:tcPr>
          <w:p>
            <w:pPr>
              <w:jc w:val="center"/>
              <w:ind w:left="18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6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incorporation or organization)</w:t>
            </w:r>
          </w:p>
        </w:tc>
        <w:tc>
          <w:tcPr>
            <w:tcW w:w="3000" w:type="dxa"/>
            <w:vAlign w:val="bottom"/>
          </w:tcPr>
          <w:p>
            <w:pPr>
              <w:jc w:val="center"/>
              <w:ind w:left="180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360" w:type="dxa"/>
            <w:vAlign w:val="bottom"/>
          </w:tcPr>
          <w:p>
            <w:pPr>
              <w:jc w:val="center"/>
              <w:ind w:right="1799"/>
              <w:spacing w:after="0"/>
              <w:rPr>
                <w:sz w:val="20"/>
                <w:szCs w:val="20"/>
                <w:color w:val="auto"/>
              </w:rPr>
            </w:pPr>
            <w:r>
              <w:rPr>
                <w:rFonts w:ascii="Arial" w:cs="Arial" w:eastAsia="Arial" w:hAnsi="Arial"/>
                <w:sz w:val="18"/>
                <w:szCs w:val="18"/>
                <w:b w:val="1"/>
                <w:bCs w:val="1"/>
                <w:color w:val="auto"/>
                <w:w w:val="91"/>
              </w:rPr>
              <w:t>767 Fifth Avenue</w:t>
            </w:r>
          </w:p>
        </w:tc>
        <w:tc>
          <w:tcPr>
            <w:tcW w:w="3000" w:type="dxa"/>
            <w:vAlign w:val="bottom"/>
          </w:tcPr>
          <w:p>
            <w:pPr>
              <w:spacing w:after="0"/>
              <w:rPr>
                <w:sz w:val="24"/>
                <w:szCs w:val="24"/>
                <w:color w:val="auto"/>
              </w:rPr>
            </w:pPr>
          </w:p>
        </w:tc>
      </w:tr>
      <w:tr>
        <w:trPr>
          <w:trHeight w:val="225"/>
        </w:trPr>
        <w:tc>
          <w:tcPr>
            <w:tcW w:w="4360" w:type="dxa"/>
            <w:vAlign w:val="bottom"/>
          </w:tcPr>
          <w:p>
            <w:pPr>
              <w:jc w:val="center"/>
              <w:ind w:right="1819"/>
              <w:spacing w:after="0"/>
              <w:rPr>
                <w:sz w:val="20"/>
                <w:szCs w:val="20"/>
                <w:color w:val="auto"/>
              </w:rPr>
            </w:pPr>
            <w:r>
              <w:rPr>
                <w:rFonts w:ascii="Arial" w:cs="Arial" w:eastAsia="Arial" w:hAnsi="Arial"/>
                <w:sz w:val="18"/>
                <w:szCs w:val="18"/>
                <w:b w:val="1"/>
                <w:bCs w:val="1"/>
                <w:color w:val="auto"/>
                <w:w w:val="93"/>
              </w:rPr>
              <w:t>New York, New York</w:t>
            </w:r>
          </w:p>
        </w:tc>
        <w:tc>
          <w:tcPr>
            <w:tcW w:w="3000" w:type="dxa"/>
            <w:vAlign w:val="bottom"/>
          </w:tcPr>
          <w:p>
            <w:pPr>
              <w:jc w:val="right"/>
              <w:ind w:right="261"/>
              <w:spacing w:after="0"/>
              <w:rPr>
                <w:sz w:val="20"/>
                <w:szCs w:val="20"/>
                <w:color w:val="auto"/>
              </w:rPr>
            </w:pPr>
            <w:r>
              <w:rPr>
                <w:rFonts w:ascii="Arial" w:cs="Arial" w:eastAsia="Arial" w:hAnsi="Arial"/>
                <w:sz w:val="18"/>
                <w:szCs w:val="18"/>
                <w:b w:val="1"/>
                <w:bCs w:val="1"/>
                <w:color w:val="auto"/>
              </w:rPr>
              <w:t>10153</w:t>
            </w:r>
          </w:p>
        </w:tc>
      </w:tr>
      <w:tr>
        <w:trPr>
          <w:trHeight w:val="186"/>
        </w:trPr>
        <w:tc>
          <w:tcPr>
            <w:tcW w:w="4360" w:type="dxa"/>
            <w:vAlign w:val="bottom"/>
          </w:tcPr>
          <w:p>
            <w:pPr>
              <w:jc w:val="center"/>
              <w:ind w:right="18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000" w:type="dxa"/>
            <w:vAlign w:val="bottom"/>
          </w:tcPr>
          <w:p>
            <w:pPr>
              <w:jc w:val="center"/>
              <w:ind w:left="180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Perella Weinberg Partners 2021 Omnibus Incentive Plan</w:t>
      </w:r>
    </w:p>
    <w:p>
      <w:pPr>
        <w:spacing w:after="0" w:line="21" w:lineRule="exact"/>
        <w:rPr>
          <w:sz w:val="24"/>
          <w:szCs w:val="24"/>
          <w:color w:val="auto"/>
        </w:rPr>
      </w:pPr>
    </w:p>
    <w:p>
      <w:pPr>
        <w:jc w:val="center"/>
        <w:ind w:right="480"/>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Vladimir Shendelman, Esq.</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General Counsel</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Perella Weinberg Partners</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767 Fifth Avenue</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New York, New York 10153</w:t>
      </w:r>
    </w:p>
    <w:p>
      <w:pPr>
        <w:spacing w:after="0" w:line="2" w:lineRule="exact"/>
        <w:rPr>
          <w:sz w:val="24"/>
          <w:szCs w:val="24"/>
          <w:color w:val="auto"/>
        </w:rPr>
      </w:pPr>
    </w:p>
    <w:p>
      <w:pPr>
        <w:jc w:val="center"/>
        <w:ind w:right="480"/>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92"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(212) 287-3200</w:t>
      </w:r>
    </w:p>
    <w:p>
      <w:pPr>
        <w:spacing w:after="0" w:line="21" w:lineRule="exact"/>
        <w:rPr>
          <w:sz w:val="24"/>
          <w:szCs w:val="24"/>
          <w:color w:val="auto"/>
        </w:rPr>
      </w:pPr>
    </w:p>
    <w:p>
      <w:pPr>
        <w:jc w:val="center"/>
        <w:ind w:right="480"/>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196"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Joseph A. Coco, Esq.</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Michael J. Schwartz, Esq.</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Blair T. Thetford, Esq.</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Skadden, Arps, Slate, Meagher &amp; Flom LLP</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One Manhattan West</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New York, NY 10001</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(212) 735-3000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228600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9480"/>
          </w:cols>
          <w:pgMar w:left="1440" w:top="229" w:right="979" w:bottom="1440" w:gutter="0" w:footer="0" w:header="0"/>
        </w:sectPr>
      </w:pPr>
    </w:p>
    <w:bookmarkStart w:id="1" w:name="page2"/>
    <w:bookmarkEnd w:id="1"/>
    <w:p>
      <w:pPr>
        <w:ind w:right="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25" w:right="499" w:bottom="1440" w:gutter="0" w:footer="0" w:header="0"/>
        </w:sectPr>
      </w:pPr>
    </w:p>
    <w:bookmarkStart w:id="2" w:name="page3"/>
    <w:bookmarkEnd w:id="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CALCULATION OF REGISTRATION FEE</w:t>
      </w:r>
    </w:p>
    <w:p>
      <w:pPr>
        <w:spacing w:after="0" w:line="88" w:lineRule="exact"/>
        <w:rPr>
          <w:sz w:val="20"/>
          <w:szCs w:val="20"/>
          <w:color w:val="auto"/>
        </w:rPr>
      </w:pPr>
    </w:p>
    <w:tbl>
      <w:tblPr>
        <w:tblLayout w:type="fixed"/>
        <w:tblInd w:w="4" w:type="dxa"/>
        <w:tblCellMar>
          <w:top w:w="0" w:type="dxa"/>
          <w:left w:w="0" w:type="dxa"/>
          <w:bottom w:w="0" w:type="dxa"/>
          <w:right w:w="0" w:type="dxa"/>
        </w:tblCellMar>
      </w:tblPr>
      <w:tr>
        <w:trPr>
          <w:trHeight w:val="40"/>
        </w:trPr>
        <w:tc>
          <w:tcPr>
            <w:tcW w:w="1220" w:type="dxa"/>
            <w:vAlign w:val="bottom"/>
            <w:tcBorders>
              <w:top w:val="single" w:sz="8" w:color="auto"/>
              <w:bottom w:val="single" w:sz="8" w:color="auto"/>
            </w:tcBorders>
          </w:tcPr>
          <w:p>
            <w:pPr>
              <w:spacing w:after="0"/>
              <w:rPr>
                <w:sz w:val="3"/>
                <w:szCs w:val="3"/>
                <w:color w:val="auto"/>
              </w:rPr>
            </w:pPr>
          </w:p>
        </w:tc>
        <w:tc>
          <w:tcPr>
            <w:tcW w:w="366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1220" w:type="dxa"/>
            <w:vAlign w:val="bottom"/>
          </w:tcPr>
          <w:p>
            <w:pPr>
              <w:spacing w:after="0"/>
              <w:rPr>
                <w:sz w:val="9"/>
                <w:szCs w:val="9"/>
                <w:color w:val="auto"/>
              </w:rPr>
            </w:pPr>
          </w:p>
        </w:tc>
        <w:tc>
          <w:tcPr>
            <w:tcW w:w="366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366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220" w:type="dxa"/>
            <w:vAlign w:val="bottom"/>
          </w:tcPr>
          <w:p>
            <w:pPr>
              <w:spacing w:after="0"/>
              <w:rPr>
                <w:sz w:val="13"/>
                <w:szCs w:val="13"/>
                <w:color w:val="auto"/>
              </w:rPr>
            </w:pPr>
          </w:p>
        </w:tc>
        <w:tc>
          <w:tcPr>
            <w:tcW w:w="3660" w:type="dxa"/>
            <w:vAlign w:val="bottom"/>
            <w:tcBorders>
              <w:right w:val="single" w:sz="8" w:color="auto"/>
            </w:tcBorders>
          </w:tcPr>
          <w:p>
            <w:pPr>
              <w:jc w:val="center"/>
              <w:ind w:right="1168"/>
              <w:spacing w:after="0" w:line="158" w:lineRule="exact"/>
              <w:rPr>
                <w:sz w:val="20"/>
                <w:szCs w:val="20"/>
                <w:color w:val="auto"/>
              </w:rPr>
            </w:pPr>
            <w:r>
              <w:rPr>
                <w:rFonts w:ascii="Arial" w:cs="Arial" w:eastAsia="Arial" w:hAnsi="Arial"/>
                <w:sz w:val="14"/>
                <w:szCs w:val="14"/>
                <w:b w:val="1"/>
                <w:bCs w:val="1"/>
                <w:color w:val="auto"/>
                <w:w w:val="92"/>
              </w:rPr>
              <w:t>Title of securities</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3"/>
              </w:rPr>
              <w:t>offering price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6"/>
        </w:trPr>
        <w:tc>
          <w:tcPr>
            <w:tcW w:w="1220" w:type="dxa"/>
            <w:vAlign w:val="bottom"/>
            <w:tcBorders>
              <w:bottom w:val="single" w:sz="8" w:color="auto"/>
            </w:tcBorders>
          </w:tcPr>
          <w:p>
            <w:pPr>
              <w:spacing w:after="0"/>
              <w:rPr>
                <w:sz w:val="15"/>
                <w:szCs w:val="15"/>
                <w:color w:val="auto"/>
              </w:rPr>
            </w:pPr>
          </w:p>
        </w:tc>
        <w:tc>
          <w:tcPr>
            <w:tcW w:w="3660" w:type="dxa"/>
            <w:vAlign w:val="bottom"/>
            <w:tcBorders>
              <w:bottom w:val="single" w:sz="8" w:color="auto"/>
              <w:right w:val="single" w:sz="8" w:color="auto"/>
            </w:tcBorders>
          </w:tcPr>
          <w:p>
            <w:pPr>
              <w:jc w:val="center"/>
              <w:ind w:right="1168"/>
              <w:spacing w:after="0"/>
              <w:rPr>
                <w:sz w:val="20"/>
                <w:szCs w:val="20"/>
                <w:color w:val="auto"/>
              </w:rPr>
            </w:pPr>
            <w:r>
              <w:rPr>
                <w:rFonts w:ascii="Arial" w:cs="Arial" w:eastAsia="Arial" w:hAnsi="Arial"/>
                <w:sz w:val="14"/>
                <w:szCs w:val="14"/>
                <w:b w:val="1"/>
                <w:bCs w:val="1"/>
                <w:color w:val="auto"/>
                <w:w w:val="89"/>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offering price</w:t>
            </w:r>
          </w:p>
        </w:tc>
        <w:tc>
          <w:tcPr>
            <w:tcW w:w="152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0"/>
              </w:rPr>
              <w:t>registration fee</w:t>
            </w:r>
          </w:p>
        </w:tc>
        <w:tc>
          <w:tcPr>
            <w:tcW w:w="0" w:type="dxa"/>
            <w:vAlign w:val="bottom"/>
          </w:tcPr>
          <w:p>
            <w:pPr>
              <w:spacing w:after="0"/>
              <w:rPr>
                <w:sz w:val="1"/>
                <w:szCs w:val="1"/>
                <w:color w:val="auto"/>
              </w:rPr>
            </w:pPr>
          </w:p>
        </w:tc>
      </w:tr>
      <w:tr>
        <w:trPr>
          <w:trHeight w:val="195"/>
        </w:trPr>
        <w:tc>
          <w:tcPr>
            <w:tcW w:w="488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w w:val="91"/>
              </w:rPr>
              <w:t>Class A common stock, par value $0.0001 per share (the “Class A</w:t>
            </w: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80" w:type="dxa"/>
            <w:vAlign w:val="bottom"/>
            <w:tcBorders>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color w:val="auto"/>
              </w:rPr>
              <w:t>Common Stock”)</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24,180,000(1)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$13.75(2)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$332,475,000(2)</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$36,273.02(3)</w:t>
            </w:r>
          </w:p>
        </w:tc>
        <w:tc>
          <w:tcPr>
            <w:tcW w:w="0" w:type="dxa"/>
            <w:vAlign w:val="bottom"/>
          </w:tcPr>
          <w:p>
            <w:pPr>
              <w:spacing w:after="0"/>
              <w:rPr>
                <w:sz w:val="1"/>
                <w:szCs w:val="1"/>
                <w:color w:val="auto"/>
              </w:rPr>
            </w:pP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36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24" w:right="80" w:hanging="424"/>
        <w:spacing w:after="0" w:line="26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 under the Securities Act of 1933, as amended (the “Securities Act”), this registration statement shall also cover an indeterminate number of additional shares of Class A Common Stock of Perella Weinberg Partners (the “Registrant”) that may, with respect to the shares of Class A Common Stock registered hereunder, become issuable under the Registrant’s 2021 Omnibus Incentive Plan by reason of any stock dividend, stock split, recapitalization or other similar transaction effected without the Registrant’s receipt of consideration, which results in an increase in the number of the Registrant’s outstanding shares of Class A Common Stock.</w:t>
      </w:r>
    </w:p>
    <w:p>
      <w:pPr>
        <w:spacing w:after="0" w:line="2" w:lineRule="exact"/>
        <w:rPr>
          <w:rFonts w:ascii="Arial" w:cs="Arial" w:eastAsia="Arial" w:hAnsi="Arial"/>
          <w:sz w:val="17"/>
          <w:szCs w:val="17"/>
          <w:color w:val="auto"/>
        </w:rPr>
      </w:pPr>
    </w:p>
    <w:p>
      <w:pPr>
        <w:ind w:left="424" w:right="180" w:hanging="424"/>
        <w:spacing w:after="0" w:line="281"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Rules 457(c) and (h) under the Securities Act, on the basis of the average of the high and low prices per share of the Class A Common Stock as reported on the Nasdaq Global Select Market on August 23, 2021.</w:t>
      </w:r>
    </w:p>
    <w:p>
      <w:pPr>
        <w:spacing w:after="0" w:line="1" w:lineRule="exact"/>
        <w:rPr>
          <w:rFonts w:ascii="Arial" w:cs="Arial" w:eastAsia="Arial" w:hAnsi="Arial"/>
          <w:sz w:val="16"/>
          <w:szCs w:val="16"/>
          <w:color w:val="auto"/>
        </w:rPr>
      </w:pPr>
    </w:p>
    <w:p>
      <w:pPr>
        <w:ind w:left="424" w:right="40" w:hanging="424"/>
        <w:spacing w:after="0" w:line="255"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457(o) under the Securities Act. Calculated in accordance with Section 6 of the Securities Act and Rule 457 under the Securities Act by multiplying 0.0001091 and the proposed maximum aggregate offering price.</w:t>
      </w:r>
    </w:p>
    <w:p>
      <w:pPr>
        <w:sectPr>
          <w:pgSz w:w="11900" w:h="16838" w:orient="portrait"/>
          <w:cols w:equalWidth="0" w:num="1">
            <w:col w:w="11024"/>
          </w:cols>
          <w:pgMar w:left="436" w:top="270" w:right="4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jc w:val="both"/>
        <w:ind w:right="560"/>
        <w:spacing w:after="0" w:line="263" w:lineRule="auto"/>
        <w:rPr>
          <w:sz w:val="20"/>
          <w:szCs w:val="20"/>
          <w:color w:val="auto"/>
        </w:rPr>
      </w:pPr>
      <w:r>
        <w:rPr>
          <w:rFonts w:ascii="Arial" w:cs="Arial" w:eastAsia="Arial" w:hAnsi="Arial"/>
          <w:sz w:val="18"/>
          <w:szCs w:val="18"/>
          <w:color w:val="auto"/>
        </w:rPr>
        <w:t>This registration statement on Form S-8 (this “Registration Statement”) is being filed for the purpose of registering 24,180,000 shares of Class A Common Stock, par value $0.0001 per share, of Perella Weinberg Partners (the “Company”) that may be issued and sold pursuant to the Perella Weinberg Partners 2021 Omnibus Incentive Plan (the “Incentive Plan”).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documents containing the information specified in Part I of the instructions to the Registration Statement on Form S-8 will be sent or given to participants in the Incentive Plan as required by Rule 428(b)(1) of the rules promulgated under the Securities Act of 1933, as amended. These documents are not being filed with the Securities and Exchange Commission (the “SEC”) as a part of this registration statement in accordance with Rule 428(b) and the Note to Part I of Form S-8.</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3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121"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The following documents filed with the SEC pursuant to the Securities Exchange Act of 1934, as amended (the “Exchange Act”), are hereby incorporated by reference in this Registration Statement and shall be deemed to be a part hereof (except for any portions of Current Reports on Form 8-K furnished pursuant to Item 2.02 or Item 7.01 thereof and any corresponding exhibits thereto not filed with the SEC):</w:t>
      </w:r>
    </w:p>
    <w:p>
      <w:pPr>
        <w:spacing w:after="0" w:line="71" w:lineRule="exact"/>
        <w:rPr>
          <w:sz w:val="20"/>
          <w:szCs w:val="20"/>
          <w:color w:val="auto"/>
        </w:rPr>
      </w:pPr>
    </w:p>
    <w:p>
      <w:pPr>
        <w:ind w:left="960" w:right="140" w:hanging="532"/>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Company’s Annual Report on </w:t>
      </w:r>
      <w:hyperlink r:id="rId1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2020 filed with the SEC on March 15, 2021, as amended by Amendment No. 1 on </w:t>
      </w:r>
      <w:hyperlink r:id="rId19">
        <w:r>
          <w:rPr>
            <w:rFonts w:ascii="Arial" w:cs="Arial" w:eastAsia="Arial" w:hAnsi="Arial"/>
            <w:sz w:val="18"/>
            <w:szCs w:val="18"/>
            <w:u w:val="single" w:color="auto"/>
            <w:color w:val="0000EE"/>
          </w:rPr>
          <w:t>Form 10-K/A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May 4, 2021;</w:t>
      </w:r>
    </w:p>
    <w:p>
      <w:pPr>
        <w:spacing w:after="0" w:line="75" w:lineRule="exact"/>
        <w:rPr>
          <w:rFonts w:ascii="Arial" w:cs="Arial" w:eastAsia="Arial" w:hAnsi="Arial"/>
          <w:sz w:val="18"/>
          <w:szCs w:val="18"/>
          <w:color w:val="auto"/>
        </w:rPr>
      </w:pPr>
    </w:p>
    <w:p>
      <w:pPr>
        <w:ind w:left="960" w:hanging="532"/>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Company’s Quarterly Reports on Form 10-Q for the quarters ended </w:t>
      </w:r>
      <w:hyperlink r:id="rId20">
        <w:r>
          <w:rPr>
            <w:rFonts w:ascii="Arial" w:cs="Arial" w:eastAsia="Arial" w:hAnsi="Arial"/>
            <w:sz w:val="18"/>
            <w:szCs w:val="18"/>
            <w:u w:val="single" w:color="auto"/>
            <w:color w:val="0000EE"/>
          </w:rPr>
          <w:t>March 31,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1">
        <w:r>
          <w:rPr>
            <w:rFonts w:ascii="Arial" w:cs="Arial" w:eastAsia="Arial" w:hAnsi="Arial"/>
            <w:sz w:val="18"/>
            <w:szCs w:val="18"/>
            <w:u w:val="single" w:color="auto"/>
            <w:color w:val="0000EE"/>
          </w:rPr>
          <w:t>June 30,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May 24, 2021 and August 12, 2021, respectively;</w:t>
      </w:r>
    </w:p>
    <w:p>
      <w:pPr>
        <w:spacing w:after="0" w:line="75" w:lineRule="exact"/>
        <w:rPr>
          <w:rFonts w:ascii="Arial" w:cs="Arial" w:eastAsia="Arial" w:hAnsi="Arial"/>
          <w:sz w:val="18"/>
          <w:szCs w:val="18"/>
          <w:color w:val="auto"/>
        </w:rPr>
      </w:pPr>
    </w:p>
    <w:p>
      <w:pPr>
        <w:ind w:left="960" w:right="300" w:hanging="532"/>
        <w:spacing w:after="0" w:line="277" w:lineRule="auto"/>
        <w:tabs>
          <w:tab w:leader="none" w:pos="960" w:val="left"/>
        </w:tabs>
        <w:numPr>
          <w:ilvl w:val="0"/>
          <w:numId w:val="2"/>
        </w:numPr>
        <w:rPr>
          <w:rFonts w:ascii="Arial" w:cs="Arial" w:eastAsia="Arial" w:hAnsi="Arial"/>
          <w:sz w:val="18"/>
          <w:szCs w:val="18"/>
          <w:color w:val="0000EE"/>
        </w:rPr>
      </w:pPr>
      <w:r>
        <w:rPr>
          <w:rFonts w:ascii="Arial" w:cs="Arial" w:eastAsia="Arial" w:hAnsi="Arial"/>
          <w:sz w:val="18"/>
          <w:szCs w:val="18"/>
          <w:color w:val="auto"/>
        </w:rPr>
        <w:t xml:space="preserve">The Company’s Current Reports on Form 8-K filed with the SEC on </w:t>
      </w:r>
      <w:hyperlink r:id="rId22">
        <w:r>
          <w:rPr>
            <w:rFonts w:ascii="Arial" w:cs="Arial" w:eastAsia="Arial" w:hAnsi="Arial"/>
            <w:sz w:val="18"/>
            <w:szCs w:val="18"/>
            <w:u w:val="single" w:color="auto"/>
            <w:color w:val="0000EE"/>
          </w:rPr>
          <w:t>April 29, 2021</w:t>
        </w:r>
      </w:hyperlink>
      <w:r>
        <w:rPr>
          <w:rFonts w:ascii="Arial" w:cs="Arial" w:eastAsia="Arial" w:hAnsi="Arial"/>
          <w:sz w:val="18"/>
          <w:szCs w:val="18"/>
          <w:color w:val="auto"/>
        </w:rPr>
        <w:t xml:space="preserve">, </w:t>
      </w:r>
      <w:hyperlink r:id="rId23">
        <w:r>
          <w:rPr>
            <w:rFonts w:ascii="Arial" w:cs="Arial" w:eastAsia="Arial" w:hAnsi="Arial"/>
            <w:sz w:val="18"/>
            <w:szCs w:val="18"/>
            <w:u w:val="single" w:color="auto"/>
            <w:color w:val="0000EE"/>
          </w:rPr>
          <w:t>May 5, 2021</w:t>
        </w:r>
      </w:hyperlink>
      <w:r>
        <w:rPr>
          <w:rFonts w:ascii="Arial" w:cs="Arial" w:eastAsia="Arial" w:hAnsi="Arial"/>
          <w:sz w:val="18"/>
          <w:szCs w:val="18"/>
          <w:color w:val="auto"/>
        </w:rPr>
        <w:t xml:space="preserve">, </w:t>
      </w:r>
      <w:hyperlink r:id="rId24">
        <w:r>
          <w:rPr>
            <w:rFonts w:ascii="Arial" w:cs="Arial" w:eastAsia="Arial" w:hAnsi="Arial"/>
            <w:sz w:val="18"/>
            <w:szCs w:val="18"/>
            <w:u w:val="single" w:color="auto"/>
            <w:color w:val="0000EE"/>
          </w:rPr>
          <w:t>June 11, 2021</w:t>
        </w:r>
      </w:hyperlink>
      <w:r>
        <w:rPr>
          <w:rFonts w:ascii="Arial" w:cs="Arial" w:eastAsia="Arial" w:hAnsi="Arial"/>
          <w:sz w:val="18"/>
          <w:szCs w:val="18"/>
          <w:color w:val="auto"/>
        </w:rPr>
        <w:t xml:space="preserve">, </w:t>
      </w:r>
      <w:hyperlink r:id="rId25">
        <w:r>
          <w:rPr>
            <w:rFonts w:ascii="Arial" w:cs="Arial" w:eastAsia="Arial" w:hAnsi="Arial"/>
            <w:sz w:val="18"/>
            <w:szCs w:val="18"/>
            <w:u w:val="single" w:color="auto"/>
            <w:color w:val="0000EE"/>
          </w:rPr>
          <w:t>June 23, 2021</w:t>
        </w:r>
      </w:hyperlink>
      <w:r>
        <w:rPr>
          <w:rFonts w:ascii="Arial" w:cs="Arial" w:eastAsia="Arial" w:hAnsi="Arial"/>
          <w:sz w:val="18"/>
          <w:szCs w:val="18"/>
          <w:color w:val="auto"/>
        </w:rPr>
        <w:t xml:space="preserve">, and </w:t>
      </w:r>
      <w:hyperlink r:id="rId26">
        <w:r>
          <w:rPr>
            <w:rFonts w:ascii="Arial" w:cs="Arial" w:eastAsia="Arial" w:hAnsi="Arial"/>
            <w:sz w:val="18"/>
            <w:szCs w:val="18"/>
            <w:u w:val="single" w:color="auto"/>
            <w:color w:val="0000EE"/>
          </w:rPr>
          <w:t>June 30, 2021</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as amended by Amendment No. 1 on</w:t>
      </w:r>
      <w:r>
        <w:rPr>
          <w:rFonts w:ascii="Arial" w:cs="Arial" w:eastAsia="Arial" w:hAnsi="Arial"/>
          <w:sz w:val="18"/>
          <w:szCs w:val="18"/>
          <w:color w:val="0000EE"/>
        </w:rPr>
        <w:t xml:space="preserve"> </w:t>
      </w:r>
      <w:hyperlink r:id="rId27">
        <w:r>
          <w:rPr>
            <w:rFonts w:ascii="Arial" w:cs="Arial" w:eastAsia="Arial" w:hAnsi="Arial"/>
            <w:sz w:val="18"/>
            <w:szCs w:val="18"/>
            <w:u w:val="single" w:color="auto"/>
            <w:color w:val="0000EE"/>
          </w:rPr>
          <w:t xml:space="preserve">Form 8-K/A </w:t>
        </w:r>
      </w:hyperlink>
      <w:r>
        <w:rPr>
          <w:rFonts w:ascii="Arial" w:cs="Arial" w:eastAsia="Arial" w:hAnsi="Arial"/>
          <w:sz w:val="18"/>
          <w:szCs w:val="18"/>
          <w:color w:val="000000"/>
        </w:rPr>
        <w:t>filed</w:t>
      </w:r>
      <w:r>
        <w:rPr>
          <w:rFonts w:ascii="Arial" w:cs="Arial" w:eastAsia="Arial" w:hAnsi="Arial"/>
          <w:sz w:val="18"/>
          <w:szCs w:val="18"/>
          <w:color w:val="0000EE"/>
        </w:rPr>
        <w:t xml:space="preserve"> </w:t>
      </w:r>
      <w:r>
        <w:rPr>
          <w:rFonts w:ascii="Arial" w:cs="Arial" w:eastAsia="Arial" w:hAnsi="Arial"/>
          <w:sz w:val="18"/>
          <w:szCs w:val="18"/>
          <w:color w:val="000000"/>
        </w:rPr>
        <w:t>with the SEC on June 30, 2021; and</w:t>
      </w:r>
    </w:p>
    <w:p>
      <w:pPr>
        <w:spacing w:after="0" w:line="75" w:lineRule="exact"/>
        <w:rPr>
          <w:rFonts w:ascii="Arial" w:cs="Arial" w:eastAsia="Arial" w:hAnsi="Arial"/>
          <w:sz w:val="18"/>
          <w:szCs w:val="18"/>
          <w:color w:val="0000EE"/>
        </w:rPr>
      </w:pPr>
    </w:p>
    <w:p>
      <w:pPr>
        <w:ind w:left="960" w:right="60" w:hanging="532"/>
        <w:spacing w:after="0" w:line="26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description of the Class A Common Stock, par value $0.0001 per share, incorporated by reference into the Company’s Current Report on </w:t>
      </w:r>
      <w:hyperlink r:id="rId26">
        <w:r>
          <w:rPr>
            <w:rFonts w:ascii="Arial" w:cs="Arial" w:eastAsia="Arial" w:hAnsi="Arial"/>
            <w:sz w:val="18"/>
            <w:szCs w:val="18"/>
            <w:u w:val="single" w:color="auto"/>
            <w:color w:val="0000EE"/>
          </w:rPr>
          <w:t>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filed with the SEC on June 30, 2021 from the Company’s </w:t>
      </w:r>
      <w:hyperlink r:id="rId28">
        <w:r>
          <w:rPr>
            <w:rFonts w:ascii="Arial" w:cs="Arial" w:eastAsia="Arial" w:hAnsi="Arial"/>
            <w:sz w:val="18"/>
            <w:szCs w:val="18"/>
            <w:u w:val="single" w:color="auto"/>
            <w:color w:val="0000EE"/>
          </w:rPr>
          <w:t>Definitive 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May 27, 2021, including any amendments or reports filed for the purpose of updating such description.</w:t>
      </w:r>
    </w:p>
    <w:p>
      <w:pPr>
        <w:spacing w:after="0" w:line="184" w:lineRule="exact"/>
        <w:rPr>
          <w:rFonts w:ascii="Arial" w:cs="Arial" w:eastAsia="Arial" w:hAnsi="Arial"/>
          <w:sz w:val="18"/>
          <w:szCs w:val="18"/>
          <w:color w:val="auto"/>
        </w:rPr>
      </w:pPr>
    </w:p>
    <w:p>
      <w:pPr>
        <w:ind w:right="20"/>
        <w:spacing w:after="0" w:line="270" w:lineRule="auto"/>
        <w:rPr>
          <w:sz w:val="20"/>
          <w:szCs w:val="20"/>
          <w:color w:val="auto"/>
        </w:rPr>
      </w:pPr>
      <w:r>
        <w:rPr>
          <w:rFonts w:ascii="Arial" w:cs="Arial" w:eastAsia="Arial" w:hAnsi="Arial"/>
          <w:sz w:val="17"/>
          <w:szCs w:val="17"/>
          <w:color w:val="auto"/>
        </w:rPr>
        <w:t>All reports and definitive proxy or information statements filed pursuant to Section 13(a), 13(c), 14 or 15(d) of the Exchange Act,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Unless expressly incorporated into this Registration Statement, a report furnished but not filed on Form 8-K under the Exchange Act shall not be incorporated by reference into this Registration Statement. Any statement contained herein or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0980"/>
          </w:cols>
          <w:pgMar w:left="440" w:top="270" w:right="479" w:bottom="1440" w:gutter="0" w:footer="0" w:header="0"/>
        </w:sectPr>
      </w:pPr>
    </w:p>
    <w:bookmarkStart w:id="4" w:name="page5"/>
    <w:bookmarkEnd w:id="4"/>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color w:val="auto"/>
        </w:rPr>
        <w:t>Description of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Section 145 of the DGCL, as amended, authorizes us to indemnify any director or officer under certain prescribed circumstances and subject to certain limitations against certain costs and expenses, including attorney’s fees actually and reasonably incurred in connection with any action, suit or proceeding, whether civil, criminal, administrative or investigative, to which a person is a party by reason of being one of our directors or officers if it is determined that such person acted in accordance with the applicable standard of conduct set forth in such statutory provisions.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Certificate of Incorporation and Bylaws provide that our officers and directors are indemnified by us to the fullest extent authorized or permitted by applicable law, as it now exists or may in the future be amended. In addition, we have entered into indemnification agreements with each of our directors and executive officers. These agreements require us, among other things, to indemnify these individuals to the fullest extent permitted by applicable law against expenses and liabilities that may arise by reason of their status as directors and executive officers, subject to certain exceptions, and to advance expenses incurred as a result of any proceeding against them as to which they could be indemnified. We have also purchased a policy of directors’ and officers’ liability insurance that insures our directors and executive officers against loss arising from claims made by reason of breach of duty or other wrongful act and insures us against our obligations to indemnify our directors and executive officers.</w:t>
      </w:r>
    </w:p>
    <w:p>
      <w:pPr>
        <w:spacing w:after="0" w:line="16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or otherwise, we have been advised that in the opinion of the SEC, such indemnification is against public policy as expressed in the Securities Act and is, therefore, unenforceable.</w:t>
      </w:r>
    </w:p>
    <w:p>
      <w:pPr>
        <w:spacing w:after="0" w:line="3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5" w:name="page6"/>
    <w:bookmarkEnd w:id="5"/>
    <w:p>
      <w:pPr>
        <w:ind w:left="4"/>
        <w:spacing w:after="0"/>
        <w:tabs>
          <w:tab w:leader="none" w:pos="9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exhibits are filed herewith or incorporated herein by reference.</w:t>
      </w:r>
    </w:p>
    <w:p>
      <w:pPr>
        <w:spacing w:after="0" w:line="200" w:lineRule="exact"/>
        <w:rPr>
          <w:sz w:val="20"/>
          <w:szCs w:val="20"/>
          <w:color w:val="auto"/>
        </w:rPr>
      </w:pP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5840" w:type="dxa"/>
            <w:vAlign w:val="bottom"/>
            <w:gridSpan w:val="2"/>
          </w:tcPr>
          <w:p>
            <w:pPr>
              <w:ind w:left="43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12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512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884" w:right="300" w:hanging="786"/>
        <w:spacing w:after="0" w:line="277" w:lineRule="auto"/>
        <w:tabs>
          <w:tab w:leader="none" w:pos="864"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31">
        <w:r>
          <w:rPr>
            <w:rFonts w:ascii="Arial" w:cs="Arial" w:eastAsia="Arial" w:hAnsi="Arial"/>
            <w:sz w:val="18"/>
            <w:szCs w:val="18"/>
            <w:u w:val="single" w:color="auto"/>
            <w:color w:val="0000EE"/>
          </w:rPr>
          <w:t>Second Amended and Restated Certificate of Incorporation of Perella Weinberg Partners (incorporated by reference to Exhibit 3.1 to the</w:t>
        </w:r>
      </w:hyperlink>
      <w:r>
        <w:rPr>
          <w:rFonts w:ascii="Arial" w:cs="Arial" w:eastAsia="Arial" w:hAnsi="Arial"/>
          <w:sz w:val="18"/>
          <w:szCs w:val="18"/>
          <w:u w:val="single" w:color="auto"/>
          <w:color w:val="0000EE"/>
        </w:rPr>
        <w:t xml:space="preserve"> </w:t>
      </w:r>
      <w:hyperlink r:id="rId31">
        <w:r>
          <w:rPr>
            <w:rFonts w:ascii="Arial" w:cs="Arial" w:eastAsia="Arial" w:hAnsi="Arial"/>
            <w:sz w:val="18"/>
            <w:szCs w:val="18"/>
            <w:u w:val="single" w:color="auto"/>
            <w:color w:val="0000EE"/>
          </w:rPr>
          <w:t>Company’s Current Report on Form 8-K, filed with the SEC on June 30, 2021).</w:t>
        </w:r>
      </w:hyperlink>
    </w:p>
    <w:p>
      <w:pPr>
        <w:spacing w:after="0" w:line="62" w:lineRule="exact"/>
        <w:rPr>
          <w:sz w:val="20"/>
          <w:szCs w:val="20"/>
          <w:color w:val="auto"/>
        </w:rPr>
      </w:pPr>
    </w:p>
    <w:p>
      <w:pPr>
        <w:ind w:left="884" w:right="100" w:hanging="786"/>
        <w:spacing w:after="0" w:line="277" w:lineRule="auto"/>
        <w:tabs>
          <w:tab w:leader="none" w:pos="864"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32">
        <w:r>
          <w:rPr>
            <w:rFonts w:ascii="Arial" w:cs="Arial" w:eastAsia="Arial" w:hAnsi="Arial"/>
            <w:sz w:val="18"/>
            <w:szCs w:val="18"/>
            <w:u w:val="single" w:color="auto"/>
            <w:color w:val="0000EE"/>
          </w:rPr>
          <w:t>Amended and Restated Bylaws of Perella Weinberg Partners (incorporated by reference to Exhibit 3.2 to the Company’s Current Report on</w:t>
        </w:r>
      </w:hyperlink>
      <w:r>
        <w:rPr>
          <w:rFonts w:ascii="Arial" w:cs="Arial" w:eastAsia="Arial" w:hAnsi="Arial"/>
          <w:sz w:val="18"/>
          <w:szCs w:val="18"/>
          <w:u w:val="single" w:color="auto"/>
          <w:color w:val="0000EE"/>
        </w:rPr>
        <w:t xml:space="preserve"> </w:t>
      </w:r>
      <w:hyperlink r:id="rId32">
        <w:r>
          <w:rPr>
            <w:rFonts w:ascii="Arial" w:cs="Arial" w:eastAsia="Arial" w:hAnsi="Arial"/>
            <w:sz w:val="18"/>
            <w:szCs w:val="18"/>
            <w:u w:val="single" w:color="auto"/>
            <w:color w:val="0000EE"/>
          </w:rPr>
          <w:t>Form 8-K, filed with the SEC on June 30, 2021).</w:t>
        </w:r>
      </w:hyperlink>
    </w:p>
    <w:p>
      <w:pPr>
        <w:spacing w:after="0" w:line="62" w:lineRule="exact"/>
        <w:rPr>
          <w:sz w:val="20"/>
          <w:szCs w:val="20"/>
          <w:color w:val="auto"/>
        </w:rPr>
      </w:pPr>
    </w:p>
    <w:p>
      <w:pPr>
        <w:ind w:left="84"/>
        <w:spacing w:after="0"/>
        <w:tabs>
          <w:tab w:leader="none" w:pos="864"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9">
        <w:r>
          <w:rPr>
            <w:rFonts w:ascii="Arial" w:cs="Arial" w:eastAsia="Arial" w:hAnsi="Arial"/>
            <w:sz w:val="16"/>
            <w:szCs w:val="16"/>
            <w:u w:val="single" w:color="auto"/>
            <w:color w:val="0000EE"/>
          </w:rPr>
          <w:t>Opinion of Skadden, Arps, Slate, Meagher &amp; Flom LLP.*</w:t>
        </w:r>
      </w:hyperlink>
    </w:p>
    <w:p>
      <w:pPr>
        <w:spacing w:after="0" w:line="117" w:lineRule="exact"/>
        <w:rPr>
          <w:sz w:val="20"/>
          <w:szCs w:val="20"/>
          <w:color w:val="auto"/>
        </w:rPr>
      </w:pPr>
    </w:p>
    <w:p>
      <w:pPr>
        <w:ind w:left="4"/>
        <w:spacing w:after="0"/>
        <w:tabs>
          <w:tab w:leader="none" w:pos="864"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11">
        <w:r>
          <w:rPr>
            <w:rFonts w:ascii="Arial" w:cs="Arial" w:eastAsia="Arial" w:hAnsi="Arial"/>
            <w:sz w:val="16"/>
            <w:szCs w:val="16"/>
            <w:u w:val="single" w:color="auto"/>
            <w:color w:val="0000EE"/>
          </w:rPr>
          <w:t>Consent of WithumSmith+Brown, PC, independent registered accounting firm for FinTech Acquisition Corp. IV.*</w:t>
        </w:r>
      </w:hyperlink>
    </w:p>
    <w:p>
      <w:pPr>
        <w:spacing w:after="0" w:line="117" w:lineRule="exact"/>
        <w:rPr>
          <w:sz w:val="20"/>
          <w:szCs w:val="20"/>
          <w:color w:val="auto"/>
        </w:rPr>
      </w:pPr>
    </w:p>
    <w:p>
      <w:pPr>
        <w:ind w:left="4"/>
        <w:spacing w:after="0"/>
        <w:tabs>
          <w:tab w:leader="none" w:pos="864" w:val="left"/>
        </w:tabs>
        <w:rPr>
          <w:rFonts w:ascii="Arial" w:cs="Arial" w:eastAsia="Arial" w:hAnsi="Arial"/>
          <w:sz w:val="16"/>
          <w:szCs w:val="16"/>
          <w:u w:val="single" w:color="auto"/>
          <w:color w:val="0000EE"/>
        </w:rPr>
      </w:pPr>
      <w:r>
        <w:rPr>
          <w:rFonts w:ascii="Arial" w:cs="Arial" w:eastAsia="Arial" w:hAnsi="Arial"/>
          <w:sz w:val="18"/>
          <w:szCs w:val="18"/>
          <w:color w:val="auto"/>
        </w:rPr>
        <w:t>23.2</w:t>
      </w:r>
      <w:r>
        <w:rPr>
          <w:sz w:val="20"/>
          <w:szCs w:val="20"/>
          <w:color w:val="auto"/>
        </w:rPr>
        <w:tab/>
      </w:r>
      <w:hyperlink w:anchor="page12">
        <w:r>
          <w:rPr>
            <w:rFonts w:ascii="Arial" w:cs="Arial" w:eastAsia="Arial" w:hAnsi="Arial"/>
            <w:sz w:val="16"/>
            <w:szCs w:val="16"/>
            <w:u w:val="single" w:color="auto"/>
            <w:color w:val="0000EE"/>
          </w:rPr>
          <w:t>Consent of Ernst &amp; Young LLP, Independent Registered Public Accounting Firm.*</w:t>
        </w:r>
      </w:hyperlink>
    </w:p>
    <w:p>
      <w:pPr>
        <w:spacing w:after="0" w:line="117" w:lineRule="exact"/>
        <w:rPr>
          <w:sz w:val="20"/>
          <w:szCs w:val="20"/>
          <w:color w:val="auto"/>
        </w:rPr>
      </w:pPr>
    </w:p>
    <w:p>
      <w:pPr>
        <w:ind w:left="4"/>
        <w:spacing w:after="0"/>
        <w:tabs>
          <w:tab w:leader="none" w:pos="864" w:val="left"/>
        </w:tabs>
        <w:rPr>
          <w:rFonts w:ascii="Arial" w:cs="Arial" w:eastAsia="Arial" w:hAnsi="Arial"/>
          <w:sz w:val="16"/>
          <w:szCs w:val="16"/>
          <w:u w:val="single" w:color="auto"/>
          <w:color w:val="0000EE"/>
        </w:rPr>
      </w:pPr>
      <w:r>
        <w:rPr>
          <w:rFonts w:ascii="Arial" w:cs="Arial" w:eastAsia="Arial" w:hAnsi="Arial"/>
          <w:sz w:val="18"/>
          <w:szCs w:val="18"/>
          <w:color w:val="auto"/>
        </w:rPr>
        <w:t>23.3</w:t>
      </w:r>
      <w:r>
        <w:rPr>
          <w:sz w:val="20"/>
          <w:szCs w:val="20"/>
          <w:color w:val="auto"/>
        </w:rPr>
        <w:tab/>
      </w:r>
      <w:hyperlink w:anchor="page9">
        <w:r>
          <w:rPr>
            <w:rFonts w:ascii="Arial" w:cs="Arial" w:eastAsia="Arial" w:hAnsi="Arial"/>
            <w:sz w:val="16"/>
            <w:szCs w:val="16"/>
            <w:u w:val="single" w:color="auto"/>
            <w:color w:val="0000EE"/>
          </w:rPr>
          <w:t>Consent of Skadden, Arps, Slate, Meagher &amp; Flom LLP (included in Exhibit 5.1 hereto).*</w:t>
        </w:r>
      </w:hyperlink>
    </w:p>
    <w:p>
      <w:pPr>
        <w:spacing w:after="0" w:line="117" w:lineRule="exact"/>
        <w:rPr>
          <w:sz w:val="20"/>
          <w:szCs w:val="20"/>
          <w:color w:val="auto"/>
        </w:rPr>
      </w:pPr>
    </w:p>
    <w:p>
      <w:pPr>
        <w:ind w:left="4"/>
        <w:spacing w:after="0"/>
        <w:tabs>
          <w:tab w:leader="none" w:pos="864" w:val="left"/>
        </w:tabs>
        <w:rPr>
          <w:rFonts w:ascii="Arial" w:cs="Arial" w:eastAsia="Arial" w:hAnsi="Arial"/>
          <w:sz w:val="16"/>
          <w:szCs w:val="16"/>
          <w:u w:val="single" w:color="auto"/>
          <w:color w:val="0000EE"/>
        </w:rPr>
      </w:pPr>
      <w:r>
        <w:rPr>
          <w:rFonts w:ascii="Arial" w:cs="Arial" w:eastAsia="Arial" w:hAnsi="Arial"/>
          <w:sz w:val="18"/>
          <w:szCs w:val="18"/>
          <w:color w:val="auto"/>
        </w:rPr>
        <w:t>24.1</w:t>
      </w:r>
      <w:r>
        <w:rPr>
          <w:sz w:val="20"/>
          <w:szCs w:val="20"/>
          <w:color w:val="auto"/>
        </w:rPr>
        <w:tab/>
      </w:r>
      <w:hyperlink w:anchor="page8">
        <w:r>
          <w:rPr>
            <w:rFonts w:ascii="Arial" w:cs="Arial" w:eastAsia="Arial" w:hAnsi="Arial"/>
            <w:sz w:val="16"/>
            <w:szCs w:val="16"/>
            <w:u w:val="single" w:color="auto"/>
            <w:color w:val="0000EE"/>
          </w:rPr>
          <w:t>Powers of Attorney (included as part of the signature page hereto).*</w:t>
        </w:r>
      </w:hyperlink>
    </w:p>
    <w:p>
      <w:pPr>
        <w:spacing w:after="0" w:line="117" w:lineRule="exact"/>
        <w:rPr>
          <w:sz w:val="20"/>
          <w:szCs w:val="20"/>
          <w:color w:val="auto"/>
        </w:rPr>
      </w:pPr>
    </w:p>
    <w:p>
      <w:pPr>
        <w:ind w:left="884" w:right="300" w:hanging="876"/>
        <w:spacing w:after="0" w:line="277" w:lineRule="auto"/>
        <w:tabs>
          <w:tab w:leader="none" w:pos="864" w:val="left"/>
        </w:tabs>
        <w:rPr>
          <w:rFonts w:ascii="Arial" w:cs="Arial" w:eastAsia="Arial" w:hAnsi="Arial"/>
          <w:sz w:val="18"/>
          <w:szCs w:val="18"/>
          <w:u w:val="single" w:color="auto"/>
          <w:color w:val="0000EE"/>
        </w:rPr>
      </w:pPr>
      <w:r>
        <w:rPr>
          <w:rFonts w:ascii="Arial" w:cs="Arial" w:eastAsia="Arial" w:hAnsi="Arial"/>
          <w:sz w:val="18"/>
          <w:szCs w:val="18"/>
          <w:color w:val="auto"/>
        </w:rPr>
        <w:t>99.1</w:t>
      </w:r>
      <w:r>
        <w:rPr>
          <w:sz w:val="20"/>
          <w:szCs w:val="20"/>
          <w:color w:val="auto"/>
        </w:rPr>
        <w:tab/>
      </w:r>
      <w:hyperlink r:id="rId33">
        <w:r>
          <w:rPr>
            <w:rFonts w:ascii="Arial" w:cs="Arial" w:eastAsia="Arial" w:hAnsi="Arial"/>
            <w:sz w:val="18"/>
            <w:szCs w:val="18"/>
            <w:u w:val="single" w:color="auto"/>
            <w:color w:val="0000EE"/>
          </w:rPr>
          <w:t>Perella Weinberg Partners 2021 Omnibus Incentive Plan (incorporated by reference to Exhibit 10.6 to the Company’s Current Report on</w:t>
        </w:r>
      </w:hyperlink>
      <w:r>
        <w:rPr>
          <w:rFonts w:ascii="Arial" w:cs="Arial" w:eastAsia="Arial" w:hAnsi="Arial"/>
          <w:sz w:val="18"/>
          <w:szCs w:val="18"/>
          <w:u w:val="single" w:color="auto"/>
          <w:color w:val="0000EE"/>
        </w:rPr>
        <w:t xml:space="preserve"> </w:t>
      </w:r>
      <w:hyperlink r:id="rId33">
        <w:r>
          <w:rPr>
            <w:rFonts w:ascii="Arial" w:cs="Arial" w:eastAsia="Arial" w:hAnsi="Arial"/>
            <w:sz w:val="18"/>
            <w:szCs w:val="18"/>
            <w:u w:val="single" w:color="auto"/>
            <w:color w:val="0000EE"/>
          </w:rPr>
          <w:t>Form 8-K, filed with the SEC on June 30, 2021).</w:t>
        </w:r>
      </w:hyperlink>
    </w:p>
    <w:p>
      <w:pPr>
        <w:spacing w:after="0" w:line="62" w:lineRule="exact"/>
        <w:rPr>
          <w:sz w:val="20"/>
          <w:szCs w:val="20"/>
          <w:color w:val="auto"/>
        </w:rPr>
      </w:pPr>
    </w:p>
    <w:p>
      <w:pPr>
        <w:ind w:left="884" w:hanging="876"/>
        <w:spacing w:after="0" w:line="277" w:lineRule="auto"/>
        <w:tabs>
          <w:tab w:leader="none" w:pos="864" w:val="left"/>
        </w:tabs>
        <w:rPr>
          <w:rFonts w:ascii="Arial" w:cs="Arial" w:eastAsia="Arial" w:hAnsi="Arial"/>
          <w:sz w:val="18"/>
          <w:szCs w:val="18"/>
          <w:u w:val="single" w:color="auto"/>
          <w:color w:val="0000EE"/>
        </w:rPr>
      </w:pPr>
      <w:r>
        <w:rPr>
          <w:rFonts w:ascii="Arial" w:cs="Arial" w:eastAsia="Arial" w:hAnsi="Arial"/>
          <w:sz w:val="18"/>
          <w:szCs w:val="18"/>
          <w:color w:val="auto"/>
        </w:rPr>
        <w:t>99.2</w:t>
      </w:r>
      <w:r>
        <w:rPr>
          <w:sz w:val="20"/>
          <w:szCs w:val="20"/>
          <w:color w:val="auto"/>
        </w:rPr>
        <w:tab/>
      </w:r>
      <w:hyperlink r:id="rId34">
        <w:r>
          <w:rPr>
            <w:rFonts w:ascii="Arial" w:cs="Arial" w:eastAsia="Arial" w:hAnsi="Arial"/>
            <w:sz w:val="18"/>
            <w:szCs w:val="18"/>
            <w:u w:val="single" w:color="auto"/>
            <w:color w:val="0000EE"/>
          </w:rPr>
          <w:t>French Sub-Plan Under the Perella Weinberg Partners 2021 Omnibus Equity Incentive Plan (incorporated by reference to Exhibit 10.7 to the</w:t>
        </w:r>
      </w:hyperlink>
      <w:r>
        <w:rPr>
          <w:rFonts w:ascii="Arial" w:cs="Arial" w:eastAsia="Arial" w:hAnsi="Arial"/>
          <w:sz w:val="18"/>
          <w:szCs w:val="18"/>
          <w:u w:val="single" w:color="auto"/>
          <w:color w:val="0000EE"/>
        </w:rPr>
        <w:t xml:space="preserve"> </w:t>
      </w:r>
      <w:hyperlink r:id="rId34">
        <w:r>
          <w:rPr>
            <w:rFonts w:ascii="Arial" w:cs="Arial" w:eastAsia="Arial" w:hAnsi="Arial"/>
            <w:sz w:val="18"/>
            <w:szCs w:val="18"/>
            <w:u w:val="single" w:color="auto"/>
            <w:color w:val="0000EE"/>
          </w:rPr>
          <w:t>Company’s Current Report on Form 8-K, filed with the SEC on June 30, 2021).</w:t>
        </w:r>
      </w:hyperlink>
    </w:p>
    <w:p>
      <w:pPr>
        <w:spacing w:after="0" w:line="197"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0" w:right="479" w:bottom="1440" w:gutter="0" w:footer="0" w:header="0"/>
        </w:sectPr>
      </w:pPr>
    </w:p>
    <w:bookmarkStart w:id="6" w:name="page7"/>
    <w:bookmarkEnd w:id="6"/>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9.</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680" w:hanging="244"/>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 hereby undertakes:</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1"/>
          <w:numId w:val="4"/>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36" w:lineRule="exact"/>
        <w:rPr>
          <w:rFonts w:ascii="Arial" w:cs="Arial" w:eastAsia="Arial" w:hAnsi="Arial"/>
          <w:sz w:val="17"/>
          <w:szCs w:val="17"/>
          <w:color w:val="auto"/>
        </w:rPr>
      </w:pPr>
    </w:p>
    <w:p>
      <w:pPr>
        <w:ind w:left="1640" w:hanging="212"/>
        <w:spacing w:after="0"/>
        <w:tabs>
          <w:tab w:leader="none" w:pos="164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firstLine="1428"/>
        <w:spacing w:after="0" w:line="263" w:lineRule="auto"/>
        <w:tabs>
          <w:tab w:leader="none" w:pos="1697"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83" w:lineRule="exact"/>
        <w:rPr>
          <w:rFonts w:ascii="Arial" w:cs="Arial" w:eastAsia="Arial" w:hAnsi="Arial"/>
          <w:sz w:val="18"/>
          <w:szCs w:val="18"/>
          <w:color w:val="auto"/>
        </w:rPr>
      </w:pPr>
    </w:p>
    <w:p>
      <w:pPr>
        <w:ind w:firstLine="1428"/>
        <w:spacing w:after="0" w:line="277" w:lineRule="auto"/>
        <w:tabs>
          <w:tab w:leader="none" w:pos="1747"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both"/>
        <w:ind w:right="100" w:firstLine="991"/>
        <w:spacing w:after="0" w:line="311"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paragraphs (a)(1)(i) and (a)(1)(ii) of this section do not apply if the registration statement is on Form S-8,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w:t>
      </w:r>
    </w:p>
    <w:p>
      <w:pPr>
        <w:spacing w:after="0" w:line="149" w:lineRule="exact"/>
        <w:rPr>
          <w:sz w:val="20"/>
          <w:szCs w:val="20"/>
          <w:color w:val="auto"/>
        </w:rPr>
      </w:pPr>
    </w:p>
    <w:p>
      <w:pPr>
        <w:ind w:firstLine="987"/>
        <w:spacing w:after="0" w:line="263" w:lineRule="auto"/>
        <w:tabs>
          <w:tab w:leader="none" w:pos="1246" w:val="left"/>
        </w:tabs>
        <w:numPr>
          <w:ilvl w:val="1"/>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right="60" w:firstLine="987"/>
        <w:spacing w:after="0" w:line="277" w:lineRule="auto"/>
        <w:tabs>
          <w:tab w:leader="none" w:pos="1246"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right="40" w:firstLine="436"/>
        <w:spacing w:after="0" w:line="257" w:lineRule="auto"/>
        <w:tabs>
          <w:tab w:leader="none" w:pos="69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Arial" w:cs="Arial" w:eastAsia="Arial" w:hAnsi="Arial"/>
          <w:sz w:val="18"/>
          <w:szCs w:val="18"/>
          <w:color w:val="auto"/>
        </w:rPr>
      </w:pPr>
    </w:p>
    <w:p>
      <w:pPr>
        <w:ind w:right="100" w:firstLine="436"/>
        <w:spacing w:after="0" w:line="254" w:lineRule="auto"/>
        <w:tabs>
          <w:tab w:leader="none" w:pos="68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0" w:right="47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New York, New York, on August 30, 2021.</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Peter A. Weinberg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5715</wp:posOffset>
            </wp:positionV>
            <wp:extent cx="25717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Peter A. Weinberg</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KNOW BY ALL PERSONS BY THESE PRESENTS, that each person whose signature appears below constitutes and appoints Peter A. Weinberg, Gary S. Barancik and Vladimir Shendelman, and each of them, his or her true and lawful attorney-in-fact and agents with full and several power of substitution, for him or her and his or her name, place and stead,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agents or any of them, or their substitutes, may lawfully do or cause to be done.</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on behalf of the registrant and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gridSpan w:val="2"/>
          </w:tcPr>
          <w:p>
            <w:pPr>
              <w:ind w:left="1900"/>
              <w:spacing w:after="0"/>
              <w:rPr>
                <w:sz w:val="20"/>
                <w:szCs w:val="20"/>
                <w:color w:val="auto"/>
              </w:rPr>
            </w:pPr>
            <w:r>
              <w:rPr>
                <w:rFonts w:ascii="Arial" w:cs="Arial" w:eastAsia="Arial" w:hAnsi="Arial"/>
                <w:sz w:val="14"/>
                <w:szCs w:val="14"/>
                <w:b w:val="1"/>
                <w:bCs w:val="1"/>
                <w:color w:val="auto"/>
                <w:w w:val="94"/>
              </w:rPr>
              <w:t>Name</w:t>
            </w:r>
          </w:p>
        </w:tc>
        <w:tc>
          <w:tcPr>
            <w:tcW w:w="1900" w:type="dxa"/>
            <w:vAlign w:val="bottom"/>
          </w:tcPr>
          <w:p>
            <w:pPr>
              <w:spacing w:after="0"/>
              <w:rPr>
                <w:sz w:val="14"/>
                <w:szCs w:val="14"/>
                <w:color w:val="auto"/>
              </w:rPr>
            </w:pPr>
          </w:p>
        </w:tc>
        <w:tc>
          <w:tcPr>
            <w:tcW w:w="4320" w:type="dxa"/>
            <w:vAlign w:val="bottom"/>
            <w:gridSpan w:val="3"/>
          </w:tcPr>
          <w:p>
            <w:pPr>
              <w:ind w:left="240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spacing w:after="0"/>
              <w:rPr>
                <w:sz w:val="14"/>
                <w:szCs w:val="14"/>
                <w:color w:val="auto"/>
              </w:rPr>
            </w:pPr>
          </w:p>
        </w:tc>
        <w:tc>
          <w:tcPr>
            <w:tcW w:w="7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9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25"/>
        </w:trPr>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A. Weinberg</w:t>
            </w:r>
          </w:p>
        </w:tc>
        <w:tc>
          <w:tcPr>
            <w:tcW w:w="3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320" w:type="dxa"/>
            <w:vAlign w:val="bottom"/>
            <w:gridSpan w:val="3"/>
          </w:tcPr>
          <w:p>
            <w:pPr>
              <w:ind w:left="480"/>
              <w:spacing w:after="0"/>
              <w:rPr>
                <w:sz w:val="20"/>
                <w:szCs w:val="20"/>
                <w:color w:val="auto"/>
              </w:rPr>
            </w:pPr>
            <w:r>
              <w:rPr>
                <w:rFonts w:ascii="Arial" w:cs="Arial" w:eastAsia="Arial" w:hAnsi="Arial"/>
                <w:sz w:val="18"/>
                <w:szCs w:val="18"/>
                <w:color w:val="auto"/>
              </w:rPr>
              <w:t>Chairman and Chief Executive Officer</w:t>
            </w:r>
          </w:p>
        </w:tc>
        <w:tc>
          <w:tcPr>
            <w:tcW w:w="2240" w:type="dxa"/>
            <w:vAlign w:val="bottom"/>
            <w:gridSpan w:val="3"/>
          </w:tcPr>
          <w:p>
            <w:pPr>
              <w:jc w:val="center"/>
              <w:ind w:left="950"/>
              <w:spacing w:after="0"/>
              <w:rPr>
                <w:sz w:val="20"/>
                <w:szCs w:val="20"/>
                <w:color w:val="auto"/>
              </w:rPr>
            </w:pPr>
            <w:r>
              <w:rPr>
                <w:rFonts w:ascii="Arial" w:cs="Arial" w:eastAsia="Arial" w:hAnsi="Arial"/>
                <w:sz w:val="18"/>
                <w:szCs w:val="18"/>
                <w:color w:val="auto"/>
                <w:w w:val="91"/>
              </w:rPr>
              <w:t>August 30, 2021</w:t>
            </w:r>
          </w:p>
        </w:tc>
      </w:tr>
      <w:tr>
        <w:trPr>
          <w:trHeight w:val="224"/>
        </w:trPr>
        <w:tc>
          <w:tcPr>
            <w:tcW w:w="2280" w:type="dxa"/>
            <w:vAlign w:val="bottom"/>
            <w:gridSpan w:val="2"/>
          </w:tcPr>
          <w:p>
            <w:pPr>
              <w:spacing w:after="0"/>
              <w:rPr>
                <w:sz w:val="20"/>
                <w:szCs w:val="20"/>
                <w:color w:val="auto"/>
              </w:rPr>
            </w:pPr>
            <w:r>
              <w:rPr>
                <w:rFonts w:ascii="Arial" w:cs="Arial" w:eastAsia="Arial" w:hAnsi="Arial"/>
                <w:sz w:val="18"/>
                <w:szCs w:val="18"/>
                <w:color w:val="auto"/>
              </w:rPr>
              <w:t>Peter A. Weinberg</w:t>
            </w:r>
          </w:p>
        </w:tc>
        <w:tc>
          <w:tcPr>
            <w:tcW w:w="1900" w:type="dxa"/>
            <w:vAlign w:val="bottom"/>
          </w:tcPr>
          <w:p>
            <w:pPr>
              <w:spacing w:after="0"/>
              <w:rPr>
                <w:sz w:val="19"/>
                <w:szCs w:val="19"/>
                <w:color w:val="auto"/>
              </w:rPr>
            </w:pPr>
          </w:p>
        </w:tc>
        <w:tc>
          <w:tcPr>
            <w:tcW w:w="4320" w:type="dxa"/>
            <w:vAlign w:val="bottom"/>
            <w:gridSpan w:val="3"/>
          </w:tcPr>
          <w:p>
            <w:pPr>
              <w:ind w:left="480"/>
              <w:spacing w:after="0"/>
              <w:rPr>
                <w:sz w:val="20"/>
                <w:szCs w:val="20"/>
                <w:color w:val="auto"/>
              </w:rPr>
            </w:pPr>
            <w:r>
              <w:rPr>
                <w:rFonts w:ascii="Arial" w:cs="Arial" w:eastAsia="Arial" w:hAnsi="Arial"/>
                <w:sz w:val="18"/>
                <w:szCs w:val="18"/>
                <w:color w:val="auto"/>
              </w:rPr>
              <w:t>(Principal Executive Office)</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2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Gary S. Barancik</w:t>
            </w:r>
          </w:p>
        </w:tc>
        <w:tc>
          <w:tcPr>
            <w:tcW w:w="1900" w:type="dxa"/>
            <w:vAlign w:val="bottom"/>
            <w:tcBorders>
              <w:bottom w:val="single" w:sz="8" w:color="auto"/>
            </w:tcBorders>
          </w:tcPr>
          <w:p>
            <w:pPr>
              <w:spacing w:after="0"/>
              <w:rPr>
                <w:sz w:val="24"/>
                <w:szCs w:val="24"/>
                <w:color w:val="auto"/>
              </w:rPr>
            </w:pPr>
          </w:p>
        </w:tc>
        <w:tc>
          <w:tcPr>
            <w:tcW w:w="4320" w:type="dxa"/>
            <w:vAlign w:val="bottom"/>
            <w:gridSpan w:val="3"/>
          </w:tcPr>
          <w:p>
            <w:pPr>
              <w:ind w:left="480"/>
              <w:spacing w:after="0"/>
              <w:rPr>
                <w:sz w:val="20"/>
                <w:szCs w:val="20"/>
                <w:color w:val="auto"/>
              </w:rPr>
            </w:pPr>
            <w:r>
              <w:rPr>
                <w:rFonts w:ascii="Arial" w:cs="Arial" w:eastAsia="Arial" w:hAnsi="Arial"/>
                <w:sz w:val="18"/>
                <w:szCs w:val="18"/>
                <w:color w:val="auto"/>
              </w:rPr>
              <w:t>Chief Financial Officer</w:t>
            </w:r>
          </w:p>
        </w:tc>
        <w:tc>
          <w:tcPr>
            <w:tcW w:w="2240" w:type="dxa"/>
            <w:vAlign w:val="bottom"/>
            <w:gridSpan w:val="3"/>
          </w:tcPr>
          <w:p>
            <w:pPr>
              <w:jc w:val="center"/>
              <w:ind w:left="950"/>
              <w:spacing w:after="0"/>
              <w:rPr>
                <w:sz w:val="20"/>
                <w:szCs w:val="20"/>
                <w:color w:val="auto"/>
              </w:rPr>
            </w:pPr>
            <w:r>
              <w:rPr>
                <w:rFonts w:ascii="Arial" w:cs="Arial" w:eastAsia="Arial" w:hAnsi="Arial"/>
                <w:sz w:val="18"/>
                <w:szCs w:val="18"/>
                <w:color w:val="auto"/>
                <w:w w:val="91"/>
              </w:rPr>
              <w:t>August 30, 2021</w:t>
            </w:r>
          </w:p>
        </w:tc>
      </w:tr>
      <w:tr>
        <w:trPr>
          <w:trHeight w:val="224"/>
        </w:trPr>
        <w:tc>
          <w:tcPr>
            <w:tcW w:w="2280" w:type="dxa"/>
            <w:vAlign w:val="bottom"/>
            <w:gridSpan w:val="2"/>
          </w:tcPr>
          <w:p>
            <w:pPr>
              <w:spacing w:after="0"/>
              <w:rPr>
                <w:sz w:val="20"/>
                <w:szCs w:val="20"/>
                <w:color w:val="auto"/>
              </w:rPr>
            </w:pPr>
            <w:r>
              <w:rPr>
                <w:rFonts w:ascii="Arial" w:cs="Arial" w:eastAsia="Arial" w:hAnsi="Arial"/>
                <w:sz w:val="18"/>
                <w:szCs w:val="18"/>
                <w:color w:val="auto"/>
              </w:rPr>
              <w:t>Gary S. Barancik</w:t>
            </w:r>
          </w:p>
        </w:tc>
        <w:tc>
          <w:tcPr>
            <w:tcW w:w="1900" w:type="dxa"/>
            <w:vAlign w:val="bottom"/>
          </w:tcPr>
          <w:p>
            <w:pPr>
              <w:spacing w:after="0"/>
              <w:rPr>
                <w:sz w:val="19"/>
                <w:szCs w:val="19"/>
                <w:color w:val="auto"/>
              </w:rPr>
            </w:pPr>
          </w:p>
        </w:tc>
        <w:tc>
          <w:tcPr>
            <w:tcW w:w="4320" w:type="dxa"/>
            <w:vAlign w:val="bottom"/>
            <w:gridSpan w:val="3"/>
          </w:tcPr>
          <w:p>
            <w:pPr>
              <w:ind w:left="480"/>
              <w:spacing w:after="0"/>
              <w:rPr>
                <w:sz w:val="20"/>
                <w:szCs w:val="20"/>
                <w:color w:val="auto"/>
              </w:rPr>
            </w:pPr>
            <w:r>
              <w:rPr>
                <w:rFonts w:ascii="Arial" w:cs="Arial" w:eastAsia="Arial" w:hAnsi="Arial"/>
                <w:sz w:val="18"/>
                <w:szCs w:val="18"/>
                <w:color w:val="auto"/>
              </w:rPr>
              <w:t>(Principal Financial Officer)</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2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Alexandra Gottschalk</w:t>
            </w:r>
          </w:p>
        </w:tc>
        <w:tc>
          <w:tcPr>
            <w:tcW w:w="1900" w:type="dxa"/>
            <w:vAlign w:val="bottom"/>
            <w:tcBorders>
              <w:bottom w:val="single" w:sz="8" w:color="auto"/>
            </w:tcBorders>
          </w:tcPr>
          <w:p>
            <w:pPr>
              <w:spacing w:after="0"/>
              <w:rPr>
                <w:sz w:val="24"/>
                <w:szCs w:val="24"/>
                <w:color w:val="auto"/>
              </w:rPr>
            </w:pPr>
          </w:p>
        </w:tc>
        <w:tc>
          <w:tcPr>
            <w:tcW w:w="4320" w:type="dxa"/>
            <w:vAlign w:val="bottom"/>
            <w:gridSpan w:val="3"/>
          </w:tcPr>
          <w:p>
            <w:pPr>
              <w:ind w:left="480"/>
              <w:spacing w:after="0"/>
              <w:rPr>
                <w:sz w:val="20"/>
                <w:szCs w:val="20"/>
                <w:color w:val="auto"/>
              </w:rPr>
            </w:pPr>
            <w:r>
              <w:rPr>
                <w:rFonts w:ascii="Arial" w:cs="Arial" w:eastAsia="Arial" w:hAnsi="Arial"/>
                <w:sz w:val="18"/>
                <w:szCs w:val="18"/>
                <w:color w:val="auto"/>
              </w:rPr>
              <w:t>Chief Accounting Officer</w:t>
            </w:r>
          </w:p>
        </w:tc>
        <w:tc>
          <w:tcPr>
            <w:tcW w:w="2240" w:type="dxa"/>
            <w:vAlign w:val="bottom"/>
            <w:gridSpan w:val="3"/>
          </w:tcPr>
          <w:p>
            <w:pPr>
              <w:jc w:val="center"/>
              <w:ind w:left="950"/>
              <w:spacing w:after="0"/>
              <w:rPr>
                <w:sz w:val="20"/>
                <w:szCs w:val="20"/>
                <w:color w:val="auto"/>
              </w:rPr>
            </w:pPr>
            <w:r>
              <w:rPr>
                <w:rFonts w:ascii="Arial" w:cs="Arial" w:eastAsia="Arial" w:hAnsi="Arial"/>
                <w:sz w:val="18"/>
                <w:szCs w:val="18"/>
                <w:color w:val="auto"/>
                <w:w w:val="91"/>
              </w:rPr>
              <w:t>August 30, 2021</w:t>
            </w:r>
          </w:p>
        </w:tc>
      </w:tr>
      <w:tr>
        <w:trPr>
          <w:trHeight w:val="224"/>
        </w:trPr>
        <w:tc>
          <w:tcPr>
            <w:tcW w:w="2280" w:type="dxa"/>
            <w:vAlign w:val="bottom"/>
            <w:gridSpan w:val="2"/>
          </w:tcPr>
          <w:p>
            <w:pPr>
              <w:spacing w:after="0"/>
              <w:rPr>
                <w:sz w:val="20"/>
                <w:szCs w:val="20"/>
                <w:color w:val="auto"/>
              </w:rPr>
            </w:pPr>
            <w:r>
              <w:rPr>
                <w:rFonts w:ascii="Arial" w:cs="Arial" w:eastAsia="Arial" w:hAnsi="Arial"/>
                <w:sz w:val="18"/>
                <w:szCs w:val="18"/>
                <w:color w:val="auto"/>
              </w:rPr>
              <w:t>Alexandra Gottschalk</w:t>
            </w:r>
          </w:p>
        </w:tc>
        <w:tc>
          <w:tcPr>
            <w:tcW w:w="1900" w:type="dxa"/>
            <w:vAlign w:val="bottom"/>
          </w:tcPr>
          <w:p>
            <w:pPr>
              <w:spacing w:after="0"/>
              <w:rPr>
                <w:sz w:val="19"/>
                <w:szCs w:val="19"/>
                <w:color w:val="auto"/>
              </w:rPr>
            </w:pPr>
          </w:p>
        </w:tc>
        <w:tc>
          <w:tcPr>
            <w:tcW w:w="4320" w:type="dxa"/>
            <w:vAlign w:val="bottom"/>
            <w:gridSpan w:val="3"/>
          </w:tcPr>
          <w:p>
            <w:pPr>
              <w:ind w:left="480"/>
              <w:spacing w:after="0"/>
              <w:rPr>
                <w:sz w:val="20"/>
                <w:szCs w:val="20"/>
                <w:color w:val="auto"/>
              </w:rPr>
            </w:pPr>
            <w:r>
              <w:rPr>
                <w:rFonts w:ascii="Arial" w:cs="Arial" w:eastAsia="Arial" w:hAnsi="Arial"/>
                <w:sz w:val="18"/>
                <w:szCs w:val="18"/>
                <w:color w:val="auto"/>
              </w:rPr>
              <w:t>(Principal Accounting Officer)</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2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Joseph R. Perella</w:t>
            </w:r>
          </w:p>
        </w:tc>
        <w:tc>
          <w:tcPr>
            <w:tcW w:w="1900" w:type="dxa"/>
            <w:vAlign w:val="bottom"/>
            <w:tcBorders>
              <w:bottom w:val="single" w:sz="8" w:color="auto"/>
            </w:tcBorders>
          </w:tcPr>
          <w:p>
            <w:pPr>
              <w:spacing w:after="0"/>
              <w:rPr>
                <w:sz w:val="24"/>
                <w:szCs w:val="24"/>
                <w:color w:val="auto"/>
              </w:rPr>
            </w:pPr>
          </w:p>
        </w:tc>
        <w:tc>
          <w:tcPr>
            <w:tcW w:w="4320" w:type="dxa"/>
            <w:vAlign w:val="bottom"/>
            <w:gridSpan w:val="3"/>
          </w:tcPr>
          <w:p>
            <w:pPr>
              <w:ind w:left="480"/>
              <w:spacing w:after="0"/>
              <w:rPr>
                <w:sz w:val="20"/>
                <w:szCs w:val="20"/>
                <w:color w:val="auto"/>
              </w:rPr>
            </w:pPr>
            <w:r>
              <w:rPr>
                <w:rFonts w:ascii="Arial" w:cs="Arial" w:eastAsia="Arial" w:hAnsi="Arial"/>
                <w:sz w:val="18"/>
                <w:szCs w:val="18"/>
                <w:color w:val="auto"/>
              </w:rPr>
              <w:t>Chairman Emeritus</w:t>
            </w:r>
          </w:p>
        </w:tc>
        <w:tc>
          <w:tcPr>
            <w:tcW w:w="2240" w:type="dxa"/>
            <w:vAlign w:val="bottom"/>
            <w:gridSpan w:val="3"/>
          </w:tcPr>
          <w:p>
            <w:pPr>
              <w:jc w:val="center"/>
              <w:ind w:left="950"/>
              <w:spacing w:after="0"/>
              <w:rPr>
                <w:sz w:val="20"/>
                <w:szCs w:val="20"/>
                <w:color w:val="auto"/>
              </w:rPr>
            </w:pPr>
            <w:r>
              <w:rPr>
                <w:rFonts w:ascii="Arial" w:cs="Arial" w:eastAsia="Arial" w:hAnsi="Arial"/>
                <w:sz w:val="18"/>
                <w:szCs w:val="18"/>
                <w:color w:val="auto"/>
                <w:w w:val="91"/>
              </w:rPr>
              <w:t>August 30, 2021</w:t>
            </w:r>
          </w:p>
        </w:tc>
      </w:tr>
      <w:tr>
        <w:trPr>
          <w:trHeight w:val="224"/>
        </w:trPr>
        <w:tc>
          <w:tcPr>
            <w:tcW w:w="2280" w:type="dxa"/>
            <w:vAlign w:val="bottom"/>
            <w:gridSpan w:val="2"/>
          </w:tcPr>
          <w:p>
            <w:pPr>
              <w:spacing w:after="0"/>
              <w:rPr>
                <w:sz w:val="20"/>
                <w:szCs w:val="20"/>
                <w:color w:val="auto"/>
              </w:rPr>
            </w:pPr>
            <w:r>
              <w:rPr>
                <w:rFonts w:ascii="Arial" w:cs="Arial" w:eastAsia="Arial" w:hAnsi="Arial"/>
                <w:sz w:val="18"/>
                <w:szCs w:val="18"/>
                <w:color w:val="auto"/>
              </w:rPr>
              <w:t>Joseph R. Perella</w:t>
            </w:r>
          </w:p>
        </w:tc>
        <w:tc>
          <w:tcPr>
            <w:tcW w:w="19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2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K. Steel</w:t>
            </w:r>
          </w:p>
        </w:tc>
        <w:tc>
          <w:tcPr>
            <w:tcW w:w="1900" w:type="dxa"/>
            <w:vAlign w:val="bottom"/>
            <w:tcBorders>
              <w:bottom w:val="single" w:sz="8" w:color="auto"/>
            </w:tcBorders>
          </w:tcPr>
          <w:p>
            <w:pPr>
              <w:spacing w:after="0"/>
              <w:rPr>
                <w:sz w:val="24"/>
                <w:szCs w:val="24"/>
                <w:color w:val="auto"/>
              </w:rPr>
            </w:pPr>
          </w:p>
        </w:tc>
        <w:tc>
          <w:tcPr>
            <w:tcW w:w="4320" w:type="dxa"/>
            <w:vAlign w:val="bottom"/>
            <w:gridSpan w:val="3"/>
          </w:tcPr>
          <w:p>
            <w:pPr>
              <w:ind w:left="480"/>
              <w:spacing w:after="0"/>
              <w:rPr>
                <w:sz w:val="20"/>
                <w:szCs w:val="20"/>
                <w:color w:val="auto"/>
              </w:rPr>
            </w:pPr>
            <w:r>
              <w:rPr>
                <w:rFonts w:ascii="Arial" w:cs="Arial" w:eastAsia="Arial" w:hAnsi="Arial"/>
                <w:sz w:val="18"/>
                <w:szCs w:val="18"/>
                <w:color w:val="auto"/>
              </w:rPr>
              <w:t>Vice Chairman</w:t>
            </w:r>
          </w:p>
        </w:tc>
        <w:tc>
          <w:tcPr>
            <w:tcW w:w="2240" w:type="dxa"/>
            <w:vAlign w:val="bottom"/>
            <w:gridSpan w:val="3"/>
          </w:tcPr>
          <w:p>
            <w:pPr>
              <w:jc w:val="center"/>
              <w:ind w:left="950"/>
              <w:spacing w:after="0"/>
              <w:rPr>
                <w:sz w:val="20"/>
                <w:szCs w:val="20"/>
                <w:color w:val="auto"/>
              </w:rPr>
            </w:pPr>
            <w:r>
              <w:rPr>
                <w:rFonts w:ascii="Arial" w:cs="Arial" w:eastAsia="Arial" w:hAnsi="Arial"/>
                <w:sz w:val="18"/>
                <w:szCs w:val="18"/>
                <w:color w:val="auto"/>
                <w:w w:val="91"/>
              </w:rPr>
              <w:t>August 30, 2021</w:t>
            </w:r>
          </w:p>
        </w:tc>
      </w:tr>
      <w:tr>
        <w:trPr>
          <w:trHeight w:val="224"/>
        </w:trPr>
        <w:tc>
          <w:tcPr>
            <w:tcW w:w="2280" w:type="dxa"/>
            <w:vAlign w:val="bottom"/>
            <w:gridSpan w:val="2"/>
          </w:tcPr>
          <w:p>
            <w:pPr>
              <w:spacing w:after="0"/>
              <w:rPr>
                <w:sz w:val="20"/>
                <w:szCs w:val="20"/>
                <w:color w:val="auto"/>
              </w:rPr>
            </w:pPr>
            <w:r>
              <w:rPr>
                <w:rFonts w:ascii="Arial" w:cs="Arial" w:eastAsia="Arial" w:hAnsi="Arial"/>
                <w:sz w:val="18"/>
                <w:szCs w:val="18"/>
                <w:color w:val="auto"/>
              </w:rPr>
              <w:t>Robert K. Steel</w:t>
            </w:r>
          </w:p>
        </w:tc>
        <w:tc>
          <w:tcPr>
            <w:tcW w:w="19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2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Dietrich Becker</w:t>
            </w:r>
          </w:p>
        </w:tc>
        <w:tc>
          <w:tcPr>
            <w:tcW w:w="1900" w:type="dxa"/>
            <w:vAlign w:val="bottom"/>
            <w:tcBorders>
              <w:bottom w:val="single" w:sz="8" w:color="auto"/>
            </w:tcBorders>
          </w:tcPr>
          <w:p>
            <w:pPr>
              <w:spacing w:after="0"/>
              <w:rPr>
                <w:sz w:val="24"/>
                <w:szCs w:val="24"/>
                <w:color w:val="auto"/>
              </w:rPr>
            </w:pPr>
          </w:p>
        </w:tc>
        <w:tc>
          <w:tcPr>
            <w:tcW w:w="432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2240" w:type="dxa"/>
            <w:vAlign w:val="bottom"/>
            <w:gridSpan w:val="3"/>
          </w:tcPr>
          <w:p>
            <w:pPr>
              <w:jc w:val="center"/>
              <w:ind w:left="950"/>
              <w:spacing w:after="0"/>
              <w:rPr>
                <w:sz w:val="20"/>
                <w:szCs w:val="20"/>
                <w:color w:val="auto"/>
              </w:rPr>
            </w:pPr>
            <w:r>
              <w:rPr>
                <w:rFonts w:ascii="Arial" w:cs="Arial" w:eastAsia="Arial" w:hAnsi="Arial"/>
                <w:sz w:val="18"/>
                <w:szCs w:val="18"/>
                <w:color w:val="auto"/>
                <w:w w:val="91"/>
              </w:rPr>
              <w:t>August 30, 2021</w:t>
            </w:r>
          </w:p>
        </w:tc>
      </w:tr>
      <w:tr>
        <w:trPr>
          <w:trHeight w:val="224"/>
        </w:trPr>
        <w:tc>
          <w:tcPr>
            <w:tcW w:w="2280" w:type="dxa"/>
            <w:vAlign w:val="bottom"/>
            <w:gridSpan w:val="2"/>
          </w:tcPr>
          <w:p>
            <w:pPr>
              <w:spacing w:after="0"/>
              <w:rPr>
                <w:sz w:val="20"/>
                <w:szCs w:val="20"/>
                <w:color w:val="auto"/>
              </w:rPr>
            </w:pPr>
            <w:r>
              <w:rPr>
                <w:rFonts w:ascii="Arial" w:cs="Arial" w:eastAsia="Arial" w:hAnsi="Arial"/>
                <w:sz w:val="18"/>
                <w:szCs w:val="18"/>
                <w:color w:val="auto"/>
              </w:rPr>
              <w:t>Dietrich Becker</w:t>
            </w:r>
          </w:p>
        </w:tc>
        <w:tc>
          <w:tcPr>
            <w:tcW w:w="19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2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Andrew Bednar</w:t>
            </w:r>
          </w:p>
        </w:tc>
        <w:tc>
          <w:tcPr>
            <w:tcW w:w="1900" w:type="dxa"/>
            <w:vAlign w:val="bottom"/>
            <w:tcBorders>
              <w:bottom w:val="single" w:sz="8" w:color="auto"/>
            </w:tcBorders>
          </w:tcPr>
          <w:p>
            <w:pPr>
              <w:spacing w:after="0"/>
              <w:rPr>
                <w:sz w:val="24"/>
                <w:szCs w:val="24"/>
                <w:color w:val="auto"/>
              </w:rPr>
            </w:pPr>
          </w:p>
        </w:tc>
        <w:tc>
          <w:tcPr>
            <w:tcW w:w="432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2240" w:type="dxa"/>
            <w:vAlign w:val="bottom"/>
            <w:gridSpan w:val="3"/>
          </w:tcPr>
          <w:p>
            <w:pPr>
              <w:jc w:val="center"/>
              <w:ind w:left="950"/>
              <w:spacing w:after="0"/>
              <w:rPr>
                <w:sz w:val="20"/>
                <w:szCs w:val="20"/>
                <w:color w:val="auto"/>
              </w:rPr>
            </w:pPr>
            <w:r>
              <w:rPr>
                <w:rFonts w:ascii="Arial" w:cs="Arial" w:eastAsia="Arial" w:hAnsi="Arial"/>
                <w:sz w:val="18"/>
                <w:szCs w:val="18"/>
                <w:color w:val="auto"/>
                <w:w w:val="91"/>
              </w:rPr>
              <w:t>August 30, 2021</w:t>
            </w:r>
          </w:p>
        </w:tc>
      </w:tr>
      <w:tr>
        <w:trPr>
          <w:trHeight w:val="224"/>
        </w:trPr>
        <w:tc>
          <w:tcPr>
            <w:tcW w:w="2280" w:type="dxa"/>
            <w:vAlign w:val="bottom"/>
            <w:gridSpan w:val="2"/>
          </w:tcPr>
          <w:p>
            <w:pPr>
              <w:spacing w:after="0"/>
              <w:rPr>
                <w:sz w:val="20"/>
                <w:szCs w:val="20"/>
                <w:color w:val="auto"/>
              </w:rPr>
            </w:pPr>
            <w:r>
              <w:rPr>
                <w:rFonts w:ascii="Arial" w:cs="Arial" w:eastAsia="Arial" w:hAnsi="Arial"/>
                <w:sz w:val="18"/>
                <w:szCs w:val="18"/>
                <w:color w:val="auto"/>
              </w:rPr>
              <w:t>Andrew Bednar</w:t>
            </w:r>
          </w:p>
        </w:tc>
        <w:tc>
          <w:tcPr>
            <w:tcW w:w="19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2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Jorma Ollila</w:t>
            </w:r>
          </w:p>
        </w:tc>
        <w:tc>
          <w:tcPr>
            <w:tcW w:w="1900" w:type="dxa"/>
            <w:vAlign w:val="bottom"/>
            <w:tcBorders>
              <w:bottom w:val="single" w:sz="8" w:color="auto"/>
            </w:tcBorders>
          </w:tcPr>
          <w:p>
            <w:pPr>
              <w:spacing w:after="0"/>
              <w:rPr>
                <w:sz w:val="24"/>
                <w:szCs w:val="24"/>
                <w:color w:val="auto"/>
              </w:rPr>
            </w:pPr>
          </w:p>
        </w:tc>
        <w:tc>
          <w:tcPr>
            <w:tcW w:w="432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2240" w:type="dxa"/>
            <w:vAlign w:val="bottom"/>
            <w:gridSpan w:val="3"/>
          </w:tcPr>
          <w:p>
            <w:pPr>
              <w:jc w:val="center"/>
              <w:ind w:left="950"/>
              <w:spacing w:after="0"/>
              <w:rPr>
                <w:sz w:val="20"/>
                <w:szCs w:val="20"/>
                <w:color w:val="auto"/>
              </w:rPr>
            </w:pPr>
            <w:r>
              <w:rPr>
                <w:rFonts w:ascii="Arial" w:cs="Arial" w:eastAsia="Arial" w:hAnsi="Arial"/>
                <w:sz w:val="18"/>
                <w:szCs w:val="18"/>
                <w:color w:val="auto"/>
                <w:w w:val="91"/>
              </w:rPr>
              <w:t>August 30, 2021</w:t>
            </w:r>
          </w:p>
        </w:tc>
      </w:tr>
      <w:tr>
        <w:trPr>
          <w:trHeight w:val="224"/>
        </w:trPr>
        <w:tc>
          <w:tcPr>
            <w:tcW w:w="2280" w:type="dxa"/>
            <w:vAlign w:val="bottom"/>
            <w:gridSpan w:val="2"/>
          </w:tcPr>
          <w:p>
            <w:pPr>
              <w:spacing w:after="0"/>
              <w:rPr>
                <w:sz w:val="20"/>
                <w:szCs w:val="20"/>
                <w:color w:val="auto"/>
              </w:rPr>
            </w:pPr>
            <w:r>
              <w:rPr>
                <w:rFonts w:ascii="Arial" w:cs="Arial" w:eastAsia="Arial" w:hAnsi="Arial"/>
                <w:sz w:val="18"/>
                <w:szCs w:val="18"/>
                <w:color w:val="auto"/>
              </w:rPr>
              <w:t>Jorma Ollila</w:t>
            </w:r>
          </w:p>
        </w:tc>
        <w:tc>
          <w:tcPr>
            <w:tcW w:w="19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2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Ivan G. Seidenberg</w:t>
            </w:r>
          </w:p>
        </w:tc>
        <w:tc>
          <w:tcPr>
            <w:tcW w:w="1900" w:type="dxa"/>
            <w:vAlign w:val="bottom"/>
            <w:tcBorders>
              <w:bottom w:val="single" w:sz="8" w:color="auto"/>
            </w:tcBorders>
          </w:tcPr>
          <w:p>
            <w:pPr>
              <w:spacing w:after="0"/>
              <w:rPr>
                <w:sz w:val="24"/>
                <w:szCs w:val="24"/>
                <w:color w:val="auto"/>
              </w:rPr>
            </w:pPr>
          </w:p>
        </w:tc>
        <w:tc>
          <w:tcPr>
            <w:tcW w:w="432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2240" w:type="dxa"/>
            <w:vAlign w:val="bottom"/>
            <w:gridSpan w:val="3"/>
          </w:tcPr>
          <w:p>
            <w:pPr>
              <w:jc w:val="center"/>
              <w:ind w:left="950"/>
              <w:spacing w:after="0"/>
              <w:rPr>
                <w:sz w:val="20"/>
                <w:szCs w:val="20"/>
                <w:color w:val="auto"/>
              </w:rPr>
            </w:pPr>
            <w:r>
              <w:rPr>
                <w:rFonts w:ascii="Arial" w:cs="Arial" w:eastAsia="Arial" w:hAnsi="Arial"/>
                <w:sz w:val="18"/>
                <w:szCs w:val="18"/>
                <w:color w:val="auto"/>
                <w:w w:val="91"/>
              </w:rPr>
              <w:t>August 30, 2021</w:t>
            </w:r>
          </w:p>
        </w:tc>
      </w:tr>
      <w:tr>
        <w:trPr>
          <w:trHeight w:val="224"/>
        </w:trPr>
        <w:tc>
          <w:tcPr>
            <w:tcW w:w="2280" w:type="dxa"/>
            <w:vAlign w:val="bottom"/>
            <w:gridSpan w:val="2"/>
          </w:tcPr>
          <w:p>
            <w:pPr>
              <w:spacing w:after="0"/>
              <w:rPr>
                <w:sz w:val="20"/>
                <w:szCs w:val="20"/>
                <w:color w:val="auto"/>
              </w:rPr>
            </w:pPr>
            <w:r>
              <w:rPr>
                <w:rFonts w:ascii="Arial" w:cs="Arial" w:eastAsia="Arial" w:hAnsi="Arial"/>
                <w:sz w:val="18"/>
                <w:szCs w:val="18"/>
                <w:color w:val="auto"/>
              </w:rPr>
              <w:t>Ivan G. Seidenberg</w:t>
            </w:r>
          </w:p>
        </w:tc>
        <w:tc>
          <w:tcPr>
            <w:tcW w:w="19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2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Jane C. Sherburne</w:t>
            </w:r>
          </w:p>
        </w:tc>
        <w:tc>
          <w:tcPr>
            <w:tcW w:w="1900" w:type="dxa"/>
            <w:vAlign w:val="bottom"/>
            <w:tcBorders>
              <w:bottom w:val="single" w:sz="8" w:color="auto"/>
            </w:tcBorders>
          </w:tcPr>
          <w:p>
            <w:pPr>
              <w:spacing w:after="0"/>
              <w:rPr>
                <w:sz w:val="24"/>
                <w:szCs w:val="24"/>
                <w:color w:val="auto"/>
              </w:rPr>
            </w:pPr>
          </w:p>
        </w:tc>
        <w:tc>
          <w:tcPr>
            <w:tcW w:w="432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2240" w:type="dxa"/>
            <w:vAlign w:val="bottom"/>
            <w:gridSpan w:val="3"/>
          </w:tcPr>
          <w:p>
            <w:pPr>
              <w:jc w:val="center"/>
              <w:ind w:left="950"/>
              <w:spacing w:after="0"/>
              <w:rPr>
                <w:sz w:val="20"/>
                <w:szCs w:val="20"/>
                <w:color w:val="auto"/>
              </w:rPr>
            </w:pPr>
            <w:r>
              <w:rPr>
                <w:rFonts w:ascii="Arial" w:cs="Arial" w:eastAsia="Arial" w:hAnsi="Arial"/>
                <w:sz w:val="18"/>
                <w:szCs w:val="18"/>
                <w:color w:val="auto"/>
                <w:w w:val="91"/>
              </w:rPr>
              <w:t>August 30, 2021</w:t>
            </w:r>
          </w:p>
        </w:tc>
      </w:tr>
      <w:tr>
        <w:trPr>
          <w:trHeight w:val="224"/>
        </w:trPr>
        <w:tc>
          <w:tcPr>
            <w:tcW w:w="2280" w:type="dxa"/>
            <w:vAlign w:val="bottom"/>
            <w:gridSpan w:val="2"/>
          </w:tcPr>
          <w:p>
            <w:pPr>
              <w:spacing w:after="0"/>
              <w:rPr>
                <w:sz w:val="20"/>
                <w:szCs w:val="20"/>
                <w:color w:val="auto"/>
              </w:rPr>
            </w:pPr>
            <w:r>
              <w:rPr>
                <w:rFonts w:ascii="Arial" w:cs="Arial" w:eastAsia="Arial" w:hAnsi="Arial"/>
                <w:sz w:val="18"/>
                <w:szCs w:val="18"/>
                <w:color w:val="auto"/>
              </w:rPr>
              <w:t>Jane C. Sherburne</w:t>
            </w:r>
          </w:p>
        </w:tc>
        <w:tc>
          <w:tcPr>
            <w:tcW w:w="19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2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Daniel G. Cohen</w:t>
            </w:r>
          </w:p>
        </w:tc>
        <w:tc>
          <w:tcPr>
            <w:tcW w:w="1900" w:type="dxa"/>
            <w:vAlign w:val="bottom"/>
            <w:tcBorders>
              <w:bottom w:val="single" w:sz="8" w:color="auto"/>
            </w:tcBorders>
          </w:tcPr>
          <w:p>
            <w:pPr>
              <w:spacing w:after="0"/>
              <w:rPr>
                <w:sz w:val="24"/>
                <w:szCs w:val="24"/>
                <w:color w:val="auto"/>
              </w:rPr>
            </w:pPr>
          </w:p>
        </w:tc>
        <w:tc>
          <w:tcPr>
            <w:tcW w:w="432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2240" w:type="dxa"/>
            <w:vAlign w:val="bottom"/>
            <w:gridSpan w:val="3"/>
          </w:tcPr>
          <w:p>
            <w:pPr>
              <w:jc w:val="center"/>
              <w:ind w:left="950"/>
              <w:spacing w:after="0"/>
              <w:rPr>
                <w:sz w:val="20"/>
                <w:szCs w:val="20"/>
                <w:color w:val="auto"/>
              </w:rPr>
            </w:pPr>
            <w:r>
              <w:rPr>
                <w:rFonts w:ascii="Arial" w:cs="Arial" w:eastAsia="Arial" w:hAnsi="Arial"/>
                <w:sz w:val="18"/>
                <w:szCs w:val="18"/>
                <w:color w:val="auto"/>
                <w:w w:val="91"/>
              </w:rPr>
              <w:t>August 30, 2021</w:t>
            </w:r>
          </w:p>
        </w:tc>
      </w:tr>
      <w:tr>
        <w:trPr>
          <w:trHeight w:val="224"/>
        </w:trPr>
        <w:tc>
          <w:tcPr>
            <w:tcW w:w="2280" w:type="dxa"/>
            <w:vAlign w:val="bottom"/>
            <w:gridSpan w:val="2"/>
          </w:tcPr>
          <w:p>
            <w:pPr>
              <w:spacing w:after="0"/>
              <w:rPr>
                <w:sz w:val="20"/>
                <w:szCs w:val="20"/>
                <w:color w:val="auto"/>
              </w:rPr>
            </w:pPr>
            <w:r>
              <w:rPr>
                <w:rFonts w:ascii="Arial" w:cs="Arial" w:eastAsia="Arial" w:hAnsi="Arial"/>
                <w:sz w:val="18"/>
                <w:szCs w:val="18"/>
                <w:color w:val="auto"/>
              </w:rPr>
              <w:t>Daniel G. Cohen</w:t>
            </w:r>
          </w:p>
        </w:tc>
        <w:tc>
          <w:tcPr>
            <w:tcW w:w="19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bl>
    <w:p>
      <w:pPr>
        <w:sectPr>
          <w:pgSz w:w="11900" w:h="16838" w:orient="portrait"/>
          <w:cols w:equalWidth="0" w:num="1">
            <w:col w:w="10980"/>
          </w:cols>
          <w:pgMar w:left="440" w:top="270" w:right="479" w:bottom="1440" w:gutter="0" w:footer="0" w:header="0"/>
        </w:sectPr>
      </w:pPr>
    </w:p>
    <w:bookmarkStart w:id="8" w:name="page9"/>
    <w:bookmarkEnd w:id="8"/>
    <w:p>
      <w:pPr>
        <w:spacing w:after="0" w:line="200" w:lineRule="exact"/>
        <w:rPr>
          <w:sz w:val="20"/>
          <w:szCs w:val="20"/>
          <w:color w:val="auto"/>
        </w:rPr>
      </w:pPr>
    </w:p>
    <w:p>
      <w:pPr>
        <w:spacing w:after="0" w:line="263" w:lineRule="exact"/>
        <w:rPr>
          <w:sz w:val="20"/>
          <w:szCs w:val="20"/>
          <w:color w:val="auto"/>
        </w:rPr>
      </w:pPr>
    </w:p>
    <w:p>
      <w:pPr>
        <w:jc w:val="center"/>
        <w:ind w:left="27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KADDEN</w:t>
      </w:r>
      <w:r>
        <w:rPr>
          <w:rFonts w:ascii="Arial" w:cs="Arial" w:eastAsia="Arial" w:hAnsi="Arial"/>
          <w:sz w:val="18"/>
          <w:szCs w:val="18"/>
          <w:color w:val="auto"/>
        </w:rPr>
        <w:t>, A</w:t>
      </w:r>
      <w:r>
        <w:rPr>
          <w:rFonts w:ascii="Arial" w:cs="Arial" w:eastAsia="Arial" w:hAnsi="Arial"/>
          <w:sz w:val="14"/>
          <w:szCs w:val="14"/>
          <w:color w:val="auto"/>
        </w:rPr>
        <w:t>RPS</w:t>
      </w:r>
      <w:r>
        <w:rPr>
          <w:rFonts w:ascii="Arial" w:cs="Arial" w:eastAsia="Arial" w:hAnsi="Arial"/>
          <w:sz w:val="18"/>
          <w:szCs w:val="18"/>
          <w:color w:val="auto"/>
        </w:rPr>
        <w:t>, S</w:t>
      </w:r>
      <w:r>
        <w:rPr>
          <w:rFonts w:ascii="Arial" w:cs="Arial" w:eastAsia="Arial" w:hAnsi="Arial"/>
          <w:sz w:val="14"/>
          <w:szCs w:val="14"/>
          <w:color w:val="auto"/>
        </w:rPr>
        <w:t>LATE</w:t>
      </w:r>
      <w:r>
        <w:rPr>
          <w:rFonts w:ascii="Arial" w:cs="Arial" w:eastAsia="Arial" w:hAnsi="Arial"/>
          <w:sz w:val="18"/>
          <w:szCs w:val="18"/>
          <w:color w:val="auto"/>
        </w:rPr>
        <w:t>, M</w:t>
      </w:r>
      <w:r>
        <w:rPr>
          <w:rFonts w:ascii="Arial" w:cs="Arial" w:eastAsia="Arial" w:hAnsi="Arial"/>
          <w:sz w:val="14"/>
          <w:szCs w:val="14"/>
          <w:color w:val="auto"/>
        </w:rPr>
        <w:t>EAGHER</w:t>
      </w:r>
      <w:r>
        <w:rPr>
          <w:rFonts w:ascii="Arial" w:cs="Arial" w:eastAsia="Arial" w:hAnsi="Arial"/>
          <w:sz w:val="18"/>
          <w:szCs w:val="18"/>
          <w:color w:val="auto"/>
        </w:rPr>
        <w:t xml:space="preserve"> &amp; F</w:t>
      </w:r>
      <w:r>
        <w:rPr>
          <w:rFonts w:ascii="Arial" w:cs="Arial" w:eastAsia="Arial" w:hAnsi="Arial"/>
          <w:sz w:val="14"/>
          <w:szCs w:val="14"/>
          <w:color w:val="auto"/>
        </w:rPr>
        <w:t>LOM LLP</w:t>
      </w:r>
    </w:p>
    <w:p>
      <w:pPr>
        <w:spacing w:after="0" w:line="23" w:lineRule="exact"/>
        <w:rPr>
          <w:sz w:val="20"/>
          <w:szCs w:val="20"/>
          <w:color w:val="auto"/>
        </w:rPr>
      </w:pPr>
    </w:p>
    <w:p>
      <w:pPr>
        <w:jc w:val="center"/>
        <w:ind w:left="2720"/>
        <w:spacing w:after="0"/>
        <w:rPr>
          <w:sz w:val="20"/>
          <w:szCs w:val="20"/>
          <w:color w:val="auto"/>
        </w:rPr>
      </w:pPr>
      <w:r>
        <w:rPr>
          <w:rFonts w:ascii="Arial" w:cs="Arial" w:eastAsia="Arial" w:hAnsi="Arial"/>
          <w:sz w:val="18"/>
          <w:szCs w:val="18"/>
          <w:color w:val="auto"/>
        </w:rPr>
        <w:t>ONE MANHATTAN WEST</w:t>
      </w:r>
    </w:p>
    <w:p>
      <w:pPr>
        <w:spacing w:after="0" w:line="9" w:lineRule="exact"/>
        <w:rPr>
          <w:sz w:val="20"/>
          <w:szCs w:val="20"/>
          <w:color w:val="auto"/>
        </w:rPr>
      </w:pPr>
    </w:p>
    <w:p>
      <w:pPr>
        <w:jc w:val="center"/>
        <w:ind w:left="2720"/>
        <w:spacing w:after="0"/>
        <w:rPr>
          <w:sz w:val="20"/>
          <w:szCs w:val="20"/>
          <w:color w:val="auto"/>
        </w:rPr>
      </w:pPr>
      <w:r>
        <w:rPr>
          <w:rFonts w:ascii="Arial" w:cs="Arial" w:eastAsia="Arial" w:hAnsi="Arial"/>
          <w:sz w:val="18"/>
          <w:szCs w:val="18"/>
          <w:color w:val="auto"/>
        </w:rPr>
        <w:t>NEW YORK, NY 10001</w:t>
      </w:r>
    </w:p>
    <w:p>
      <w:pPr>
        <w:spacing w:after="0" w:line="238" w:lineRule="exact"/>
        <w:rPr>
          <w:sz w:val="20"/>
          <w:szCs w:val="20"/>
          <w:color w:val="auto"/>
        </w:rPr>
      </w:pPr>
    </w:p>
    <w:p>
      <w:pPr>
        <w:jc w:val="center"/>
        <w:ind w:left="2720"/>
        <w:spacing w:after="0"/>
        <w:rPr>
          <w:sz w:val="20"/>
          <w:szCs w:val="20"/>
          <w:color w:val="auto"/>
        </w:rPr>
      </w:pPr>
      <w:r>
        <w:rPr>
          <w:rFonts w:ascii="Arial" w:cs="Arial" w:eastAsia="Arial" w:hAnsi="Arial"/>
          <w:sz w:val="18"/>
          <w:szCs w:val="18"/>
          <w:color w:val="auto"/>
        </w:rPr>
        <w:t>TEL: (212) 735-3000</w:t>
      </w:r>
    </w:p>
    <w:p>
      <w:pPr>
        <w:spacing w:after="0" w:line="23" w:lineRule="exact"/>
        <w:rPr>
          <w:sz w:val="20"/>
          <w:szCs w:val="20"/>
          <w:color w:val="auto"/>
        </w:rPr>
      </w:pPr>
    </w:p>
    <w:p>
      <w:pPr>
        <w:jc w:val="center"/>
        <w:ind w:left="2720"/>
        <w:spacing w:after="0"/>
        <w:rPr>
          <w:sz w:val="20"/>
          <w:szCs w:val="20"/>
          <w:color w:val="auto"/>
        </w:rPr>
      </w:pPr>
      <w:r>
        <w:rPr>
          <w:rFonts w:ascii="Arial" w:cs="Arial" w:eastAsia="Arial" w:hAnsi="Arial"/>
          <w:sz w:val="18"/>
          <w:szCs w:val="18"/>
          <w:color w:val="auto"/>
        </w:rPr>
        <w:t>FAX: (212) 735-2000</w:t>
      </w:r>
    </w:p>
    <w:p>
      <w:pPr>
        <w:spacing w:after="0" w:line="9" w:lineRule="exact"/>
        <w:rPr>
          <w:sz w:val="20"/>
          <w:szCs w:val="20"/>
          <w:color w:val="auto"/>
        </w:rPr>
      </w:pPr>
    </w:p>
    <w:p>
      <w:pPr>
        <w:jc w:val="center"/>
        <w:ind w:left="2720"/>
        <w:spacing w:after="0"/>
        <w:rPr>
          <w:sz w:val="20"/>
          <w:szCs w:val="20"/>
          <w:color w:val="auto"/>
        </w:rPr>
      </w:pPr>
      <w:r>
        <w:rPr>
          <w:rFonts w:ascii="Arial" w:cs="Arial" w:eastAsia="Arial" w:hAnsi="Arial"/>
          <w:sz w:val="18"/>
          <w:szCs w:val="18"/>
          <w:color w:val="auto"/>
        </w:rPr>
        <w:t>www.skadden.com</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August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Perella Weinberg Partners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767 Fifth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10153</w:t>
      </w:r>
    </w:p>
    <w:p>
      <w:pPr>
        <w:spacing w:after="0" w:line="116"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5"/>
          <w:szCs w:val="15"/>
          <w:color w:val="auto"/>
        </w:rPr>
        <w:t>Perella Weinberg Partners</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u w:val="single" w:color="auto"/>
          <w:color w:val="auto"/>
        </w:rPr>
        <w:t>Registration Statement on Form S-8</w:t>
      </w:r>
    </w:p>
    <w:p>
      <w:pPr>
        <w:spacing w:after="0" w:line="20" w:lineRule="exact"/>
        <w:rPr>
          <w:sz w:val="20"/>
          <w:szCs w:val="20"/>
          <w:color w:val="auto"/>
        </w:rPr>
      </w:pPr>
      <w:r>
        <w:rPr>
          <w:sz w:val="20"/>
          <w:szCs w:val="20"/>
          <w:color w:val="auto"/>
        </w:rPr>
        <w:br w:type="column"/>
      </w:r>
    </w:p>
    <w:p>
      <w:pPr>
        <w:ind w:left="920"/>
        <w:spacing w:after="0"/>
        <w:rPr>
          <w:sz w:val="20"/>
          <w:szCs w:val="20"/>
          <w:color w:val="auto"/>
        </w:rPr>
      </w:pPr>
      <w:r>
        <w:rPr>
          <w:rFonts w:ascii="Arial" w:cs="Arial" w:eastAsia="Arial" w:hAnsi="Arial"/>
          <w:sz w:val="16"/>
          <w:szCs w:val="16"/>
          <w:b w:val="1"/>
          <w:bCs w:val="1"/>
          <w:color w:val="auto"/>
        </w:rPr>
        <w:t>Exhibit 5.1</w:t>
      </w:r>
    </w:p>
    <w:p>
      <w:pPr>
        <w:spacing w:after="0" w:line="27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FIRM/AFFILIATE</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66040</wp:posOffset>
            </wp:positionV>
            <wp:extent cx="4133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extLst>
                        <a:ext uri="{28A0092B-C50C-407E-A947-70E740481C1C}"/>
                      </a:extLst>
                    </a:blip>
                    <a:srcRect/>
                    <a:stretch>
                      <a:fillRect/>
                    </a:stretch>
                  </pic:blipFill>
                  <pic:spPr bwMode="auto">
                    <a:xfrm>
                      <a:off x="0" y="0"/>
                      <a:ext cx="413385" cy="8255"/>
                    </a:xfrm>
                    <a:prstGeom prst="rect">
                      <a:avLst/>
                    </a:prstGeom>
                    <a:noFill/>
                  </pic:spPr>
                </pic:pic>
              </a:graphicData>
            </a:graphic>
          </wp:anchor>
        </w:drawing>
      </w:r>
    </w:p>
    <w:p>
      <w:pPr>
        <w:spacing w:after="0" w:line="19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BOSTON</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CHICAGO</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HOUSTON</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LOS ANGELES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PALO ALTO</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WASHINGTON, D.C.</w:t>
      </w:r>
    </w:p>
    <w:p>
      <w:pPr>
        <w:spacing w:after="0" w:line="2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WILMINGTON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66040</wp:posOffset>
            </wp:positionV>
            <wp:extent cx="3994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extLst>
                    </a:blip>
                    <a:srcRect/>
                    <a:stretch>
                      <a:fillRect/>
                    </a:stretch>
                  </pic:blipFill>
                  <pic:spPr bwMode="auto">
                    <a:xfrm>
                      <a:off x="0" y="0"/>
                      <a:ext cx="399415" cy="8255"/>
                    </a:xfrm>
                    <a:prstGeom prst="rect">
                      <a:avLst/>
                    </a:prstGeom>
                    <a:noFill/>
                  </pic:spPr>
                </pic:pic>
              </a:graphicData>
            </a:graphic>
          </wp:anchor>
        </w:drawing>
      </w:r>
    </w:p>
    <w:p>
      <w:pPr>
        <w:spacing w:after="0" w:line="19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BEIJING</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BRUSSELS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FRANKFURT</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MOSCOW</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MUNICH</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PARIS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SÃO PAULO</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SEOUL</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SHANGHAI</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TOKYO</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TORONTO</w:t>
      </w:r>
    </w:p>
    <w:p>
      <w:pPr>
        <w:spacing w:after="0" w:line="1631" w:lineRule="exact"/>
        <w:rPr>
          <w:sz w:val="20"/>
          <w:szCs w:val="20"/>
          <w:color w:val="auto"/>
        </w:rPr>
      </w:pPr>
    </w:p>
    <w:p>
      <w:pPr>
        <w:sectPr>
          <w:pgSz w:w="11900" w:h="16838" w:orient="portrait"/>
          <w:cols w:equalWidth="0" w:num="2">
            <w:col w:w="8540" w:space="720"/>
            <w:col w:w="1760"/>
          </w:cols>
          <w:pgMar w:left="440" w:top="121" w:right="439"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We have acted as special United States counsel to Perella Weinberg Partners,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in connection with the Company’s Registration Statement on Form S-8 (together with the exhibits thereto, the “Registration Statement”) to be filed on the date hereof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under the Securities Act of 1933 (the “</w:t>
      </w:r>
      <w:r>
        <w:rPr>
          <w:rFonts w:ascii="Arial" w:cs="Arial" w:eastAsia="Arial" w:hAnsi="Arial"/>
          <w:sz w:val="18"/>
          <w:szCs w:val="18"/>
          <w:u w:val="single" w:color="auto"/>
          <w:color w:val="auto"/>
        </w:rPr>
        <w:t>Securities Act</w:t>
      </w:r>
      <w:r>
        <w:rPr>
          <w:rFonts w:ascii="Arial" w:cs="Arial" w:eastAsia="Arial" w:hAnsi="Arial"/>
          <w:sz w:val="18"/>
          <w:szCs w:val="18"/>
          <w:color w:val="auto"/>
        </w:rPr>
        <w:t>”), relating to the registration of 24,180,000 shares (the “</w:t>
      </w:r>
      <w:r>
        <w:rPr>
          <w:rFonts w:ascii="Arial" w:cs="Arial" w:eastAsia="Arial" w:hAnsi="Arial"/>
          <w:sz w:val="18"/>
          <w:szCs w:val="18"/>
          <w:u w:val="single" w:color="auto"/>
          <w:color w:val="auto"/>
        </w:rPr>
        <w:t>Shares</w:t>
      </w:r>
      <w:r>
        <w:rPr>
          <w:rFonts w:ascii="Arial" w:cs="Arial" w:eastAsia="Arial" w:hAnsi="Arial"/>
          <w:sz w:val="18"/>
          <w:szCs w:val="18"/>
          <w:color w:val="auto"/>
        </w:rPr>
        <w:t>”) of the Company’s Class A common stock, par value $0.0001 per share, available for future issuance under the Perella Weinberg Partners 2021 Omnibus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188"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This opinion is being furnished in accordance with the requirements of Item 601(b)(5) of Regulation S-K of the General Rules and Regulations of the Commission promulgated under the Securities Act (the “</w:t>
      </w:r>
      <w:r>
        <w:rPr>
          <w:rFonts w:ascii="Arial" w:cs="Arial" w:eastAsia="Arial" w:hAnsi="Arial"/>
          <w:sz w:val="18"/>
          <w:szCs w:val="18"/>
          <w:u w:val="single" w:color="auto"/>
          <w:color w:val="auto"/>
        </w:rPr>
        <w:t>Rules and Regulations</w:t>
      </w:r>
      <w:r>
        <w:rPr>
          <w:rFonts w:ascii="Arial" w:cs="Arial" w:eastAsia="Arial" w:hAnsi="Arial"/>
          <w:sz w:val="18"/>
          <w:szCs w:val="18"/>
          <w:color w:val="auto"/>
        </w:rPr>
        <w:t>”).</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rendering the opinion stated herein, we have examined the following:</w:t>
      </w:r>
    </w:p>
    <w:p>
      <w:pPr>
        <w:spacing w:after="0" w:line="117" w:lineRule="exact"/>
        <w:rPr>
          <w:sz w:val="20"/>
          <w:szCs w:val="20"/>
          <w:color w:val="auto"/>
        </w:rPr>
      </w:pPr>
    </w:p>
    <w:p>
      <w:pPr>
        <w:ind w:left="680" w:hanging="244"/>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Registration Statement in the form to be filed with the Commission on the date hereof;</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Plan;</w:t>
      </w:r>
    </w:p>
    <w:p>
      <w:pPr>
        <w:spacing w:after="0" w:line="117" w:lineRule="exact"/>
        <w:rPr>
          <w:rFonts w:ascii="Arial" w:cs="Arial" w:eastAsia="Arial" w:hAnsi="Arial"/>
          <w:sz w:val="18"/>
          <w:szCs w:val="18"/>
          <w:color w:val="auto"/>
        </w:rPr>
      </w:pPr>
    </w:p>
    <w:p>
      <w:pPr>
        <w:ind w:left="680" w:hanging="244"/>
        <w:spacing w:after="0"/>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an executed copy of a certificate of Gary Barancik, Chief Financial Officer and Partner, dated the date hereof (the “</w:t>
      </w:r>
      <w:r>
        <w:rPr>
          <w:rFonts w:ascii="Arial" w:cs="Arial" w:eastAsia="Arial" w:hAnsi="Arial"/>
          <w:sz w:val="17"/>
          <w:szCs w:val="17"/>
          <w:u w:val="single" w:color="auto"/>
          <w:color w:val="auto"/>
        </w:rPr>
        <w:t>Officer’s Certificate</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right="460" w:firstLine="436"/>
        <w:spacing w:after="0" w:line="342" w:lineRule="auto"/>
        <w:tabs>
          <w:tab w:leader="none" w:pos="695" w:val="left"/>
        </w:tabs>
        <w:numPr>
          <w:ilvl w:val="0"/>
          <w:numId w:val="7"/>
        </w:numPr>
        <w:rPr>
          <w:rFonts w:ascii="Arial" w:cs="Arial" w:eastAsia="Arial" w:hAnsi="Arial"/>
          <w:sz w:val="16"/>
          <w:szCs w:val="16"/>
          <w:color w:val="auto"/>
        </w:rPr>
      </w:pPr>
      <w:r>
        <w:rPr>
          <w:rFonts w:ascii="Arial" w:cs="Arial" w:eastAsia="Arial" w:hAnsi="Arial"/>
          <w:sz w:val="16"/>
          <w:szCs w:val="16"/>
          <w:color w:val="auto"/>
        </w:rPr>
        <w:t>a copy of the Company’s Amended and Restated Certificate of Incorporation (the “</w:t>
      </w:r>
      <w:r>
        <w:rPr>
          <w:rFonts w:ascii="Arial" w:cs="Arial" w:eastAsia="Arial" w:hAnsi="Arial"/>
          <w:sz w:val="16"/>
          <w:szCs w:val="16"/>
          <w:u w:val="single" w:color="auto"/>
          <w:color w:val="auto"/>
        </w:rPr>
        <w:t>Amended and Restated Certificate of Incorporation</w:t>
      </w:r>
      <w:r>
        <w:rPr>
          <w:rFonts w:ascii="Arial" w:cs="Arial" w:eastAsia="Arial" w:hAnsi="Arial"/>
          <w:sz w:val="16"/>
          <w:szCs w:val="16"/>
          <w:color w:val="auto"/>
        </w:rPr>
        <w:t>”), certified by the Secretary of State of the State of Delaware as of December 28, 2020, and certified pursuant to the Officer’s Certificate;</w:t>
      </w:r>
    </w:p>
    <w:p>
      <w:pPr>
        <w:spacing w:after="0" w:line="15" w:lineRule="exact"/>
        <w:rPr>
          <w:rFonts w:ascii="Arial" w:cs="Arial" w:eastAsia="Arial" w:hAnsi="Arial"/>
          <w:sz w:val="16"/>
          <w:szCs w:val="16"/>
          <w:color w:val="auto"/>
        </w:rPr>
      </w:pPr>
    </w:p>
    <w:p>
      <w:pPr>
        <w:ind w:right="320" w:firstLine="436"/>
        <w:spacing w:after="0" w:line="342" w:lineRule="auto"/>
        <w:tabs>
          <w:tab w:leader="none" w:pos="685" w:val="left"/>
        </w:tabs>
        <w:numPr>
          <w:ilvl w:val="0"/>
          <w:numId w:val="7"/>
        </w:numPr>
        <w:rPr>
          <w:rFonts w:ascii="Arial" w:cs="Arial" w:eastAsia="Arial" w:hAnsi="Arial"/>
          <w:sz w:val="16"/>
          <w:szCs w:val="16"/>
          <w:color w:val="auto"/>
        </w:rPr>
      </w:pPr>
      <w:r>
        <w:rPr>
          <w:rFonts w:ascii="Arial" w:cs="Arial" w:eastAsia="Arial" w:hAnsi="Arial"/>
          <w:sz w:val="16"/>
          <w:szCs w:val="16"/>
          <w:color w:val="auto"/>
        </w:rPr>
        <w:t>a copy of the Company’s Second Amended and Restated Certificate of Incorporation (the “</w:t>
      </w:r>
      <w:r>
        <w:rPr>
          <w:rFonts w:ascii="Arial" w:cs="Arial" w:eastAsia="Arial" w:hAnsi="Arial"/>
          <w:sz w:val="16"/>
          <w:szCs w:val="16"/>
          <w:u w:val="single" w:color="auto"/>
          <w:color w:val="auto"/>
        </w:rPr>
        <w:t>Second Amended and Restated Certificate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Incorporation</w:t>
      </w:r>
      <w:r>
        <w:rPr>
          <w:rFonts w:ascii="Arial" w:cs="Arial" w:eastAsia="Arial" w:hAnsi="Arial"/>
          <w:sz w:val="16"/>
          <w:szCs w:val="16"/>
          <w:color w:val="auto"/>
        </w:rPr>
        <w:t>”), certified by the Secretary of State of the State of Delaware as of August 30, 2021, and certified pursuant to the Officer’s Certificate;</w:t>
      </w:r>
    </w:p>
    <w:p>
      <w:pPr>
        <w:sectPr>
          <w:pgSz w:w="11900" w:h="16838" w:orient="portrait"/>
          <w:cols w:equalWidth="0" w:num="1">
            <w:col w:w="11020"/>
          </w:cols>
          <w:pgMar w:left="440" w:top="121" w:right="4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Perella Weinberg Partners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30,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300" w:firstLine="436"/>
        <w:spacing w:after="0" w:line="277" w:lineRule="auto"/>
        <w:tabs>
          <w:tab w:leader="none" w:pos="66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copies of the Company’s Bylaws (the “</w:t>
      </w:r>
      <w:r>
        <w:rPr>
          <w:rFonts w:ascii="Arial" w:cs="Arial" w:eastAsia="Arial" w:hAnsi="Arial"/>
          <w:sz w:val="18"/>
          <w:szCs w:val="18"/>
          <w:u w:val="single" w:color="auto"/>
          <w:color w:val="auto"/>
        </w:rPr>
        <w:t>Bylaws</w:t>
      </w:r>
      <w:r>
        <w:rPr>
          <w:rFonts w:ascii="Arial" w:cs="Arial" w:eastAsia="Arial" w:hAnsi="Arial"/>
          <w:sz w:val="18"/>
          <w:szCs w:val="18"/>
          <w:color w:val="auto"/>
        </w:rPr>
        <w:t>”), as amended and in effect as of December 28, 2020, and certified pursuant to the Officer’s Certificate;</w:t>
      </w:r>
    </w:p>
    <w:p>
      <w:pPr>
        <w:spacing w:after="0" w:line="62" w:lineRule="exact"/>
        <w:rPr>
          <w:rFonts w:ascii="Arial" w:cs="Arial" w:eastAsia="Arial" w:hAnsi="Arial"/>
          <w:sz w:val="18"/>
          <w:szCs w:val="18"/>
          <w:color w:val="auto"/>
        </w:rPr>
      </w:pPr>
    </w:p>
    <w:p>
      <w:pPr>
        <w:ind w:right="480" w:firstLine="436"/>
        <w:spacing w:after="0" w:line="277"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copies of the Company’s Amended and Restated Bylaws (the “</w:t>
      </w:r>
      <w:r>
        <w:rPr>
          <w:rFonts w:ascii="Arial" w:cs="Arial" w:eastAsia="Arial" w:hAnsi="Arial"/>
          <w:sz w:val="18"/>
          <w:szCs w:val="18"/>
          <w:u w:val="single" w:color="auto"/>
          <w:color w:val="auto"/>
        </w:rPr>
        <w:t>Amended and Restated Bylaws</w:t>
      </w:r>
      <w:r>
        <w:rPr>
          <w:rFonts w:ascii="Arial" w:cs="Arial" w:eastAsia="Arial" w:hAnsi="Arial"/>
          <w:sz w:val="18"/>
          <w:szCs w:val="18"/>
          <w:color w:val="auto"/>
        </w:rPr>
        <w:t>”), as amended and in effect as of the date hereof, and certified pursuant to the Officer’s Certificate; and</w:t>
      </w:r>
    </w:p>
    <w:p>
      <w:pPr>
        <w:spacing w:after="0" w:line="62" w:lineRule="exact"/>
        <w:rPr>
          <w:rFonts w:ascii="Arial" w:cs="Arial" w:eastAsia="Arial" w:hAnsi="Arial"/>
          <w:sz w:val="18"/>
          <w:szCs w:val="18"/>
          <w:color w:val="auto"/>
        </w:rPr>
      </w:pPr>
    </w:p>
    <w:p>
      <w:pPr>
        <w:ind w:right="420" w:firstLine="436"/>
        <w:spacing w:after="0" w:line="277"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copies of certain resolutions of the Board of Directors of the Company relating to the approval of the Plan and certain related matters and certified pursuant to the Officer’s Certificate.</w:t>
      </w:r>
    </w:p>
    <w:p>
      <w:pPr>
        <w:spacing w:after="0" w:line="170" w:lineRule="exact"/>
        <w:rPr>
          <w:sz w:val="20"/>
          <w:szCs w:val="20"/>
          <w:color w:val="auto"/>
        </w:rPr>
      </w:pPr>
    </w:p>
    <w:p>
      <w:pPr>
        <w:ind w:right="480" w:firstLine="440"/>
        <w:spacing w:after="0" w:line="259" w:lineRule="auto"/>
        <w:rPr>
          <w:sz w:val="20"/>
          <w:szCs w:val="20"/>
          <w:color w:val="auto"/>
        </w:rPr>
      </w:pPr>
      <w:r>
        <w:rPr>
          <w:rFonts w:ascii="Arial" w:cs="Arial" w:eastAsia="Arial" w:hAnsi="Arial"/>
          <w:sz w:val="18"/>
          <w:szCs w:val="18"/>
          <w:color w:val="auto"/>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 stated below, including the facts and conclusions set forth in the Officer’s Certificate.</w:t>
      </w:r>
    </w:p>
    <w:p>
      <w:pPr>
        <w:spacing w:after="0" w:line="187"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In making our examination of executed documents, we have assumed that the parties thereto, other than the Company, had the power, corporate or other, to enter into and perform all obligations thereunder and have also assumed the due authorization by all requisite action, corporate or other, and the execution and delivery by such parties of such documents and the validity and binding effect thereof on such parties. As to any facts relevant to the opinion stated herein that we did not independently establish or verify, we have relied upon statements and representations of officers and other representatives of the Company and others and of public officials, including the facts and conclusions set forth in the Officer’s Certificate.</w:t>
      </w:r>
    </w:p>
    <w:p>
      <w:pPr>
        <w:spacing w:after="0" w:line="178"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In rendering the opinion set forth below, we have also assumed that (i) the Shares will be issued in book-entry form and an appropriate account statement evidencing the Shares credited to a recipient’s account maintained with the Company’s transfer agent and registrar will be issued by the Company’s transfer agent and registrar, (ii) each award agreement under which options, stock appreciation rights, restricted stock, restricted stock units, stock bonuses, other stock-based awards and certain other awards are granted pursuant to the Plan will be consistent with the Plan and will be duly authorized, executed and delivered by the parties thereto, and (iii) the issuance of the Shares does not violate or conflict with any agreement or instrument binding on the Company (except that we do not and will not make this assumption with respect to the Second Amended and Restated Certificate of Incorporation and the Amended and Restated Bylaws).</w:t>
      </w:r>
    </w:p>
    <w:p>
      <w:pPr>
        <w:spacing w:after="0" w:line="177"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We do not express any opinion with respect to the laws of any jurisdiction other than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170" w:lineRule="exact"/>
        <w:rPr>
          <w:sz w:val="20"/>
          <w:szCs w:val="20"/>
          <w:color w:val="auto"/>
        </w:rPr>
      </w:pPr>
    </w:p>
    <w:p>
      <w:pPr>
        <w:ind w:right="140" w:firstLine="440"/>
        <w:spacing w:after="0" w:line="279" w:lineRule="auto"/>
        <w:rPr>
          <w:sz w:val="20"/>
          <w:szCs w:val="20"/>
          <w:color w:val="auto"/>
        </w:rPr>
      </w:pPr>
      <w:r>
        <w:rPr>
          <w:rFonts w:ascii="Arial" w:cs="Arial" w:eastAsia="Arial" w:hAnsi="Arial"/>
          <w:sz w:val="17"/>
          <w:szCs w:val="17"/>
          <w:color w:val="auto"/>
        </w:rPr>
        <w:t>Based upon the foregoing and subject to the qualifications and assumptions stated herein, we are of the opinion that the Shares have been duly authorized by all requisite corporate action on the part of the Company under the DGCL and, when the Shares are issued to the Plan participants in accordance with the terms and conditions of the Plan and the applicable award agreement for consideration in an amount at least equal to the par value of such Shares, the Shares will be validly issued, fully paid and nonassessable.</w:t>
      </w:r>
    </w:p>
    <w:p>
      <w:pPr>
        <w:spacing w:after="0" w:line="171"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We hereby consent to the filing of this opinion with the Commission as an exhibit to the Registration Statement. In giving this consent, we do not thereby admit that we are included in the category of persons whose consent is required under Section 7 of the Securities Act or the Rules and Regulations. This opinion is expressed as of the date hereof unless otherwise expressly stated, and we disclaim any undertaking to advise you of any subsequent changes in the facts stated or assumed herein or of any subsequent changes in applicable laws.</w:t>
      </w:r>
    </w:p>
    <w:p>
      <w:pPr>
        <w:spacing w:after="0" w:line="198"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 Skadden, Arps, Slate, Meagher &amp; Flom LLP</w:t>
      </w:r>
    </w:p>
    <w:p>
      <w:pPr>
        <w:sectPr>
          <w:pgSz w:w="11900" w:h="16838" w:orient="portrait"/>
          <w:cols w:equalWidth="0" w:num="1">
            <w:col w:w="10980"/>
          </w:cols>
          <w:pgMar w:left="440" w:top="274" w:right="47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hereby consent to the incorporation by reference in this Registration Statement on Form S-8 of our report dated May 4, 2021, relating to the financial statements of FinTech Acquisition Corp. IV appearing in the entity’s Annual Report on Form 10-K, as amended, for the years ended December 31, 2020 and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30, 2021</w:t>
      </w:r>
    </w:p>
    <w:p>
      <w:pPr>
        <w:sectPr>
          <w:pgSz w:w="11900" w:h="16838" w:orient="portrait"/>
          <w:cols w:equalWidth="0" w:num="1">
            <w:col w:w="11020"/>
          </w:cols>
          <w:pgMar w:left="440" w:top="121" w:right="4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on Form S-8 pertaining to the 2021 Omnibus Incentive Plan of Perella Weinberg Partners of our report dated March 10, 2021, with respect to the consolidated financial statements of PWP Holdings LP and Subsidiaries incorporated by reference in the Form 8-K of Perella Weinberg Partners dated June 30, 2021, filed with the Securities and Exchange Commission.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30,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2EB141F2"/>
    <w:multiLevelType w:val="hybridMultilevel"/>
    <w:lvl w:ilvl="0">
      <w:lvlJc w:val="left"/>
      <w:lvlText w:val="%1"/>
      <w:numFmt w:val="lowerLetter"/>
      <w:start w:val="1"/>
    </w:lvl>
    <w:lvl w:ilvl="1">
      <w:lvlJc w:val="left"/>
      <w:lvlText w:val="(%2)"/>
      <w:numFmt w:val="decimal"/>
      <w:start w:val="2"/>
    </w:lvl>
  </w:abstractNum>
  <w:abstractNum w:abstractNumId="5">
    <w:nsid w:val="41B71EFB"/>
    <w:multiLevelType w:val="hybridMultilevel"/>
    <w:lvl w:ilvl="0">
      <w:lvlJc w:val="left"/>
      <w:lvlText w:val="(%1)"/>
      <w:numFmt w:val="lowerLetter"/>
      <w:start w:val="2"/>
    </w:lvl>
    <w:lvl w:ilvl="1">
      <w:lvlJc w:val="left"/>
      <w:lvlText w:val="%2"/>
      <w:numFmt w:val="decimal"/>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5" Type="http://schemas.openxmlformats.org/officeDocument/2006/relationships/image" Target="media/image13.png"/><Relationship Id="rId36" Type="http://schemas.openxmlformats.org/officeDocument/2006/relationships/image" Target="media/image14.png"/><Relationship Id="rId37" Type="http://schemas.openxmlformats.org/officeDocument/2006/relationships/image" Target="media/image15.png"/><Relationship Id="rId38" Type="http://schemas.openxmlformats.org/officeDocument/2006/relationships/image" Target="media/image16.png"/><Relationship Id="rId39" Type="http://schemas.openxmlformats.org/officeDocument/2006/relationships/image" Target="media/image17.png"/><Relationship Id="rId40" Type="http://schemas.openxmlformats.org/officeDocument/2006/relationships/image" Target="media/image18.png"/><Relationship Id="rId18" Type="http://schemas.openxmlformats.org/officeDocument/2006/relationships/hyperlink" Target="http://www.sec.gov/Archives/edgar/data/1777835/000121390021015417/f10k2020_fintechacq4.htm" TargetMode="External"/><Relationship Id="rId19" Type="http://schemas.openxmlformats.org/officeDocument/2006/relationships/hyperlink" Target="http://www.sec.gov/Archives/edgar/data/1777835/000121390021024533/f10k2020a1_fintechacq4.htm" TargetMode="External"/><Relationship Id="rId20" Type="http://schemas.openxmlformats.org/officeDocument/2006/relationships/hyperlink" Target="http://www.sec.gov/Archives/edgar/data/1777835/000121390021028547/f10q0321_fintechacq4.htm" TargetMode="External"/><Relationship Id="rId21" Type="http://schemas.openxmlformats.org/officeDocument/2006/relationships/hyperlink" Target="http://www.sec.gov/ix?doc=/Archives/edgar/data/1777835/000095017021001359/pwp-20210630.htm" TargetMode="External"/><Relationship Id="rId22" Type="http://schemas.openxmlformats.org/officeDocument/2006/relationships/hyperlink" Target="http://www.sec.gov/Archives/edgar/data/1777835/000121390021023543/ea140094-8k_fintechacq4.htm" TargetMode="External"/><Relationship Id="rId23" Type="http://schemas.openxmlformats.org/officeDocument/2006/relationships/hyperlink" Target="http://www.sec.gov/Archives/edgar/data/1777835/000119312521150510/d868971d8k.htm" TargetMode="External"/><Relationship Id="rId24" Type="http://schemas.openxmlformats.org/officeDocument/2006/relationships/hyperlink" Target="http://www.sec.gov/Archives/edgar/data/1777835/000119312521188942/d148392d8k.htm" TargetMode="External"/><Relationship Id="rId25" Type="http://schemas.openxmlformats.org/officeDocument/2006/relationships/hyperlink" Target="http://www.sec.gov/Archives/edgar/data/1777835/000119312521196435/d150816d8k.htm" TargetMode="External"/><Relationship Id="rId26" Type="http://schemas.openxmlformats.org/officeDocument/2006/relationships/hyperlink" Target="http://www.sec.gov/Archives/edgar/data/1777835/000119312521204696/d119701d8k.htm" TargetMode="External"/><Relationship Id="rId27" Type="http://schemas.openxmlformats.org/officeDocument/2006/relationships/hyperlink" Target="http://www.sec.gov/Archives/edgar/data/1777835/000119312521204730/d119701d8ka.htm" TargetMode="External"/><Relationship Id="rId28" Type="http://schemas.openxmlformats.org/officeDocument/2006/relationships/hyperlink" Target="http://www.sec.gov/Archives/edgar/data/1777835/000119312521175488/d101000ddefm14a.htm" TargetMode="External"/><Relationship Id="rId31" Type="http://schemas.openxmlformats.org/officeDocument/2006/relationships/hyperlink" Target="http://www.sec.gov/Archives/edgar/data/1777835/000119312521204696/d119701dex31.htm" TargetMode="External"/><Relationship Id="rId32" Type="http://schemas.openxmlformats.org/officeDocument/2006/relationships/hyperlink" Target="http://www.sec.gov/Archives/edgar/data/1777835/000119312521204696/d119701dex32.htm" TargetMode="External"/><Relationship Id="rId33" Type="http://schemas.openxmlformats.org/officeDocument/2006/relationships/hyperlink" Target="http://www.sec.gov/Archives/edgar/data/1777835/000119312521204696/d119701dex106.htm" TargetMode="External"/><Relationship Id="rId34" Type="http://schemas.openxmlformats.org/officeDocument/2006/relationships/hyperlink" Target="http://www.sec.gov/Archives/edgar/data/1777835/000119312521204696/d119701d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2021-08-30T15:33:18Z</dcterms:created>
  <dcterms:modified xsi:type="dcterms:W3CDTF">2021-08-30T15:33:18Z</dcterms:modified>
</cp:coreProperties>
</file>