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80"/>
        <w:spacing w:after="0"/>
        <w:rPr>
          <w:sz w:val="20"/>
          <w:szCs w:val="20"/>
          <w:color w:val="auto"/>
        </w:rPr>
      </w:pPr>
      <w:r>
        <w:rPr>
          <w:rFonts w:ascii="Arial" w:cs="Arial" w:eastAsia="Arial" w:hAnsi="Arial"/>
          <w:sz w:val="16"/>
          <w:szCs w:val="16"/>
          <w:b w:val="1"/>
          <w:bCs w:val="1"/>
          <w:color w:val="auto"/>
        </w:rPr>
        <w:t>FinTech Acquisition Corp. IV</w:t>
      </w:r>
    </w:p>
    <w:p>
      <w:pPr>
        <w:spacing w:after="0" w:line="50" w:lineRule="exact"/>
        <w:rPr>
          <w:sz w:val="24"/>
          <w:szCs w:val="24"/>
          <w:color w:val="auto"/>
        </w:rPr>
      </w:pPr>
    </w:p>
    <w:p>
      <w:pPr>
        <w:ind w:left="4540"/>
        <w:spacing w:after="0"/>
        <w:rPr>
          <w:sz w:val="20"/>
          <w:szCs w:val="20"/>
          <w:color w:val="auto"/>
        </w:rPr>
      </w:pPr>
      <w:r>
        <w:rPr>
          <w:rFonts w:ascii="Arial" w:cs="Arial" w:eastAsia="Arial" w:hAnsi="Arial"/>
          <w:sz w:val="16"/>
          <w:szCs w:val="16"/>
          <w:b w:val="1"/>
          <w:bCs w:val="1"/>
          <w:color w:val="auto"/>
        </w:rPr>
        <w:t>2929 Arch Street, Suite 1703</w:t>
      </w:r>
    </w:p>
    <w:p>
      <w:pPr>
        <w:spacing w:after="0" w:line="32"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Philadelphia, PA 19104-2870</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September 23,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David Link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 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229" w:right="339" w:bottom="1440" w:gutter="0" w:footer="0" w:header="0"/>
        </w:sectPr>
      </w:pPr>
    </w:p>
    <w:p>
      <w:pPr>
        <w:spacing w:after="0" w:line="211" w:lineRule="exact"/>
        <w:rPr>
          <w:sz w:val="24"/>
          <w:szCs w:val="24"/>
          <w:color w:val="auto"/>
        </w:rPr>
      </w:pPr>
    </w:p>
    <w:p>
      <w:pPr>
        <w:ind w:left="2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FinTech Acquisition Corp. IV</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Filed September 8, 2020, as amended</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File No. 333-248664</w:t>
      </w:r>
    </w:p>
    <w:p>
      <w:pPr>
        <w:spacing w:after="0" w:line="200" w:lineRule="exact"/>
        <w:rPr>
          <w:sz w:val="24"/>
          <w:szCs w:val="24"/>
          <w:color w:val="auto"/>
        </w:rPr>
      </w:pPr>
    </w:p>
    <w:p>
      <w:pPr>
        <w:sectPr>
          <w:pgSz w:w="11900" w:h="16838" w:orient="portrait"/>
          <w:cols w:equalWidth="0" w:num="2">
            <w:col w:w="500" w:space="300"/>
            <w:col w:w="10440"/>
          </w:cols>
          <w:pgMar w:left="320" w:top="22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Link:</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Pursuant to Rule 461 under the Securities Act of 1933, as amended, FinTech Acquisition Corp. IV (the “Registrant”) hereby requests acceleration of effectiveness of the above referenced Registration Statement so that it will become effective at 4:00PM EDT on September 24, 2020, or as soon as practicable thereafter.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/s/ James J. McEntee,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James J. McEntee, III</w:t>
      </w:r>
    </w:p>
    <w:p>
      <w:pPr>
        <w:spacing w:after="0" w:line="23"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President and Secretary</w:t>
      </w:r>
    </w:p>
    <w:p>
      <w:pPr>
        <w:spacing w:after="0" w:line="319" w:lineRule="exact"/>
        <w:rPr>
          <w:sz w:val="24"/>
          <w:szCs w:val="24"/>
          <w:color w:val="auto"/>
        </w:rPr>
      </w:pPr>
    </w:p>
    <w:p>
      <w:pPr>
        <w:ind w:right="8220" w:firstLine="8"/>
        <w:spacing w:after="0" w:line="277" w:lineRule="auto"/>
        <w:tabs>
          <w:tab w:leader="none" w:pos="57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Ellenoff Grossman &amp; Schole LLP Ledgewood, PC</w:t>
      </w:r>
    </w:p>
    <w:sectPr>
      <w:pgSz w:w="11900" w:h="16838" w:orient="portrait"/>
      <w:cols w:equalWidth="0" w:num="1">
        <w:col w:w="11240"/>
      </w:cols>
      <w:pgMar w:left="320" w:top="22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2021-08-15T19:58:44Z</dcterms:created>
  <dcterms:modified xsi:type="dcterms:W3CDTF">2021-08-15T19:58:44Z</dcterms:modified>
</cp:coreProperties>
</file>