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90170</wp:posOffset>
            </wp:positionV>
            <wp:extent cx="1834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SCHEDULE TO</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TENDER OFFER STATEMENT UNDER SECTION 14(d)(1) OR 13(e)(1)</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142240</wp:posOffset>
            </wp:positionV>
            <wp:extent cx="1834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5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(Name of Subject Company and Filing Person (Issuer))</w:t>
      </w: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Warrants to Acquire Shares of Class A Common Stock</w:t>
      </w:r>
    </w:p>
    <w:p>
      <w:pPr>
        <w:spacing w:after="0" w:line="6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71367G110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Vladimir Shendelman, Esq.</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287-3200</w:t>
      </w: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92710</wp:posOffset>
            </wp:positionV>
            <wp:extent cx="18345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Copies of communications to:</w:t>
      </w:r>
    </w:p>
    <w:p>
      <w:pPr>
        <w:spacing w:after="0" w:line="11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Joseph A. Coco, Esq.</w:t>
      </w:r>
    </w:p>
    <w:p>
      <w:pPr>
        <w:spacing w:after="0" w:line="17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Michael J. Schwartz, Esq.</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Blair T. Thetford, Esq.</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One Manhattan West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57150</wp:posOffset>
            </wp:positionV>
            <wp:extent cx="1834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0" w:lineRule="exact"/>
        <w:rPr>
          <w:sz w:val="24"/>
          <w:szCs w:val="24"/>
          <w:color w:val="auto"/>
        </w:rPr>
      </w:pPr>
    </w:p>
    <w:p>
      <w:pPr>
        <w:ind w:right="1539" w:firstLine="8"/>
        <w:spacing w:after="0" w:line="312"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before the commencement of a tender offer. Check the appropriate boxes below to designate any transactions to which the statement relates:</w:t>
      </w:r>
    </w:p>
    <w:p>
      <w:pPr>
        <w:spacing w:after="0" w:line="28"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90"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77"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6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77"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83" w:right="1440" w:bottom="1440" w:gutter="0" w:footer="0" w:header="0"/>
        </w:sectPr>
      </w:pPr>
    </w:p>
    <w:bookmarkStart w:id="1" w:name="page2"/>
    <w:bookmarkEnd w:id="1"/>
    <w:p>
      <w:pPr>
        <w:jc w:val="both"/>
        <w:spacing w:after="0" w:line="254" w:lineRule="auto"/>
        <w:rPr>
          <w:sz w:val="20"/>
          <w:szCs w:val="20"/>
          <w:color w:val="auto"/>
        </w:rPr>
      </w:pPr>
      <w:r>
        <w:rPr>
          <w:rFonts w:ascii="Times New Roman" w:cs="Times New Roman" w:eastAsia="Times New Roman" w:hAnsi="Times New Roman"/>
          <w:sz w:val="18"/>
          <w:szCs w:val="18"/>
          <w:color w:val="auto"/>
        </w:rPr>
        <w:t>This Amendment No. 2 amends and supplements the Tender Offer Statement on Schedule TO originally filed by Perella Weinberg Partners, a Delaware corporation (the “Company”), with the Securities and Exchange Commission (the “SEC”) on July 22, 2022 (as amended, the “Schedule TO”). The Schedule TO was filed pursuant to Rule 13e-4 under the Securities Exchange Act of 1934, as amended (the “Exchange Act”), in connection with the Company’s offer to each holder of the Company’s Warrants (each, a “Warrant”) to purchase shares of the Company’s Class A common stock, par value $0.0001 per share (“Class A Common Stock”), to receive 0.20 shares of Class A Common Stock in exchange for each outstanding Warrant tendered by the holder and exchanged pursuant to the offer (the “Offer”). The Offer was made upon and subject to the terms and conditions set forth in the Prospectus/Offer to Exchange, dated August 15, 2022 (the “Prospectus/Offer to Exchange”), a copy of which is filed hereto as Exhibit (a)(1)(A), and in the related Letter of Transmittal and Consent, a copy of which was filed as Exhibit (a)(1)(B) to the Schedule TO.</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Concurrently with the Offer, the Company solicited consents (the “Consent Solicitation”) from holders of the Public Warrants (as defined in the Schedule TO) to amend the warrant agreement, dated as of September 24, 2020 (the “Warrant Agreement”), by and between the Company (f/k/a FinTech Acquisition Corp. IV (“FTIV”)) and Continental Stock Transfer &amp; Trust Company, as amended by Amendment No. 1 to Warrant Agreement, dated as of November 10, 2021, by and among the Company, Continental Stock Transfer &amp; Trust Company and American Stock Transfer &amp; Trust Company, LLC, as warrant agent, to permit the Company to require that each Warrant (including each Private Placement Warrant (as defined in the Schedule TO)) that is outstanding upon the closing of the Offer be converted into 0.18 shares of Class A Common Stock, which is a ratio 10% less than the exchange ratio applicable to the Offer (the “Warrant Amendment”). Pursuant to the terms of the Warrant Agreement, all except certain specified modifications or amendments require the vote or written consent of holders of at least 65% of the outstanding Public Warrants.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this Amendment No. 2 is to amend and supplement the Schedule TO to (i) update Item 11 of the Schedule TO to report the final results of the Offer and Consent Solicitation, and (ii) update Item 12 of the Schedule TO to include a press release issued by the Company on August 19, 2022, announcing the results of the Offer and Consent Solicitation.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those items amended are reported in this Amendment No. 2. Except as specifically provided herein, the information contained in the Schedule TO, the Prospectus/Offer to Exchange and the Letter of Transmittal and Consent remains unchanged, and this Amendment No. 2 does not modify any of the other information previously reported on the Schedule TO or in the Prospectus/Offer to Exchange or the Letter of Transmittal and Consent. You should read this Amendment No. 2 together with the Schedule TO, the Prospectus/Offer to Exchange and the Letter of Transmittal and Consent.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11 of the Schedule TO is hereby amended and supplemented by adding at the end thereof the following text:</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Offer and Consent Solicitation expired at one minute after 11:59 p.m., Eastern Standard Time, on August 18, 2022. The Company has been advised that 7,389,511 Public Warrants (including 25,638 Public Warrants tendered through guaranteed delivery), or approximately 96.39% of the outstanding Public Warrants, and 96,959 Private Placement Warrants (including 18,169 Private Placement Warrants tendered through guaranteed delivery), or approximately 47.68% of the outstanding Private Placement Warrants, were validly tendered and not validly withdrawn prior to the expiration of the Offer and Consent Solicitation. The Company expects to accept all validly tendered Warrants for exchange and settlement on or before August 23, 2022. In addition, pursuant to the Consent Solicitation, the Company received the approval of approximately 96.39% of the outstanding Public Warrants to the Warrant Amendment, which exceeds the 65% of the outstanding Public Warrants required to effect the Warrant Amendment. The Company expects to execute the Warrant Amendment concurrently with the settlement of the Offer.</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19, 2022, the Company issued a press release announcing the final results of the Offer and Consent Solicitation as set forth above. A copy of the press release is filed as Exhibit (a)(5)(C) to the Schedule TO and is incorporated herein by reference.</w:t>
      </w:r>
    </w:p>
    <w:p>
      <w:pPr>
        <w:sectPr>
          <w:pgSz w:w="11900" w:h="16838" w:orient="portrait"/>
          <w:cols w:equalWidth="0" w:num="1">
            <w:col w:w="11240"/>
          </w:cols>
          <w:pgMar w:left="320" w:top="1417" w:right="339" w:bottom="1440" w:gutter="0" w:footer="0" w:header="0"/>
        </w:sectPr>
      </w:pPr>
    </w:p>
    <w:bookmarkStart w:id="2" w:name="page3"/>
    <w:bookmarkEnd w:id="2"/>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12. Exhibits.</w:t>
            </w: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w:t>
            </w:r>
          </w:p>
        </w:tc>
        <w:tc>
          <w:tcPr>
            <w:tcW w:w="20" w:type="dxa"/>
            <w:vAlign w:val="bottom"/>
          </w:tcPr>
          <w:p>
            <w:pPr>
              <w:spacing w:after="0"/>
              <w:rPr>
                <w:sz w:val="18"/>
                <w:szCs w:val="18"/>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Prospectus/Offer to Exchange (incorporated by reference to the Prospectus/Offer to Exchange filed pursuant to Rule 424(b)(3) by</w:t>
              </w:r>
            </w:hyperlink>
          </w:p>
        </w:tc>
      </w:tr>
      <w:tr>
        <w:trPr>
          <w:trHeight w:val="209"/>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the Company with the SEC on August 15, 2022).</w:t>
              </w:r>
            </w:hyperlink>
          </w:p>
        </w:tc>
        <w:tc>
          <w:tcPr>
            <w:tcW w:w="6020" w:type="dxa"/>
            <w:vAlign w:val="bottom"/>
            <w:gridSpan w:val="9"/>
          </w:tcPr>
          <w:p>
            <w:pPr>
              <w:spacing w:after="0"/>
              <w:rPr>
                <w:sz w:val="18"/>
                <w:szCs w:val="18"/>
                <w:color w:val="auto"/>
              </w:rPr>
            </w:pPr>
          </w:p>
        </w:tc>
      </w:tr>
      <w:tr>
        <w:trPr>
          <w:trHeight w:val="291"/>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(a)(1)(B)</w:t>
            </w:r>
          </w:p>
        </w:tc>
        <w:tc>
          <w:tcPr>
            <w:tcW w:w="20" w:type="dxa"/>
            <w:vAlign w:val="bottom"/>
          </w:tcPr>
          <w:p>
            <w:pPr>
              <w:spacing w:after="0"/>
              <w:rPr>
                <w:sz w:val="24"/>
                <w:szCs w:val="24"/>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Form of Letter of Transmittal (incorporated by reference to Exhibit 99.1 to the Registration Statement on Form S-4 filed by the</w:t>
              </w:r>
            </w:hyperlink>
          </w:p>
        </w:tc>
      </w:tr>
      <w:tr>
        <w:trPr>
          <w:trHeight w:val="209"/>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8"/>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Company with the SEC on July 22, 2022)</w:t>
              </w:r>
              <w:r>
                <w:rPr>
                  <w:rFonts w:ascii="Times New Roman" w:cs="Times New Roman" w:eastAsia="Times New Roman" w:hAnsi="Times New Roman"/>
                  <w:sz w:val="18"/>
                  <w:szCs w:val="18"/>
                  <w:color w:val="000000"/>
                </w:rPr>
                <w:t>.</w:t>
              </w:r>
            </w:hyperlink>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(a)(1)(C)</w:t>
            </w:r>
          </w:p>
        </w:tc>
        <w:tc>
          <w:tcPr>
            <w:tcW w:w="20" w:type="dxa"/>
            <w:vAlign w:val="bottom"/>
          </w:tcPr>
          <w:p>
            <w:pPr>
              <w:spacing w:after="0"/>
              <w:rPr>
                <w:sz w:val="24"/>
                <w:szCs w:val="24"/>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Form of Notice of Guaranteed Delivery (incorporated by reference to Exhibit 99.2 to the Registration Statement on Form S-4 filed</w:t>
              </w:r>
            </w:hyperlink>
          </w:p>
        </w:tc>
      </w:tr>
      <w:tr>
        <w:trPr>
          <w:trHeight w:val="209"/>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8"/>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by the Company with the SEC on July 22, 2022)</w:t>
              </w:r>
              <w:r>
                <w:rPr>
                  <w:rFonts w:ascii="Times New Roman" w:cs="Times New Roman" w:eastAsia="Times New Roman" w:hAnsi="Times New Roman"/>
                  <w:sz w:val="18"/>
                  <w:szCs w:val="18"/>
                  <w:color w:val="000000"/>
                </w:rPr>
                <w:t>.</w:t>
              </w:r>
            </w:hyperlink>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(a)(1)(D)</w:t>
            </w:r>
          </w:p>
        </w:tc>
        <w:tc>
          <w:tcPr>
            <w:tcW w:w="20" w:type="dxa"/>
            <w:vAlign w:val="bottom"/>
          </w:tcPr>
          <w:p>
            <w:pPr>
              <w:spacing w:after="0"/>
              <w:rPr>
                <w:sz w:val="24"/>
                <w:szCs w:val="24"/>
                <w:color w:val="auto"/>
              </w:rPr>
            </w:pPr>
          </w:p>
        </w:tc>
        <w:tc>
          <w:tcPr>
            <w:tcW w:w="95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Form of Letter to Brokers, Dealers, Commercial Banks, Trust Companies and Other Nominees (incorporated by reference to Exhibit</w:t>
              </w:r>
            </w:hyperlink>
          </w:p>
        </w:tc>
        <w:tc>
          <w:tcPr>
            <w:tcW w:w="20" w:type="dxa"/>
            <w:vAlign w:val="bottom"/>
          </w:tcPr>
          <w:p>
            <w:pPr>
              <w:spacing w:after="0"/>
              <w:rPr>
                <w:sz w:val="24"/>
                <w:szCs w:val="24"/>
                <w:color w:val="auto"/>
              </w:rPr>
            </w:pPr>
          </w:p>
        </w:tc>
      </w:tr>
      <w:tr>
        <w:trPr>
          <w:trHeight w:val="209"/>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8"/>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Registration Statement on Form S-4 filed by the Company with the SEC on July 22, 2022).</w:t>
              </w:r>
            </w:hyperlink>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(a)(1)(E)</w:t>
            </w:r>
          </w:p>
        </w:tc>
        <w:tc>
          <w:tcPr>
            <w:tcW w:w="20" w:type="dxa"/>
            <w:vAlign w:val="bottom"/>
          </w:tcPr>
          <w:p>
            <w:pPr>
              <w:spacing w:after="0"/>
              <w:rPr>
                <w:sz w:val="24"/>
                <w:szCs w:val="24"/>
                <w:color w:val="auto"/>
              </w:rPr>
            </w:pPr>
          </w:p>
        </w:tc>
        <w:tc>
          <w:tcPr>
            <w:tcW w:w="95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Form of Letter to Clients of Brokers, Dealers, Commercial Banks, Trust Companies and Other Nominees (incorporated by reference</w:t>
              </w:r>
            </w:hyperlink>
          </w:p>
        </w:tc>
        <w:tc>
          <w:tcPr>
            <w:tcW w:w="20" w:type="dxa"/>
            <w:vAlign w:val="bottom"/>
          </w:tcPr>
          <w:p>
            <w:pPr>
              <w:spacing w:after="0"/>
              <w:rPr>
                <w:sz w:val="24"/>
                <w:szCs w:val="24"/>
                <w:color w:val="auto"/>
              </w:rPr>
            </w:pPr>
          </w:p>
        </w:tc>
      </w:tr>
      <w:tr>
        <w:trPr>
          <w:trHeight w:val="209"/>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8"/>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to Exhibit 99.4 to the Registration Statement on Form S-4 filed by the Company with the SEC on July 22, 2022).</w:t>
              </w:r>
            </w:hyperlink>
          </w:p>
        </w:tc>
      </w:tr>
      <w:tr>
        <w:trPr>
          <w:trHeight w:val="331"/>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20" w:type="dxa"/>
            <w:vAlign w:val="bottom"/>
          </w:tcPr>
          <w:p>
            <w:pPr>
              <w:spacing w:after="0"/>
              <w:rPr>
                <w:sz w:val="24"/>
                <w:szCs w:val="24"/>
                <w:color w:val="auto"/>
              </w:rPr>
            </w:pPr>
          </w:p>
        </w:tc>
        <w:tc>
          <w:tcPr>
            <w:tcW w:w="81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440" w:type="dxa"/>
            <w:vAlign w:val="bottom"/>
            <w:gridSpan w:val="5"/>
          </w:tcPr>
          <w:p>
            <w:pPr>
              <w:spacing w:after="0"/>
              <w:rPr>
                <w:sz w:val="24"/>
                <w:szCs w:val="24"/>
                <w:color w:val="auto"/>
              </w:rPr>
            </w:pPr>
          </w:p>
        </w:tc>
      </w:tr>
      <w:tr>
        <w:trPr>
          <w:trHeight w:val="29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5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(a)(4)</w:t>
            </w:r>
          </w:p>
        </w:tc>
        <w:tc>
          <w:tcPr>
            <w:tcW w:w="20" w:type="dxa"/>
            <w:vAlign w:val="bottom"/>
          </w:tcPr>
          <w:p>
            <w:pPr>
              <w:spacing w:after="0"/>
              <w:rPr>
                <w:sz w:val="22"/>
                <w:szCs w:val="22"/>
                <w:color w:val="auto"/>
              </w:rPr>
            </w:pPr>
          </w:p>
        </w:tc>
        <w:tc>
          <w:tcPr>
            <w:tcW w:w="56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Prospectus/Offer to Exchange (incorporated by reference to Exhibit (a)(1)(A)).</w:t>
              </w:r>
            </w:hyperlink>
          </w:p>
        </w:tc>
        <w:tc>
          <w:tcPr>
            <w:tcW w:w="3880" w:type="dxa"/>
            <w:vAlign w:val="bottom"/>
            <w:gridSpan w:val="7"/>
          </w:tcPr>
          <w:p>
            <w:pPr>
              <w:spacing w:after="0"/>
              <w:rPr>
                <w:sz w:val="22"/>
                <w:szCs w:val="22"/>
                <w:color w:val="auto"/>
              </w:rPr>
            </w:pPr>
          </w:p>
        </w:tc>
      </w:tr>
      <w:tr>
        <w:trPr>
          <w:trHeight w:val="27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(a)(5)(A)</w:t>
            </w:r>
          </w:p>
        </w:tc>
        <w:tc>
          <w:tcPr>
            <w:tcW w:w="20" w:type="dxa"/>
            <w:vAlign w:val="bottom"/>
          </w:tcPr>
          <w:p>
            <w:pPr>
              <w:spacing w:after="0"/>
              <w:rPr>
                <w:sz w:val="24"/>
                <w:szCs w:val="24"/>
                <w:color w:val="auto"/>
              </w:rPr>
            </w:pPr>
          </w:p>
        </w:tc>
        <w:tc>
          <w:tcPr>
            <w:tcW w:w="95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Press Release, dated July 22, 2022 (incorporated by reference to Exhibit 99.1 to the Current Report on Form 8-K filed by the</w:t>
              </w:r>
            </w:hyperlink>
          </w:p>
        </w:tc>
        <w:tc>
          <w:tcPr>
            <w:tcW w:w="20" w:type="dxa"/>
            <w:vAlign w:val="bottom"/>
          </w:tcPr>
          <w:p>
            <w:pPr>
              <w:spacing w:after="0"/>
              <w:rPr>
                <w:sz w:val="24"/>
                <w:szCs w:val="24"/>
                <w:color w:val="auto"/>
              </w:rPr>
            </w:pPr>
          </w:p>
        </w:tc>
      </w:tr>
      <w:tr>
        <w:trPr>
          <w:trHeight w:val="210"/>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8"/>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Company on July 22, 2022).</w:t>
              </w:r>
            </w:hyperlink>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(a)(5)(B)</w:t>
            </w:r>
          </w:p>
        </w:tc>
        <w:tc>
          <w:tcPr>
            <w:tcW w:w="20" w:type="dxa"/>
            <w:vAlign w:val="bottom"/>
          </w:tcPr>
          <w:p>
            <w:pPr>
              <w:spacing w:after="0"/>
              <w:rPr>
                <w:sz w:val="24"/>
                <w:szCs w:val="24"/>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Press Release, dated August 15, 2022 (incorporated by reference to Exhibit 99.1 to the Current Report on Form 8-K filed by the</w:t>
              </w:r>
            </w:hyperlink>
          </w:p>
        </w:tc>
      </w:tr>
      <w:tr>
        <w:trPr>
          <w:trHeight w:val="210"/>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Company on August 15, 2022).</w:t>
              </w:r>
            </w:hyperlink>
          </w:p>
        </w:tc>
        <w:tc>
          <w:tcPr>
            <w:tcW w:w="7280" w:type="dxa"/>
            <w:vAlign w:val="bottom"/>
            <w:gridSpan w:val="15"/>
          </w:tcPr>
          <w:p>
            <w:pPr>
              <w:spacing w:after="0"/>
              <w:rPr>
                <w:sz w:val="18"/>
                <w:szCs w:val="18"/>
                <w:color w:val="auto"/>
              </w:rPr>
            </w:pPr>
          </w:p>
        </w:tc>
      </w:tr>
      <w:tr>
        <w:trPr>
          <w:trHeight w:val="29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(a)(5)(C)</w:t>
            </w:r>
          </w:p>
        </w:tc>
        <w:tc>
          <w:tcPr>
            <w:tcW w:w="20" w:type="dxa"/>
            <w:vAlign w:val="bottom"/>
          </w:tcPr>
          <w:p>
            <w:pPr>
              <w:spacing w:after="0"/>
              <w:rPr>
                <w:sz w:val="24"/>
                <w:szCs w:val="24"/>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Press Release, dated August 19, 2022 (incorporated by reference to Exhibit 99.1 to the Current Report on Form 8-K filed by the</w:t>
              </w:r>
            </w:hyperlink>
          </w:p>
        </w:tc>
      </w:tr>
      <w:tr>
        <w:trPr>
          <w:trHeight w:val="210"/>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8"/>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Company on August 19, 2022).</w:t>
              </w:r>
            </w:hyperlink>
          </w:p>
        </w:tc>
      </w:tr>
      <w:tr>
        <w:trPr>
          <w:trHeight w:val="331"/>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24"/>
                <w:szCs w:val="24"/>
                <w:color w:val="auto"/>
              </w:rPr>
            </w:pPr>
          </w:p>
        </w:tc>
        <w:tc>
          <w:tcPr>
            <w:tcW w:w="2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300" w:type="dxa"/>
            <w:vAlign w:val="bottom"/>
            <w:gridSpan w:val="16"/>
          </w:tcPr>
          <w:p>
            <w:pPr>
              <w:spacing w:after="0"/>
              <w:rPr>
                <w:sz w:val="24"/>
                <w:szCs w:val="24"/>
                <w:color w:val="auto"/>
              </w:rPr>
            </w:pPr>
          </w:p>
        </w:tc>
      </w:tr>
      <w:tr>
        <w:trPr>
          <w:trHeight w:val="25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w:t>
            </w:r>
          </w:p>
        </w:tc>
        <w:tc>
          <w:tcPr>
            <w:tcW w:w="20" w:type="dxa"/>
            <w:vAlign w:val="bottom"/>
          </w:tcPr>
          <w:p>
            <w:pPr>
              <w:spacing w:after="0"/>
              <w:rPr>
                <w:sz w:val="22"/>
                <w:szCs w:val="22"/>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Business Combination Agreement, dated as of December 29, 2020, by and among FinTech Acquisition Corp. IV, FinTech Investor</w:t>
              </w:r>
            </w:hyperlink>
          </w:p>
        </w:tc>
      </w:tr>
      <w:tr>
        <w:trPr>
          <w:trHeight w:val="209"/>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8"/>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Holdings IV, LLC, FinTech Masala Advisors, LLC, PWP Holdings LP, PWP GP LLC, PWP Professional Partners LP and Perella</w:t>
              </w:r>
            </w:hyperlink>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Weinberg Partners LLC (incorporated by reference to Exhibit 2.1 to FinTech Acquisition Corp. IV’s Current Report on Form 8-K/A,</w:t>
              </w:r>
            </w:hyperlink>
          </w:p>
        </w:tc>
        <w:tc>
          <w:tcPr>
            <w:tcW w:w="20" w:type="dxa"/>
            <w:vAlign w:val="bottom"/>
          </w:tcPr>
          <w:p>
            <w:pPr>
              <w:spacing w:after="0"/>
              <w:rPr>
                <w:sz w:val="19"/>
                <w:szCs w:val="19"/>
                <w:color w:val="auto"/>
              </w:rPr>
            </w:pPr>
          </w:p>
        </w:tc>
      </w:tr>
      <w:tr>
        <w:trPr>
          <w:trHeight w:val="223"/>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filed with the SEC on December 31, 2020).</w:t>
              </w:r>
            </w:hyperlink>
          </w:p>
        </w:tc>
        <w:tc>
          <w:tcPr>
            <w:tcW w:w="6440" w:type="dxa"/>
            <w:vAlign w:val="bottom"/>
            <w:gridSpan w:val="11"/>
          </w:tcPr>
          <w:p>
            <w:pPr>
              <w:spacing w:after="0"/>
              <w:rPr>
                <w:sz w:val="19"/>
                <w:szCs w:val="19"/>
                <w:color w:val="auto"/>
              </w:rPr>
            </w:pPr>
          </w:p>
        </w:tc>
      </w:tr>
      <w:tr>
        <w:trPr>
          <w:trHeight w:val="27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(d)(ii)</w:t>
            </w:r>
          </w:p>
        </w:tc>
        <w:tc>
          <w:tcPr>
            <w:tcW w:w="20" w:type="dxa"/>
            <w:vAlign w:val="bottom"/>
          </w:tcPr>
          <w:p>
            <w:pPr>
              <w:spacing w:after="0"/>
              <w:rPr>
                <w:sz w:val="24"/>
                <w:szCs w:val="24"/>
                <w:color w:val="auto"/>
              </w:rPr>
            </w:pPr>
          </w:p>
        </w:tc>
        <w:tc>
          <w:tcPr>
            <w:tcW w:w="95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Restated Certificate of Incorporation of Perella Weinberg Partners (incorporated by reference to Exhibit 3.1 to Amendment No. 1 to</w:t>
              </w:r>
            </w:hyperlink>
          </w:p>
        </w:tc>
        <w:tc>
          <w:tcPr>
            <w:tcW w:w="20" w:type="dxa"/>
            <w:vAlign w:val="bottom"/>
          </w:tcPr>
          <w:p>
            <w:pPr>
              <w:spacing w:after="0"/>
              <w:rPr>
                <w:sz w:val="24"/>
                <w:szCs w:val="24"/>
                <w:color w:val="auto"/>
              </w:rPr>
            </w:pPr>
          </w:p>
        </w:tc>
      </w:tr>
      <w:tr>
        <w:trPr>
          <w:trHeight w:val="209"/>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8"/>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the Company’s Registration Statement on Form S-1 (File No. 333-261785), filed with the SEC on January 13, 2022).</w:t>
              </w:r>
            </w:hyperlink>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(d)(iii)</w:t>
            </w:r>
          </w:p>
        </w:tc>
        <w:tc>
          <w:tcPr>
            <w:tcW w:w="20" w:type="dxa"/>
            <w:vAlign w:val="bottom"/>
          </w:tcPr>
          <w:p>
            <w:pPr>
              <w:spacing w:after="0"/>
              <w:rPr>
                <w:sz w:val="24"/>
                <w:szCs w:val="24"/>
                <w:color w:val="auto"/>
              </w:rPr>
            </w:pPr>
          </w:p>
        </w:tc>
        <w:tc>
          <w:tcPr>
            <w:tcW w:w="95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Amended and Restated Bylaws of Perella Weinberg Partners (incorporated by reference to Exhibit 3.2 to the Company’s Current</w:t>
              </w:r>
            </w:hyperlink>
          </w:p>
        </w:tc>
        <w:tc>
          <w:tcPr>
            <w:tcW w:w="20" w:type="dxa"/>
            <w:vAlign w:val="bottom"/>
          </w:tcPr>
          <w:p>
            <w:pPr>
              <w:spacing w:after="0"/>
              <w:rPr>
                <w:sz w:val="24"/>
                <w:szCs w:val="24"/>
                <w:color w:val="auto"/>
              </w:rPr>
            </w:pPr>
          </w:p>
        </w:tc>
      </w:tr>
      <w:tr>
        <w:trPr>
          <w:trHeight w:val="210"/>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Report on Form 8-K, filed with the SEC on June 30, 2021).</w:t>
              </w:r>
            </w:hyperlink>
          </w:p>
        </w:tc>
        <w:tc>
          <w:tcPr>
            <w:tcW w:w="5280" w:type="dxa"/>
            <w:vAlign w:val="bottom"/>
            <w:gridSpan w:val="8"/>
          </w:tcPr>
          <w:p>
            <w:pPr>
              <w:spacing w:after="0"/>
              <w:rPr>
                <w:sz w:val="18"/>
                <w:szCs w:val="18"/>
                <w:color w:val="auto"/>
              </w:rPr>
            </w:pPr>
          </w:p>
        </w:tc>
      </w:tr>
      <w:tr>
        <w:trPr>
          <w:trHeight w:val="29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w:t>
            </w:r>
          </w:p>
        </w:tc>
        <w:tc>
          <w:tcPr>
            <w:tcW w:w="20" w:type="dxa"/>
            <w:vAlign w:val="bottom"/>
          </w:tcPr>
          <w:p>
            <w:pPr>
              <w:spacing w:after="0"/>
              <w:rPr>
                <w:sz w:val="24"/>
                <w:szCs w:val="24"/>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Specimen Class A Common Stock Certificate (incorporated by reference to Exhibit 4.1 to the Company’s Current Report on Form</w:t>
              </w:r>
            </w:hyperlink>
          </w:p>
        </w:tc>
      </w:tr>
      <w:tr>
        <w:trPr>
          <w:trHeight w:val="210"/>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8-K, filed with the SEC on June 30, 2021).</w:t>
              </w:r>
            </w:hyperlink>
          </w:p>
        </w:tc>
        <w:tc>
          <w:tcPr>
            <w:tcW w:w="6480" w:type="dxa"/>
            <w:vAlign w:val="bottom"/>
            <w:gridSpan w:val="12"/>
          </w:tcPr>
          <w:p>
            <w:pPr>
              <w:spacing w:after="0"/>
              <w:rPr>
                <w:sz w:val="18"/>
                <w:szCs w:val="18"/>
                <w:color w:val="auto"/>
              </w:rPr>
            </w:pPr>
          </w:p>
        </w:tc>
      </w:tr>
      <w:tr>
        <w:trPr>
          <w:trHeight w:val="29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(d)(v)</w:t>
            </w:r>
          </w:p>
        </w:tc>
        <w:tc>
          <w:tcPr>
            <w:tcW w:w="20" w:type="dxa"/>
            <w:vAlign w:val="bottom"/>
          </w:tcPr>
          <w:p>
            <w:pPr>
              <w:spacing w:after="0"/>
              <w:rPr>
                <w:sz w:val="24"/>
                <w:szCs w:val="24"/>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Warrant Agreement, dated September 24, 2020, by and between FinTech Acquisition Corp. IV and Continental Stock Transfer &amp;</w:t>
              </w:r>
            </w:hyperlink>
          </w:p>
        </w:tc>
      </w:tr>
      <w:tr>
        <w:trPr>
          <w:trHeight w:val="210"/>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Trust Company (incorporated by reference to Exhibit 4.1 to FinTech Acquisition Corp. IV’s Current Report on Form 8-K, filed with</w:t>
              </w:r>
            </w:hyperlink>
          </w:p>
        </w:tc>
      </w:tr>
      <w:tr>
        <w:trPr>
          <w:trHeight w:val="223"/>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gridSpan w:val="18"/>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the SEC on September 30, 2020).</w:t>
              </w:r>
            </w:hyperlink>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(d)(vi)</w:t>
            </w:r>
          </w:p>
        </w:tc>
        <w:tc>
          <w:tcPr>
            <w:tcW w:w="20" w:type="dxa"/>
            <w:vAlign w:val="bottom"/>
          </w:tcPr>
          <w:p>
            <w:pPr>
              <w:spacing w:after="0"/>
              <w:rPr>
                <w:sz w:val="24"/>
                <w:szCs w:val="24"/>
                <w:color w:val="auto"/>
              </w:rPr>
            </w:pPr>
          </w:p>
        </w:tc>
        <w:tc>
          <w:tcPr>
            <w:tcW w:w="95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Amendment to Warrant Agreement, dated November 10, 2021, by and among Perella Weinberg Partners, Continental Stock</w:t>
              </w:r>
            </w:hyperlink>
          </w:p>
        </w:tc>
      </w:tr>
      <w:tr>
        <w:trPr>
          <w:trHeight w:val="210"/>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Transfer &amp; Trust Company and American Stock Transfer &amp; Trust Company, LLC (incorporated by reference to Exhibit 4.3 to the</w:t>
              </w:r>
            </w:hyperlink>
          </w:p>
        </w:tc>
        <w:tc>
          <w:tcPr>
            <w:tcW w:w="20" w:type="dxa"/>
            <w:vAlign w:val="bottom"/>
          </w:tcPr>
          <w:p>
            <w:pPr>
              <w:spacing w:after="0"/>
              <w:rPr>
                <w:sz w:val="18"/>
                <w:szCs w:val="18"/>
                <w:color w:val="auto"/>
              </w:rPr>
            </w:pPr>
          </w:p>
        </w:tc>
      </w:tr>
      <w:tr>
        <w:trPr>
          <w:trHeight w:val="223"/>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Company's Registration Statement on Form S-1 (File No. 333-261785) filed with the SEC on December 21, 2021.</w:t>
              </w:r>
            </w:hyperlink>
          </w:p>
        </w:tc>
        <w:tc>
          <w:tcPr>
            <w:tcW w:w="1340" w:type="dxa"/>
            <w:vAlign w:val="bottom"/>
            <w:gridSpan w:val="4"/>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(d)(vii)</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Form of Subscription Agreement (incorporated by reference to Exhibit 10.1 to FinTech Acquisition Corp. IV’s Current Report on</w:t>
              </w:r>
            </w:hyperlink>
          </w:p>
        </w:tc>
      </w:tr>
      <w:tr>
        <w:trPr>
          <w:trHeight w:val="223"/>
        </w:trPr>
        <w:tc>
          <w:tcPr>
            <w:tcW w:w="1660" w:type="dxa"/>
            <w:vAlign w:val="bottom"/>
          </w:tcPr>
          <w:p>
            <w:pPr>
              <w:spacing w:after="0"/>
              <w:rPr>
                <w:sz w:val="19"/>
                <w:szCs w:val="19"/>
                <w:color w:val="auto"/>
              </w:rPr>
            </w:pPr>
          </w:p>
        </w:tc>
        <w:tc>
          <w:tcPr>
            <w:tcW w:w="9540" w:type="dxa"/>
            <w:vAlign w:val="bottom"/>
            <w:gridSpan w:val="13"/>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Form 8-K/A, filed with the SEC on December 31, 2020).</w:t>
              </w:r>
            </w:hyperlink>
          </w:p>
        </w:tc>
      </w:tr>
      <w:tr>
        <w:trPr>
          <w:trHeight w:val="20"/>
        </w:trPr>
        <w:tc>
          <w:tcPr>
            <w:tcW w:w="16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(d)(viii)</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Amended and Restated Registration Rights Agreement, dated June 24, 2021, by and among the Company, FinTech Investor</w:t>
              </w:r>
            </w:hyperlink>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Holdings IV, LLC, FinTech Masala Advisors, LLC and the other Holders party thereto (incorporated by reference to Exhibit 10.1 to</w:t>
              </w:r>
            </w:hyperlink>
          </w:p>
        </w:tc>
      </w:tr>
      <w:tr>
        <w:trPr>
          <w:trHeight w:val="209"/>
        </w:trPr>
        <w:tc>
          <w:tcPr>
            <w:tcW w:w="1660" w:type="dxa"/>
            <w:vAlign w:val="bottom"/>
          </w:tcPr>
          <w:p>
            <w:pPr>
              <w:spacing w:after="0"/>
              <w:rPr>
                <w:sz w:val="18"/>
                <w:szCs w:val="18"/>
                <w:color w:val="auto"/>
              </w:rPr>
            </w:pPr>
          </w:p>
        </w:tc>
        <w:tc>
          <w:tcPr>
            <w:tcW w:w="60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the Company’s Current Report on Form 8-K, filed with the SEC on June 30, 2021).</w:t>
              </w:r>
            </w:hyperlink>
          </w:p>
        </w:tc>
        <w:tc>
          <w:tcPr>
            <w:tcW w:w="3540" w:type="dxa"/>
            <w:vAlign w:val="bottom"/>
            <w:gridSpan w:val="6"/>
          </w:tcPr>
          <w:p>
            <w:pPr>
              <w:spacing w:after="0"/>
              <w:rPr>
                <w:sz w:val="18"/>
                <w:szCs w:val="18"/>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(d)(ix)</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Stockholders Agreement, dated June 24, 2021, by and between the Company and PWP Professional Partners LP (incorporated by</w:t>
              </w:r>
            </w:hyperlink>
          </w:p>
        </w:tc>
      </w:tr>
      <w:tr>
        <w:trPr>
          <w:trHeight w:val="223"/>
        </w:trPr>
        <w:tc>
          <w:tcPr>
            <w:tcW w:w="1660" w:type="dxa"/>
            <w:vAlign w:val="bottom"/>
          </w:tcPr>
          <w:p>
            <w:pPr>
              <w:spacing w:after="0"/>
              <w:rPr>
                <w:sz w:val="19"/>
                <w:szCs w:val="19"/>
                <w:color w:val="auto"/>
              </w:rPr>
            </w:pPr>
          </w:p>
        </w:tc>
        <w:tc>
          <w:tcPr>
            <w:tcW w:w="80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reference to Exhibit 10.3 to the Company’s Current Report on Form 8-K, filed with the SEC on June 30, 2021).</w:t>
              </w:r>
            </w:hyperlink>
          </w:p>
        </w:tc>
        <w:tc>
          <w:tcPr>
            <w:tcW w:w="1520" w:type="dxa"/>
            <w:vAlign w:val="bottom"/>
            <w:gridSpan w:val="3"/>
          </w:tcPr>
          <w:p>
            <w:pPr>
              <w:spacing w:after="0"/>
              <w:rPr>
                <w:sz w:val="19"/>
                <w:szCs w:val="19"/>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Tax Receivable Agreement, dated June 24, 2021, by and between the Company, PWP Holdings LP, PWP Professional Partners LP</w:t>
              </w:r>
            </w:hyperlink>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and certain partners party thereto (incorporated by reference to Exhibit 10.2 to the Company’s Current Report on Form 8-K, filed</w:t>
              </w:r>
            </w:hyperlink>
          </w:p>
        </w:tc>
      </w:tr>
      <w:tr>
        <w:trPr>
          <w:trHeight w:val="209"/>
        </w:trPr>
        <w:tc>
          <w:tcPr>
            <w:tcW w:w="1660" w:type="dxa"/>
            <w:vAlign w:val="bottom"/>
          </w:tcPr>
          <w:p>
            <w:pPr>
              <w:spacing w:after="0"/>
              <w:rPr>
                <w:sz w:val="18"/>
                <w:szCs w:val="18"/>
                <w:color w:val="auto"/>
              </w:rPr>
            </w:pPr>
          </w:p>
        </w:tc>
        <w:tc>
          <w:tcPr>
            <w:tcW w:w="23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with the SEC on June 30, 2021).</w:t>
              </w:r>
            </w:hyperlink>
          </w:p>
        </w:tc>
        <w:tc>
          <w:tcPr>
            <w:tcW w:w="7200" w:type="dxa"/>
            <w:vAlign w:val="bottom"/>
            <w:gridSpan w:val="10"/>
          </w:tcPr>
          <w:p>
            <w:pPr>
              <w:spacing w:after="0"/>
              <w:rPr>
                <w:sz w:val="18"/>
                <w:szCs w:val="18"/>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(d)(xi)</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Sponsor Share Surrender and Share Restriction Agreement, dated as of December 29, 2020, by and among PWP Holdings LP,</w:t>
              </w:r>
            </w:hyperlink>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FinTech Acquisition Corp. IV, FinTech Investor Holdings IV, LLC, FinTech Masala Advisors, LLC and the other parties thereto</w:t>
              </w:r>
            </w:hyperlink>
          </w:p>
        </w:tc>
      </w:tr>
      <w:tr>
        <w:trPr>
          <w:trHeight w:val="209"/>
        </w:trPr>
        <w:tc>
          <w:tcPr>
            <w:tcW w:w="1660" w:type="dxa"/>
            <w:vAlign w:val="bottom"/>
          </w:tcPr>
          <w:p>
            <w:pPr>
              <w:spacing w:after="0"/>
              <w:rPr>
                <w:sz w:val="18"/>
                <w:szCs w:val="18"/>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(incorporated by reference to Exhibit 10.5 to FinTech Acquisition Corp. IV’s Current Report on Form 8-K/A, filed with the SEC on</w:t>
              </w:r>
            </w:hyperlink>
          </w:p>
        </w:tc>
      </w:tr>
      <w:tr>
        <w:trPr>
          <w:trHeight w:val="223"/>
        </w:trPr>
        <w:tc>
          <w:tcPr>
            <w:tcW w:w="1660" w:type="dxa"/>
            <w:vAlign w:val="bottom"/>
          </w:tcPr>
          <w:p>
            <w:pPr>
              <w:spacing w:after="0"/>
              <w:rPr>
                <w:sz w:val="19"/>
                <w:szCs w:val="19"/>
                <w:color w:val="auto"/>
              </w:rPr>
            </w:pPr>
          </w:p>
        </w:tc>
        <w:tc>
          <w:tcPr>
            <w:tcW w:w="15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34">
              <w:r>
                <w:rPr>
                  <w:rFonts w:ascii="Times New Roman" w:cs="Times New Roman" w:eastAsia="Times New Roman" w:hAnsi="Times New Roman"/>
                  <w:sz w:val="18"/>
                  <w:szCs w:val="18"/>
                  <w:color w:val="0000FF"/>
                  <w:w w:val="98"/>
                </w:rPr>
                <w:t>December 31, 2020).</w:t>
              </w:r>
            </w:hyperlink>
          </w:p>
        </w:tc>
        <w:tc>
          <w:tcPr>
            <w:tcW w:w="8020" w:type="dxa"/>
            <w:vAlign w:val="bottom"/>
            <w:gridSpan w:val="11"/>
          </w:tcPr>
          <w:p>
            <w:pPr>
              <w:spacing w:after="0"/>
              <w:rPr>
                <w:sz w:val="19"/>
                <w:szCs w:val="19"/>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(d)(xii)</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Amendment to Sponsor Share Surrender and Share Restriction Agreement, dated as of May 4, 2021, by and among PWP Holdings</w:t>
              </w:r>
            </w:hyperlink>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LP, FinTech Acquisition Corp. IV, FinTech Investor Holdings IV, LLC, FinTech Masala Advisors, LLC and the other parties thereto</w:t>
              </w:r>
            </w:hyperlink>
          </w:p>
        </w:tc>
      </w:tr>
      <w:tr>
        <w:trPr>
          <w:trHeight w:val="209"/>
        </w:trPr>
        <w:tc>
          <w:tcPr>
            <w:tcW w:w="1660" w:type="dxa"/>
            <w:vAlign w:val="bottom"/>
          </w:tcPr>
          <w:p>
            <w:pPr>
              <w:spacing w:after="0"/>
              <w:rPr>
                <w:sz w:val="18"/>
                <w:szCs w:val="18"/>
                <w:color w:val="auto"/>
              </w:rPr>
            </w:pPr>
          </w:p>
        </w:tc>
        <w:tc>
          <w:tcPr>
            <w:tcW w:w="9540" w:type="dxa"/>
            <w:vAlign w:val="bottom"/>
            <w:gridSpan w:val="13"/>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(incorporated by reference to FinTech Acquisition Corp. IV’s definitive proxy statement, filed with the SEC on May 27, 2021).</w:t>
              </w:r>
            </w:hyperlink>
          </w:p>
        </w:tc>
      </w:tr>
      <w:tr>
        <w:trPr>
          <w:trHeight w:val="20"/>
        </w:trPr>
        <w:tc>
          <w:tcPr>
            <w:tcW w:w="16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(d)(xiii)</w:t>
            </w:r>
          </w:p>
        </w:tc>
        <w:tc>
          <w:tcPr>
            <w:tcW w:w="9540" w:type="dxa"/>
            <w:vAlign w:val="bottom"/>
            <w:gridSpan w:val="13"/>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Amended and Restated Agreement of Limited Partnership of PWP Holdings LP, dated as of June 24, 2021, by and among PWP GP</w:t>
              </w:r>
            </w:hyperlink>
          </w:p>
        </w:tc>
      </w:tr>
      <w:tr>
        <w:trPr>
          <w:trHeight w:val="20"/>
        </w:trPr>
        <w:tc>
          <w:tcPr>
            <w:tcW w:w="16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LLC, the Company, PWP Professional Partners LP, and the other limited partners party thereto (incorporated by reference to Exhibit</w:t>
              </w:r>
            </w:hyperlink>
          </w:p>
        </w:tc>
      </w:tr>
      <w:tr>
        <w:trPr>
          <w:trHeight w:val="209"/>
        </w:trPr>
        <w:tc>
          <w:tcPr>
            <w:tcW w:w="1660" w:type="dxa"/>
            <w:vAlign w:val="bottom"/>
          </w:tcPr>
          <w:p>
            <w:pPr>
              <w:spacing w:after="0"/>
              <w:rPr>
                <w:sz w:val="18"/>
                <w:szCs w:val="18"/>
                <w:color w:val="auto"/>
              </w:rPr>
            </w:pPr>
          </w:p>
        </w:tc>
        <w:tc>
          <w:tcPr>
            <w:tcW w:w="65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Company’s Current Report on Form 8-K, filed with the SEC on June 30, 2021).</w:t>
              </w:r>
            </w:hyperlink>
          </w:p>
        </w:tc>
        <w:tc>
          <w:tcPr>
            <w:tcW w:w="3000" w:type="dxa"/>
            <w:vAlign w:val="bottom"/>
            <w:gridSpan w:val="5"/>
          </w:tcPr>
          <w:p>
            <w:pPr>
              <w:spacing w:after="0"/>
              <w:rPr>
                <w:sz w:val="18"/>
                <w:szCs w:val="18"/>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(d)(xiv)</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Amended and Restated Limited Liability Company Agreement of PWP GP LLC, dated June 24, 2021 (incorporated by reference to</w:t>
              </w:r>
            </w:hyperlink>
          </w:p>
        </w:tc>
      </w:tr>
      <w:tr>
        <w:trPr>
          <w:trHeight w:val="223"/>
        </w:trPr>
        <w:tc>
          <w:tcPr>
            <w:tcW w:w="1660" w:type="dxa"/>
            <w:vAlign w:val="bottom"/>
          </w:tcPr>
          <w:p>
            <w:pPr>
              <w:spacing w:after="0"/>
              <w:rPr>
                <w:sz w:val="19"/>
                <w:szCs w:val="19"/>
                <w:color w:val="auto"/>
              </w:rPr>
            </w:pPr>
          </w:p>
        </w:tc>
        <w:tc>
          <w:tcPr>
            <w:tcW w:w="71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Exhibit 10.5 to the Company’s Current Report on Form 8-K, filed with the SEC on June 30, 2021).</w:t>
              </w:r>
            </w:hyperlink>
          </w:p>
        </w:tc>
        <w:tc>
          <w:tcPr>
            <w:tcW w:w="2420" w:type="dxa"/>
            <w:vAlign w:val="bottom"/>
            <w:gridSpan w:val="4"/>
          </w:tcPr>
          <w:p>
            <w:pPr>
              <w:spacing w:after="0"/>
              <w:rPr>
                <w:sz w:val="19"/>
                <w:szCs w:val="19"/>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(d)(xv)</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Perella Weinberg Partners 2021 Omnibus Incentive Plan (incorporated by reference to Exhibit 10.6 to the Company’s Current</w:t>
              </w:r>
            </w:hyperlink>
          </w:p>
        </w:tc>
      </w:tr>
      <w:tr>
        <w:trPr>
          <w:trHeight w:val="223"/>
        </w:trPr>
        <w:tc>
          <w:tcPr>
            <w:tcW w:w="1660" w:type="dxa"/>
            <w:vAlign w:val="bottom"/>
          </w:tcPr>
          <w:p>
            <w:pPr>
              <w:spacing w:after="0"/>
              <w:rPr>
                <w:sz w:val="19"/>
                <w:szCs w:val="19"/>
                <w:color w:val="auto"/>
              </w:rPr>
            </w:pPr>
          </w:p>
        </w:tc>
        <w:tc>
          <w:tcPr>
            <w:tcW w:w="42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Report on Form 8-K, filed with the SEC on June 30, 2021).</w:t>
              </w:r>
            </w:hyperlink>
          </w:p>
        </w:tc>
        <w:tc>
          <w:tcPr>
            <w:tcW w:w="5260" w:type="dxa"/>
            <w:vAlign w:val="bottom"/>
            <w:gridSpan w:val="7"/>
          </w:tcPr>
          <w:p>
            <w:pPr>
              <w:spacing w:after="0"/>
              <w:rPr>
                <w:sz w:val="19"/>
                <w:szCs w:val="19"/>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(d)(xvi)</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French Sub-Plan Under the Perella Weinberg Partners 2021 Omnibus Equity Incentive Plan (incorporated by reference to Exhibit</w:t>
              </w:r>
            </w:hyperlink>
          </w:p>
        </w:tc>
      </w:tr>
      <w:tr>
        <w:trPr>
          <w:trHeight w:val="223"/>
        </w:trPr>
        <w:tc>
          <w:tcPr>
            <w:tcW w:w="1660" w:type="dxa"/>
            <w:vAlign w:val="bottom"/>
          </w:tcPr>
          <w:p>
            <w:pPr>
              <w:spacing w:after="0"/>
              <w:rPr>
                <w:sz w:val="19"/>
                <w:szCs w:val="19"/>
                <w:color w:val="auto"/>
              </w:rPr>
            </w:pPr>
          </w:p>
        </w:tc>
        <w:tc>
          <w:tcPr>
            <w:tcW w:w="65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w:t>
              </w:r>
              <w:r>
                <w:rPr>
                  <w:rFonts w:ascii="Times New Roman" w:cs="Times New Roman" w:eastAsia="Times New Roman" w:hAnsi="Times New Roman"/>
                  <w:sz w:val="18"/>
                  <w:szCs w:val="18"/>
                  <w:color w:val="0000FF"/>
                  <w:w w:val="99"/>
                </w:rPr>
                <w:t xml:space="preserve"> to the Company’s Current Report on Form 8-K, filed with the SEC on June 30, 2021).</w:t>
              </w:r>
            </w:hyperlink>
          </w:p>
        </w:tc>
        <w:tc>
          <w:tcPr>
            <w:tcW w:w="3000" w:type="dxa"/>
            <w:vAlign w:val="bottom"/>
            <w:gridSpan w:val="5"/>
          </w:tcPr>
          <w:p>
            <w:pPr>
              <w:spacing w:after="0"/>
              <w:rPr>
                <w:sz w:val="19"/>
                <w:szCs w:val="19"/>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(d)(xvii)</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Form of Indemnification Agreement (incorporated by reference to Exhibit 10.8 to the Company’s Current Report on Form 8-K, filed</w:t>
              </w:r>
            </w:hyperlink>
          </w:p>
        </w:tc>
      </w:tr>
      <w:tr>
        <w:trPr>
          <w:trHeight w:val="223"/>
        </w:trPr>
        <w:tc>
          <w:tcPr>
            <w:tcW w:w="1660" w:type="dxa"/>
            <w:vAlign w:val="bottom"/>
          </w:tcPr>
          <w:p>
            <w:pPr>
              <w:spacing w:after="0"/>
              <w:rPr>
                <w:sz w:val="19"/>
                <w:szCs w:val="19"/>
                <w:color w:val="auto"/>
              </w:rPr>
            </w:pPr>
          </w:p>
        </w:tc>
        <w:tc>
          <w:tcPr>
            <w:tcW w:w="23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with the SEC on June 30, 2021).</w:t>
              </w:r>
            </w:hyperlink>
          </w:p>
        </w:tc>
        <w:tc>
          <w:tcPr>
            <w:tcW w:w="7200" w:type="dxa"/>
            <w:vAlign w:val="bottom"/>
            <w:gridSpan w:val="10"/>
          </w:tcPr>
          <w:p>
            <w:pPr>
              <w:spacing w:after="0"/>
              <w:rPr>
                <w:sz w:val="19"/>
                <w:szCs w:val="19"/>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(d)(xviii)</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Letter Agreement, dated September 24, 2020, by and among FinTech Acquisition Corp. IV and certain of its security holders,</w:t>
              </w:r>
            </w:hyperlink>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officers and directors (incorporated by reference to Exhibit 10.1 to FinTech Acquisition Corp. IV’s Current Report on Form 8-K,</w:t>
              </w:r>
            </w:hyperlink>
          </w:p>
        </w:tc>
      </w:tr>
      <w:tr>
        <w:trPr>
          <w:trHeight w:val="210"/>
        </w:trPr>
        <w:tc>
          <w:tcPr>
            <w:tcW w:w="1660" w:type="dxa"/>
            <w:vAlign w:val="bottom"/>
          </w:tcPr>
          <w:p>
            <w:pPr>
              <w:spacing w:after="0"/>
              <w:rPr>
                <w:sz w:val="18"/>
                <w:szCs w:val="18"/>
                <w:color w:val="auto"/>
              </w:rPr>
            </w:pPr>
          </w:p>
        </w:tc>
        <w:tc>
          <w:tcPr>
            <w:tcW w:w="9540" w:type="dxa"/>
            <w:vAlign w:val="bottom"/>
            <w:gridSpan w:val="13"/>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filed with the SEC on September 30, 2020).</w:t>
              </w:r>
            </w:hyperlink>
          </w:p>
        </w:tc>
      </w:tr>
      <w:tr>
        <w:trPr>
          <w:trHeight w:val="20"/>
        </w:trPr>
        <w:tc>
          <w:tcPr>
            <w:tcW w:w="16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(d)(xiv)</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Employment Agreement, dated as of August 11, 2021, by and between Perella Weinberg Partners, PWP Employer LP and Peter A.</w:t>
              </w:r>
            </w:hyperlink>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Weinberg (incorporated by reference to Exhibit 10.1 of the Company's Quarterly Report on Form 10-Q filed with the SEC on</w:t>
              </w:r>
            </w:hyperlink>
          </w:p>
        </w:tc>
      </w:tr>
      <w:tr>
        <w:trPr>
          <w:trHeight w:val="210"/>
        </w:trPr>
        <w:tc>
          <w:tcPr>
            <w:tcW w:w="1660" w:type="dxa"/>
            <w:vAlign w:val="bottom"/>
          </w:tcPr>
          <w:p>
            <w:pPr>
              <w:spacing w:after="0"/>
              <w:rPr>
                <w:sz w:val="18"/>
                <w:szCs w:val="18"/>
                <w:color w:val="auto"/>
              </w:rPr>
            </w:pPr>
          </w:p>
        </w:tc>
        <w:tc>
          <w:tcPr>
            <w:tcW w:w="9540" w:type="dxa"/>
            <w:vAlign w:val="bottom"/>
            <w:gridSpan w:val="13"/>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November 5, 2021).</w:t>
              </w:r>
            </w:hyperlink>
          </w:p>
        </w:tc>
      </w:tr>
      <w:tr>
        <w:trPr>
          <w:trHeight w:val="20"/>
        </w:trPr>
        <w:tc>
          <w:tcPr>
            <w:tcW w:w="16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(d)(xv)</w:t>
            </w: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Employment Agreement, dated as of August 11, 2021, by and between Perella Weinberg Partners, PWP Employer LP and Andrew</w:t>
              </w:r>
            </w:hyperlink>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Bednar (incorporated by reference to Exhibit 10.2 of the Company's Quarterly Report on Form 10-Q filed with the SEC on</w:t>
              </w:r>
            </w:hyperlink>
          </w:p>
        </w:tc>
      </w:tr>
      <w:tr>
        <w:trPr>
          <w:trHeight w:val="209"/>
        </w:trPr>
        <w:tc>
          <w:tcPr>
            <w:tcW w:w="1660" w:type="dxa"/>
            <w:vAlign w:val="bottom"/>
          </w:tcPr>
          <w:p>
            <w:pPr>
              <w:spacing w:after="0"/>
              <w:rPr>
                <w:sz w:val="18"/>
                <w:szCs w:val="18"/>
                <w:color w:val="auto"/>
              </w:rPr>
            </w:pPr>
          </w:p>
        </w:tc>
        <w:tc>
          <w:tcPr>
            <w:tcW w:w="9540" w:type="dxa"/>
            <w:vAlign w:val="bottom"/>
            <w:gridSpan w:val="13"/>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November 5, 2021).</w:t>
              </w:r>
            </w:hyperlink>
          </w:p>
        </w:tc>
      </w:tr>
      <w:tr>
        <w:trPr>
          <w:trHeight w:val="20"/>
        </w:trPr>
        <w:tc>
          <w:tcPr>
            <w:tcW w:w="16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40" w:top="1440" w:right="359" w:bottom="1440" w:gutter="0" w:footer="0" w:header="0"/>
        </w:sectPr>
      </w:pPr>
    </w:p>
    <w:bookmarkStart w:id="4" w:name="page5"/>
    <w:bookmarkEnd w:id="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(d)(xvi)</w:t>
            </w:r>
          </w:p>
        </w:tc>
        <w:tc>
          <w:tcPr>
            <w:tcW w:w="9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Employment Agreement, dated as of August 11, 2021, by and between Perella Weinberg Partners, PWP Employer LP and Dietrich</w:t>
              </w:r>
            </w:hyperlink>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Becker (incorporated by reference to Exhibit 10.3 of the Company's Quarterly Report on Form 10-Q filed with the SEC on</w:t>
              </w:r>
            </w:hyperlink>
          </w:p>
        </w:tc>
      </w:tr>
      <w:tr>
        <w:trPr>
          <w:trHeight w:val="209"/>
        </w:trPr>
        <w:tc>
          <w:tcPr>
            <w:tcW w:w="1660" w:type="dxa"/>
            <w:vAlign w:val="bottom"/>
          </w:tcPr>
          <w:p>
            <w:pPr>
              <w:spacing w:after="0"/>
              <w:rPr>
                <w:sz w:val="18"/>
                <w:szCs w:val="18"/>
                <w:color w:val="auto"/>
              </w:rPr>
            </w:pPr>
          </w:p>
        </w:tc>
        <w:tc>
          <w:tcPr>
            <w:tcW w:w="9540" w:type="dxa"/>
            <w:vAlign w:val="bottom"/>
            <w:gridSpan w:val="9"/>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November 5, 2021).</w:t>
              </w:r>
            </w:hyperlink>
          </w:p>
        </w:tc>
      </w:tr>
      <w:tr>
        <w:trPr>
          <w:trHeight w:val="20"/>
        </w:trPr>
        <w:tc>
          <w:tcPr>
            <w:tcW w:w="16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(d)(xvii)</w:t>
            </w:r>
          </w:p>
        </w:tc>
        <w:tc>
          <w:tcPr>
            <w:tcW w:w="9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Form of Director Restricted Stock Unit Award Agreement (One-Time Award) (incorporated by reference to Exhibit 10.4 of the</w:t>
              </w:r>
            </w:hyperlink>
          </w:p>
        </w:tc>
      </w:tr>
      <w:tr>
        <w:trPr>
          <w:trHeight w:val="223"/>
        </w:trPr>
        <w:tc>
          <w:tcPr>
            <w:tcW w:w="1660" w:type="dxa"/>
            <w:vAlign w:val="bottom"/>
          </w:tcPr>
          <w:p>
            <w:pPr>
              <w:spacing w:after="0"/>
              <w:rPr>
                <w:sz w:val="19"/>
                <w:szCs w:val="19"/>
                <w:color w:val="auto"/>
              </w:rPr>
            </w:pPr>
          </w:p>
        </w:tc>
        <w:tc>
          <w:tcPr>
            <w:tcW w:w="62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Company's Quarterly Report on Form 10-Q filed with the SEC on November 5, 2021).</w:t>
              </w:r>
            </w:hyperlink>
          </w:p>
        </w:tc>
        <w:tc>
          <w:tcPr>
            <w:tcW w:w="3300" w:type="dxa"/>
            <w:vAlign w:val="bottom"/>
            <w:gridSpan w:val="2"/>
          </w:tcPr>
          <w:p>
            <w:pPr>
              <w:spacing w:after="0"/>
              <w:rPr>
                <w:sz w:val="19"/>
                <w:szCs w:val="19"/>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(d)(xviii)</w:t>
            </w:r>
          </w:p>
        </w:tc>
        <w:tc>
          <w:tcPr>
            <w:tcW w:w="9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Form of Director Restricted Stock Unit Award Agreement (Annual Base Retainer Award) (incorporated by reference to Exhibit 10.5</w:t>
              </w:r>
            </w:hyperlink>
          </w:p>
        </w:tc>
      </w:tr>
      <w:tr>
        <w:trPr>
          <w:trHeight w:val="223"/>
        </w:trPr>
        <w:tc>
          <w:tcPr>
            <w:tcW w:w="1660" w:type="dxa"/>
            <w:vAlign w:val="bottom"/>
          </w:tcPr>
          <w:p>
            <w:pPr>
              <w:spacing w:after="0"/>
              <w:rPr>
                <w:sz w:val="19"/>
                <w:szCs w:val="19"/>
                <w:color w:val="auto"/>
              </w:rPr>
            </w:pPr>
          </w:p>
        </w:tc>
        <w:tc>
          <w:tcPr>
            <w:tcW w:w="67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of the Company's Quarterly Report on Form 10-Q filed with the SEC on November 5, 2021).</w:t>
              </w:r>
            </w:hyperlink>
          </w:p>
        </w:tc>
        <w:tc>
          <w:tcPr>
            <w:tcW w:w="2840" w:type="dxa"/>
            <w:vAlign w:val="bottom"/>
          </w:tcPr>
          <w:p>
            <w:pPr>
              <w:spacing w:after="0"/>
              <w:rPr>
                <w:sz w:val="19"/>
                <w:szCs w:val="19"/>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(d)(xix)</w:t>
            </w:r>
          </w:p>
        </w:tc>
        <w:tc>
          <w:tcPr>
            <w:tcW w:w="9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Form of Dealer Manager Agreement (incorporated by reference to exhibit 10.18 to the Registration Statement on Form S-4 filed by</w:t>
              </w:r>
            </w:hyperlink>
          </w:p>
        </w:tc>
      </w:tr>
      <w:tr>
        <w:trPr>
          <w:trHeight w:val="223"/>
        </w:trPr>
        <w:tc>
          <w:tcPr>
            <w:tcW w:w="1660" w:type="dxa"/>
            <w:vAlign w:val="bottom"/>
          </w:tcPr>
          <w:p>
            <w:pPr>
              <w:spacing w:after="0"/>
              <w:rPr>
                <w:sz w:val="19"/>
                <w:szCs w:val="19"/>
                <w:color w:val="auto"/>
              </w:rPr>
            </w:pPr>
          </w:p>
        </w:tc>
        <w:tc>
          <w:tcPr>
            <w:tcW w:w="33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the Company with the SEC on July 22, 2022).</w:t>
              </w:r>
            </w:hyperlink>
          </w:p>
        </w:tc>
        <w:tc>
          <w:tcPr>
            <w:tcW w:w="6220" w:type="dxa"/>
            <w:vAlign w:val="bottom"/>
            <w:gridSpan w:val="6"/>
          </w:tcPr>
          <w:p>
            <w:pPr>
              <w:spacing w:after="0"/>
              <w:rPr>
                <w:sz w:val="19"/>
                <w:szCs w:val="19"/>
                <w:color w:val="auto"/>
              </w:rPr>
            </w:pPr>
          </w:p>
        </w:tc>
      </w:tr>
      <w:tr>
        <w:trPr>
          <w:trHeight w:val="27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(d)(xx)</w:t>
            </w:r>
          </w:p>
        </w:tc>
        <w:tc>
          <w:tcPr>
            <w:tcW w:w="9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Tender and Support Agreement, dated as of July 21, 2022, by and between the Company and each of the persons listed on Schedule</w:t>
              </w:r>
            </w:hyperlink>
          </w:p>
        </w:tc>
      </w:tr>
      <w:tr>
        <w:trPr>
          <w:trHeight w:val="223"/>
        </w:trPr>
        <w:tc>
          <w:tcPr>
            <w:tcW w:w="1660" w:type="dxa"/>
            <w:vAlign w:val="bottom"/>
          </w:tcPr>
          <w:p>
            <w:pPr>
              <w:spacing w:after="0"/>
              <w:rPr>
                <w:sz w:val="19"/>
                <w:szCs w:val="19"/>
                <w:color w:val="auto"/>
              </w:rPr>
            </w:pPr>
          </w:p>
        </w:tc>
        <w:tc>
          <w:tcPr>
            <w:tcW w:w="9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 thereto (incorporated by reference to exhibit 10.19 to the Registration Statement on Form S-4 filed by the Company with the SEC</w:t>
              </w:r>
            </w:hyperlink>
          </w:p>
        </w:tc>
      </w:tr>
      <w:tr>
        <w:trPr>
          <w:trHeight w:val="209"/>
        </w:trPr>
        <w:tc>
          <w:tcPr>
            <w:tcW w:w="1660" w:type="dxa"/>
            <w:vAlign w:val="bottom"/>
          </w:tcPr>
          <w:p>
            <w:pPr>
              <w:spacing w:after="0"/>
              <w:rPr>
                <w:sz w:val="18"/>
                <w:szCs w:val="18"/>
                <w:color w:val="auto"/>
              </w:rPr>
            </w:pPr>
          </w:p>
        </w:tc>
        <w:tc>
          <w:tcPr>
            <w:tcW w:w="9540" w:type="dxa"/>
            <w:vAlign w:val="bottom"/>
            <w:gridSpan w:val="9"/>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on July 22, 2022)</w:t>
              </w:r>
              <w:r>
                <w:rPr>
                  <w:rFonts w:ascii="Times New Roman" w:cs="Times New Roman" w:eastAsia="Times New Roman" w:hAnsi="Times New Roman"/>
                  <w:sz w:val="18"/>
                  <w:szCs w:val="18"/>
                  <w:color w:val="000000"/>
                </w:rPr>
                <w:t>.</w:t>
              </w:r>
            </w:hyperlink>
          </w:p>
        </w:tc>
      </w:tr>
      <w:tr>
        <w:trPr>
          <w:trHeight w:val="31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1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8280" w:type="dxa"/>
            <w:vAlign w:val="bottom"/>
            <w:gridSpan w:val="8"/>
          </w:tcPr>
          <w:p>
            <w:pPr>
              <w:spacing w:after="0"/>
              <w:rPr>
                <w:sz w:val="24"/>
                <w:szCs w:val="24"/>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9540" w:type="dxa"/>
            <w:vAlign w:val="bottom"/>
            <w:gridSpan w:val="9"/>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Tax Opinion of Skadden, Arps, Slate, Meagher &amp; Flom LLP (incorporated by reference to Exhibit 8.1 to the Registration Statement</w:t>
              </w:r>
            </w:hyperlink>
          </w:p>
        </w:tc>
      </w:tr>
      <w:tr>
        <w:trPr>
          <w:trHeight w:val="20"/>
        </w:trPr>
        <w:tc>
          <w:tcPr>
            <w:tcW w:w="1660" w:type="dxa"/>
            <w:vAlign w:val="bottom"/>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r>
      <w:tr>
        <w:trPr>
          <w:trHeight w:val="223"/>
        </w:trPr>
        <w:tc>
          <w:tcPr>
            <w:tcW w:w="1660" w:type="dxa"/>
            <w:vAlign w:val="bottom"/>
          </w:tcPr>
          <w:p>
            <w:pPr>
              <w:spacing w:after="0"/>
              <w:rPr>
                <w:sz w:val="19"/>
                <w:szCs w:val="19"/>
                <w:color w:val="auto"/>
              </w:rPr>
            </w:pPr>
          </w:p>
        </w:tc>
        <w:tc>
          <w:tcPr>
            <w:tcW w:w="9540" w:type="dxa"/>
            <w:vAlign w:val="bottom"/>
            <w:gridSpan w:val="9"/>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on Form S-4 filed by the Company with the SEC on July 22, 2022)</w:t>
              </w:r>
              <w:r>
                <w:rPr>
                  <w:rFonts w:ascii="Times New Roman" w:cs="Times New Roman" w:eastAsia="Times New Roman" w:hAnsi="Times New Roman"/>
                  <w:sz w:val="18"/>
                  <w:szCs w:val="18"/>
                  <w:color w:val="000000"/>
                </w:rPr>
                <w:t>.</w:t>
              </w:r>
            </w:hyperlink>
          </w:p>
        </w:tc>
      </w:tr>
      <w:tr>
        <w:trPr>
          <w:trHeight w:val="20"/>
        </w:trPr>
        <w:tc>
          <w:tcPr>
            <w:tcW w:w="16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342" w:lineRule="exact"/>
        <w:rPr>
          <w:sz w:val="20"/>
          <w:szCs w:val="20"/>
          <w:color w:val="auto"/>
        </w:rPr>
      </w:pPr>
    </w:p>
    <w:p>
      <w:pPr>
        <w:ind w:left="720" w:hanging="408"/>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Filing Fee Exhibit</w:t>
      </w:r>
      <w:r>
        <w:rPr>
          <w:rFonts w:ascii="Times New Roman" w:cs="Times New Roman" w:eastAsia="Times New Roman" w:hAnsi="Times New Roman"/>
          <w:sz w:val="18"/>
          <w:szCs w:val="18"/>
          <w:b w:val="1"/>
          <w:bCs w:val="1"/>
          <w:color w:val="auto"/>
        </w:rPr>
        <w: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Filing Fee Table.*</w:t>
      </w:r>
    </w:p>
    <w:p>
      <w:pPr>
        <w:ind w:left="640"/>
        <w:spacing w:after="0" w:line="219" w:lineRule="auto"/>
        <w:rPr>
          <w:sz w:val="20"/>
          <w:szCs w:val="20"/>
          <w:color w:val="auto"/>
        </w:rPr>
      </w:pPr>
      <w:r>
        <w:rPr>
          <w:rFonts w:ascii="Times New Roman" w:cs="Times New Roman" w:eastAsia="Times New Roman" w:hAnsi="Times New Roman"/>
          <w:sz w:val="18"/>
          <w:szCs w:val="18"/>
          <w:color w:val="auto"/>
        </w:rPr>
        <w:t>___________________</w:t>
      </w:r>
    </w:p>
    <w:p>
      <w:pPr>
        <w:ind w:left="640"/>
        <w:spacing w:after="0"/>
        <w:rPr>
          <w:sz w:val="20"/>
          <w:szCs w:val="20"/>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40" w:top="1440" w:right="359" w:bottom="1440" w:gutter="0" w:footer="0" w:header="0"/>
        </w:sectPr>
      </w:pPr>
    </w:p>
    <w:bookmarkStart w:id="5" w:name="page6"/>
    <w:bookmarkEnd w:id="5"/>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3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360" w:lineRule="exact"/>
        <w:rPr>
          <w:sz w:val="20"/>
          <w:szCs w:val="20"/>
          <w:color w:val="auto"/>
        </w:rPr>
      </w:pPr>
    </w:p>
    <w:tbl>
      <w:tblPr>
        <w:tblLayout w:type="fixed"/>
        <w:tblInd w:w="63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Gary S. Barancik</w:t>
            </w:r>
          </w:p>
        </w:tc>
      </w:tr>
      <w:tr>
        <w:trPr>
          <w:trHeight w:val="41"/>
        </w:trPr>
        <w:tc>
          <w:tcPr>
            <w:tcW w:w="800" w:type="dxa"/>
            <w:vAlign w:val="bottom"/>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r>
      <w:tr>
        <w:trPr>
          <w:trHeight w:val="250"/>
        </w:trPr>
        <w:tc>
          <w:tcPr>
            <w:tcW w:w="80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S. Barancik</w:t>
            </w:r>
          </w:p>
        </w:tc>
      </w:tr>
      <w:tr>
        <w:trPr>
          <w:trHeight w:val="297"/>
        </w:trPr>
        <w:tc>
          <w:tcPr>
            <w:tcW w:w="800" w:type="dxa"/>
            <w:vAlign w:val="bottom"/>
          </w:tcPr>
          <w:p>
            <w:pPr>
              <w:spacing w:after="0"/>
              <w:rPr>
                <w:sz w:val="24"/>
                <w:szCs w:val="24"/>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19, 2022</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hyperlink" Target="https://www.sec.gov/Archives/edgar/data/0001777835/000162828022022908/pwp-424b3.htm" TargetMode="External"/><Relationship Id="rId17" Type="http://schemas.openxmlformats.org/officeDocument/2006/relationships/hyperlink" Target="https://www.sec.gov/Archives/edgar/data/1777835/000162828022019278/exhibit991-sx4.htm" TargetMode="External"/><Relationship Id="rId18" Type="http://schemas.openxmlformats.org/officeDocument/2006/relationships/hyperlink" Target="https://www.sec.gov/Archives/edgar/data/1777835/000162828022019278/exhibit992-sx4.htm" TargetMode="External"/><Relationship Id="rId19" Type="http://schemas.openxmlformats.org/officeDocument/2006/relationships/hyperlink" Target="https://www.sec.gov/Archives/edgar/data/1777835/000162828022019278/exhibit993-sx4.htm" TargetMode="External"/><Relationship Id="rId20" Type="http://schemas.openxmlformats.org/officeDocument/2006/relationships/hyperlink" Target="https://www.sec.gov/Archives/edgar/data/1777835/000162828022019278/exhibit994-sx4.htm" TargetMode="External"/><Relationship Id="rId21" Type="http://schemas.openxmlformats.org/officeDocument/2006/relationships/hyperlink" Target="https://www.sec.gov/Archives/edgar/data/0001777835/000162828022019279/exhibit991-8xk.htm" TargetMode="External"/><Relationship Id="rId22" Type="http://schemas.openxmlformats.org/officeDocument/2006/relationships/hyperlink" Target="https://www.sec.gov/ix?doc=/Archives/edgar/data/0001777835/000162828022022911/pwp-20220815.htm" TargetMode="External"/><Relationship Id="rId23" Type="http://schemas.openxmlformats.org/officeDocument/2006/relationships/hyperlink" Target="https://www.sec.gov/ix?doc=/Archives/edgar/data/0001777835/000162828022023310/pwp-20220819.htm" TargetMode="External"/><Relationship Id="rId24" Type="http://schemas.openxmlformats.org/officeDocument/2006/relationships/hyperlink" Target="https://www.sec.gov/Archives/edgar/data/1777835/000121390020045792/ea132500ex2-1_fintechacq4.htm" TargetMode="External"/><Relationship Id="rId25" Type="http://schemas.openxmlformats.org/officeDocument/2006/relationships/hyperlink" Target="https://www.sec.gov/Archives/edgar/data/1777835/000162828022000893/exhibit31-sx1a1.htm" TargetMode="External"/><Relationship Id="rId26" Type="http://schemas.openxmlformats.org/officeDocument/2006/relationships/hyperlink" Target="https://www.sec.gov/Archives/edgar/data/1777835/000119312521204696/d119701dex32.htm" TargetMode="External"/><Relationship Id="rId27" Type="http://schemas.openxmlformats.org/officeDocument/2006/relationships/hyperlink" Target="https://www.sec.gov/Archives/edgar/data/1777835/000119312521204696/d119701dex41.htm" TargetMode="External"/><Relationship Id="rId28" Type="http://schemas.openxmlformats.org/officeDocument/2006/relationships/hyperlink" Target="https://www.sec.gov/Archives/edgar/data/1777835/000121390020029071/ea127460ex4-1_fintechacq4.htm" TargetMode="External"/><Relationship Id="rId29" Type="http://schemas.openxmlformats.org/officeDocument/2006/relationships/hyperlink" Target="https://www.sec.gov/Archives/edgar/data/1777835/000162828021025439/exhibit43-sx1.htm" TargetMode="External"/><Relationship Id="rId30" Type="http://schemas.openxmlformats.org/officeDocument/2006/relationships/hyperlink" Target="https://www.sec.gov/Archives/edgar/data/1777835/000121390020045792/ea132500ex10-1_fintechacq4.htm" TargetMode="External"/><Relationship Id="rId31" Type="http://schemas.openxmlformats.org/officeDocument/2006/relationships/hyperlink" Target="https://www.sec.gov/Archives/edgar/data/1777835/000119312521204696/d119701dex101.htm" TargetMode="External"/><Relationship Id="rId32" Type="http://schemas.openxmlformats.org/officeDocument/2006/relationships/hyperlink" Target="https://www.sec.gov/Archives/edgar/data/1777835/000119312521204696/d119701dex103.htm" TargetMode="External"/><Relationship Id="rId33" Type="http://schemas.openxmlformats.org/officeDocument/2006/relationships/hyperlink" Target="https://www.sec.gov/Archives/edgar/data/1777835/000119312521204696/d119701dex102.htm" TargetMode="External"/><Relationship Id="rId34" Type="http://schemas.openxmlformats.org/officeDocument/2006/relationships/hyperlink" Target="https://www.sec.gov/Archives/edgar/data/1777835/000121390020045792/ea132500ex2-1_fintechacq4.htm#ex_008" TargetMode="External"/><Relationship Id="rId35" Type="http://schemas.openxmlformats.org/officeDocument/2006/relationships/hyperlink" Target="https://www.sec.gov/Archives/edgar/data/0001777835/000119312521175488/d101000ddefm14a.htm" TargetMode="External"/><Relationship Id="rId36" Type="http://schemas.openxmlformats.org/officeDocument/2006/relationships/hyperlink" Target="https://www.sec.gov/Archives/edgar/data/1777835/000119312521204696/d119701dex104.htm" TargetMode="External"/><Relationship Id="rId37" Type="http://schemas.openxmlformats.org/officeDocument/2006/relationships/hyperlink" Target="https://www.sec.gov/Archives/edgar/data/1777835/000119312521204696/d119701dex105.htm" TargetMode="External"/><Relationship Id="rId38" Type="http://schemas.openxmlformats.org/officeDocument/2006/relationships/hyperlink" Target="https://www.sec.gov/Archives/edgar/data/1777835/000119312521204696/d119701dex106.htm" TargetMode="External"/><Relationship Id="rId39" Type="http://schemas.openxmlformats.org/officeDocument/2006/relationships/hyperlink" Target="https://www.sec.gov/Archives/edgar/data/1777835/000119312521204696/d119701dex107.htm" TargetMode="External"/><Relationship Id="rId40" Type="http://schemas.openxmlformats.org/officeDocument/2006/relationships/hyperlink" Target="https://www.sec.gov/Archives/edgar/data/1777835/000119312521204696/d119701dex108.htm" TargetMode="External"/><Relationship Id="rId41" Type="http://schemas.openxmlformats.org/officeDocument/2006/relationships/hyperlink" Target="https://www.sec.gov/Archives/edgar/data/1777835/000121390020029071/ea127460ex10-1_fintechacq4.htm" TargetMode="External"/><Relationship Id="rId42" Type="http://schemas.openxmlformats.org/officeDocument/2006/relationships/hyperlink" Target="https://www.sec.gov/Archives/edgar/data/1777835/000095017021003237/pwp-ex10_1.htm" TargetMode="External"/><Relationship Id="rId43" Type="http://schemas.openxmlformats.org/officeDocument/2006/relationships/hyperlink" Target="https://www.sec.gov/Archives/edgar/data/1777835/000095017021003237/pwp-ex10_2.htm" TargetMode="External"/><Relationship Id="rId44" Type="http://schemas.openxmlformats.org/officeDocument/2006/relationships/hyperlink" Target="https://www.sec.gov/Archives/edgar/data/1777835/000095017021003237/pwp-ex10_3.htm" TargetMode="External"/><Relationship Id="rId45" Type="http://schemas.openxmlformats.org/officeDocument/2006/relationships/hyperlink" Target="https://www.sec.gov/Archives/edgar/data/1777835/000095017021003237/pwp-ex10_4.htm" TargetMode="External"/><Relationship Id="rId46" Type="http://schemas.openxmlformats.org/officeDocument/2006/relationships/hyperlink" Target="https://www.sec.gov/Archives/edgar/data/1777835/000095017021003237/pwp-ex10_5.htm" TargetMode="External"/><Relationship Id="rId47" Type="http://schemas.openxmlformats.org/officeDocument/2006/relationships/hyperlink" Target="https://www.sec.gov/Archives/edgar/data/1777835/000162828022019278/exhibit1018-sx4.htm" TargetMode="External"/><Relationship Id="rId48" Type="http://schemas.openxmlformats.org/officeDocument/2006/relationships/hyperlink" Target="https://www.sec.gov/Archives/edgar/data/1777835/000162828022019278/exhibit1019-sx4.htm" TargetMode="External"/><Relationship Id="rId49" Type="http://schemas.openxmlformats.org/officeDocument/2006/relationships/hyperlink" Target="https://www.sec.gov/Archives/edgar/data/1777835/000162828022019278/exhibit81-sx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2022-08-19T07:44:37Z</dcterms:created>
  <dcterms:modified xsi:type="dcterms:W3CDTF">2022-08-19T07:44:37Z</dcterms:modified>
</cp:coreProperties>
</file>