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46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6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Barancik Gary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PWP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1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Performance-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40"/>
        <w:spacing w:after="0" w:line="264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("PSU") represents a contingent right to receive one share of Class A common stock. PSUs vest based on the achievement of (i) service-based vesting conditions that are satisfied in five equal installments on the 36, 42, 48, 54 and 60 month anniversaries of the grant date and (ii) performance-based vesting conditions that are satisfied upon the achievement of closing stock price hurdles for 20 out of any 30 consecutive trading days equal to $12, $13.50, $15 and $17, in each case prior to the sixth anniversary of the grant date.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Mark Polemeni,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09/01/2021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1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-21590</wp:posOffset>
            </wp:positionV>
            <wp:extent cx="2978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794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8340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2021-09-01T15:27:44Z</dcterms:created>
  <dcterms:modified xsi:type="dcterms:W3CDTF">2021-09-01T15:27:44Z</dcterms:modified>
</cp:coreProperties>
</file>