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jc w:val="center"/>
        <w:ind w:right="736"/>
        <w:spacing w:after="0"/>
        <w:rPr>
          <w:sz w:val="20"/>
          <w:szCs w:val="20"/>
          <w:color w:val="auto"/>
        </w:rPr>
      </w:pPr>
      <w:r>
        <w:rPr>
          <w:rFonts w:ascii="Arial" w:cs="Arial" w:eastAsia="Arial" w:hAnsi="Arial"/>
          <w:sz w:val="14"/>
          <w:szCs w:val="14"/>
          <w:b w:val="1"/>
          <w:bCs w:val="1"/>
          <w:color w:val="auto"/>
        </w:rPr>
        <w:t>(State of</w:t>
      </w:r>
    </w:p>
    <w:p>
      <w:pPr>
        <w:jc w:val="center"/>
        <w:ind w:right="736"/>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44"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767 Fifth Avenue</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10153</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287-3200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PWP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PWPPW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12, 2021, Perella Weinberg Partners (the “Company”) issued a press release announcing its financial results for the fiscal quarter ended June 30, 2021.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0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98"/>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0" w:type="dxa"/>
            <w:vAlign w:val="bottom"/>
            <w:tcBorders>
              <w:top w:val="single" w:sz="8" w:color="auto"/>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Issued by the Company dated August 12, 2021</w:t>
              </w:r>
            </w:hyperlink>
          </w:p>
        </w:tc>
        <w:tc>
          <w:tcPr>
            <w:tcW w:w="5160" w:type="dxa"/>
            <w:vAlign w:val="bottom"/>
            <w:tcBorders>
              <w:top w:val="single" w:sz="8" w:color="auto"/>
            </w:tcBorders>
          </w:tcPr>
          <w:p>
            <w:pPr>
              <w:spacing w:after="0"/>
              <w:rPr>
                <w:sz w:val="23"/>
                <w:szCs w:val="23"/>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Arial" w:cs="Arial" w:eastAsia="Arial" w:hAnsi="Arial"/>
          <w:sz w:val="18"/>
          <w:szCs w:val="18"/>
          <w:color w:val="auto"/>
        </w:rPr>
        <w:t>By:</w:t>
        <w:tab/>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98552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Exhibit 99.1</w:t>
      </w: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Perella Weinberg Partners Reports Second Quarter 2021 Results</w:t>
      </w:r>
    </w:p>
    <w:p>
      <w:pPr>
        <w:spacing w:after="0" w:line="256" w:lineRule="exact"/>
        <w:rPr>
          <w:sz w:val="20"/>
          <w:szCs w:val="20"/>
          <w:color w:val="auto"/>
        </w:rPr>
      </w:pPr>
    </w:p>
    <w:p>
      <w:pPr>
        <w:ind w:left="964" w:right="20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Second Quarter 2021 Revenues of $255.5 Million, Up 123% from the Same Period of 2020; First Half 2021 Revenues of $425.3 Million, Up 105% from the Same Period of 2020</w:t>
      </w:r>
    </w:p>
    <w:p>
      <w:pPr>
        <w:spacing w:after="0" w:line="75" w:lineRule="exact"/>
        <w:rPr>
          <w:rFonts w:ascii="Arial" w:cs="Arial" w:eastAsia="Arial" w:hAnsi="Arial"/>
          <w:sz w:val="18"/>
          <w:szCs w:val="18"/>
          <w:color w:val="auto"/>
        </w:rPr>
      </w:pPr>
    </w:p>
    <w:p>
      <w:pPr>
        <w:ind w:left="964" w:right="24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GAAP Operating Income Margin of 19.4% for the Second Quarter 2021 and 18.2% for the First Half 2021; Adjusted Operating Income Margin of 24.5% for the Second Quarter 2021 and 23.2% for the First Half 2021</w:t>
      </w:r>
    </w:p>
    <w:p>
      <w:pPr>
        <w:spacing w:after="0" w:line="75" w:lineRule="exact"/>
        <w:rPr>
          <w:rFonts w:ascii="Arial" w:cs="Arial" w:eastAsia="Arial" w:hAnsi="Arial"/>
          <w:sz w:val="18"/>
          <w:szCs w:val="18"/>
          <w:color w:val="auto"/>
        </w:rPr>
      </w:pPr>
    </w:p>
    <w:p>
      <w:pPr>
        <w:ind w:left="964" w:right="6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GAAP Net Income of $9.0 Million for the Second Quarter and $31.5 Million for the First Half 2021; Adjusted Net Income of $61.7 Million for the Second Quarter 2021 and $93.2 Million for the First Half 2021</w:t>
      </w:r>
    </w:p>
    <w:p>
      <w:pPr>
        <w:spacing w:after="0" w:line="75" w:lineRule="exact"/>
        <w:rPr>
          <w:rFonts w:ascii="Arial" w:cs="Arial" w:eastAsia="Arial" w:hAnsi="Arial"/>
          <w:sz w:val="18"/>
          <w:szCs w:val="18"/>
          <w:color w:val="auto"/>
        </w:rPr>
      </w:pPr>
    </w:p>
    <w:p>
      <w:pPr>
        <w:ind w:left="964" w:right="50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Year-to-Date have Added Three Partners from Internal Promotions and Another Six have Joined or Agreed to Join the Firm in 2021, Further Strengthening Client Coverage Across Industries and Geographies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Closed Business Combination with FinTech Acquisition Corp. IV (“FTIV”) on June 24, 2021 (the “Business Combination”)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As of August 12, 2021, Firm Listing Upgraded to NASDAQ Global Select Market Tier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Firm Exercised Contractual Repurchase Right of 1 Million Shares of Class A Common Stock Owned by FTIV’s Sponsor at $12 Per Share</w:t>
      </w:r>
    </w:p>
    <w:p>
      <w:pPr>
        <w:spacing w:after="0" w:line="153" w:lineRule="exact"/>
        <w:rPr>
          <w:rFonts w:ascii="Arial" w:cs="Arial" w:eastAsia="Arial" w:hAnsi="Arial"/>
          <w:sz w:val="16"/>
          <w:szCs w:val="16"/>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No Outstanding Indebtedness; Maintains Strong Balance Sheet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Declared Quarterly Dividend of $0.07 Per Share</w:t>
      </w:r>
    </w:p>
    <w:p>
      <w:pPr>
        <w:spacing w:after="0" w:line="225"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NEW YORK, NY, August 12, 2021 – Perella Weinberg Partners (the “Firm” or “PWP”) (NASDAQ:PWP) today reported financial results for the second quarter ended June 30, 2021. The Firm reported record quarterly revenues of $255.5 million for the three months ended June 30, 2021, compared with $114.6 million for the three months ended June 30, 2020. GAAP net income and adjusted net income were $9.0 million and $61.7 million, respectively, for the three months ended June 30, 2021, compared with GAAP net loss of ($22.1) million and adjusted net income of $1.5 million for the three months ended June 30, 2020. GAAP diluted earnings per Class A share was ($0.32) for the three months ended June 30, 2021.</w:t>
      </w:r>
    </w:p>
    <w:p>
      <w:pPr>
        <w:spacing w:after="0" w:line="161"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First half 2021 revenues were a record $425.3 million, compared with $207.0 million for the first half of 2020. GAAP net income and adjusted net income were $31.5 million and $93.2 million for the six months ended June 30, 2021, respectively, compared with GAAP net loss of ($26.2) million and adjusted net income of $6.2 million for the six months ended June 30, 2020, respectively. GAAP diluted earnings per Class A share was ($0.32) for the six months ended June 30, 2021. All net income prior to the closing of the Business Combination on June 24, 2021 is allocated to GAAP net income attributable to non-controlling interests and excluded from the earnings per share calculation.</w:t>
      </w:r>
    </w:p>
    <w:p>
      <w:pPr>
        <w:spacing w:after="0" w:line="176"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“PWP delivered record results in the second quarter of 2021 as demand for advisory services remains elevated across our business. We continue to see high levels of activity across all service lines, sectors, and geographies driven by a further expansion of client coverage and a deepening of relationships, supported by our dedicated and collaborative team. In the quarter, PWP completed its transition to a public company, an important milestone in our firm’s 15-year history, and one which will help support future growth and development opportunities. We remain committed to providing trusted and high quality strategic and financial advice to our clients and delivering long-term value to our shareholders,” stated Peter Weinberg, Chief Executive Officer.</w:t>
      </w:r>
    </w:p>
    <w:p>
      <w:pPr>
        <w:spacing w:after="0" w:line="125" w:lineRule="exact"/>
        <w:rPr>
          <w:sz w:val="20"/>
          <w:szCs w:val="20"/>
          <w:color w:val="auto"/>
        </w:rPr>
      </w:pPr>
    </w:p>
    <w:p>
      <w:pPr>
        <w:ind w:left="224" w:right="26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97"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8552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Selected Financial Data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U.S. GAAP</w:t>
            </w:r>
          </w:p>
        </w:tc>
        <w:tc>
          <w:tcPr>
            <w:tcW w:w="100" w:type="dxa"/>
            <w:vAlign w:val="bottom"/>
          </w:tcPr>
          <w:p>
            <w:pPr>
              <w:spacing w:after="0"/>
              <w:rPr>
                <w:sz w:val="14"/>
                <w:szCs w:val="14"/>
                <w:color w:val="auto"/>
              </w:rPr>
            </w:pPr>
          </w:p>
        </w:tc>
        <w:tc>
          <w:tcPr>
            <w:tcW w:w="17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0" w:type="dxa"/>
            <w:vAlign w:val="bottom"/>
            <w:tcBorders>
              <w:top w:val="single" w:sz="8" w:color="auto"/>
              <w:bottom w:val="single" w:sz="8" w:color="auto"/>
            </w:tcBorders>
            <w:gridSpan w:val="6"/>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9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255,520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$114,601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255,520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114,601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171,469</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92,433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162,931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86,253</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Non-compensation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26,393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Total non-operating income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(39,965)</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62,084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 (22,127)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Perella Weinberg Partners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Class A common shareholders (1)</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Diluted (2)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Class A common stock outstanding (1)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42,956,667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94,013,583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520" w:hanging="424"/>
        <w:spacing w:after="0" w:line="258"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net income (loss) per share of Class A common stock and weighted-average shares of Class A common stock outstanding for the period from June 24, 2021 through June 30, 2021, the period following the Business Combination.</w:t>
      </w:r>
    </w:p>
    <w:p>
      <w:pPr>
        <w:spacing w:after="0" w:line="1" w:lineRule="exact"/>
        <w:rPr>
          <w:rFonts w:ascii="Arial" w:cs="Arial" w:eastAsia="Arial" w:hAnsi="Arial"/>
          <w:sz w:val="18"/>
          <w:szCs w:val="18"/>
          <w:color w:val="auto"/>
        </w:rPr>
      </w:pPr>
    </w:p>
    <w:p>
      <w:pPr>
        <w:ind w:left="424" w:right="8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(loss) per share - diluted for the period ending June 30, 2021 is not meaningful or comparative to GAAP diluted earnings per share which is only reflective of the six days of income after the Business Combination on June 24, 2021.</w:t>
      </w:r>
    </w:p>
    <w:p>
      <w:pPr>
        <w:spacing w:after="0" w:line="118" w:lineRule="exact"/>
        <w:rPr>
          <w:sz w:val="20"/>
          <w:szCs w:val="20"/>
          <w:color w:val="auto"/>
        </w:rPr>
      </w:pPr>
    </w:p>
    <w:p>
      <w:pPr>
        <w:ind w:left="224" w:right="260" w:hanging="224"/>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985" w:right="43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85520"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Selected Financial Data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U.S. GAAP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7"/>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Six Months Ended June 30,</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$206,997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425,322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206,997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287,096</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272,236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144,765</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Non-compensation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60,696</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74,164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54,464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56,043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77,530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Total non-operating income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(43,478)</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34,052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(2,545)</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31,507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(26,189)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Perella Weinberg Partners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Class A common shareholders (1)</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Diluted (2)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Class A common stock outstanding (1)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42,956,667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94,013,583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520" w:hanging="424"/>
        <w:spacing w:after="0" w:line="258"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net income (loss) per share of Class A common stock and weighted-average shares of Class A common stock outstanding for the period from June 24, 2021 through June 30, 2021, the period following the Business Combination.</w:t>
      </w:r>
    </w:p>
    <w:p>
      <w:pPr>
        <w:spacing w:after="0" w:line="1" w:lineRule="exact"/>
        <w:rPr>
          <w:rFonts w:ascii="Arial" w:cs="Arial" w:eastAsia="Arial" w:hAnsi="Arial"/>
          <w:sz w:val="18"/>
          <w:szCs w:val="18"/>
          <w:color w:val="auto"/>
        </w:rPr>
      </w:pPr>
    </w:p>
    <w:p>
      <w:pPr>
        <w:ind w:left="424" w:right="8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net income (loss) per share - diluted for the period ending June 30, 2021 is not meaningful or comparative to GAAP diluted earnings per share which is only reflective of the six days of income after the Business Combination on June 24, 2021.</w:t>
      </w:r>
    </w:p>
    <w:p>
      <w:pPr>
        <w:spacing w:after="0" w:line="118" w:lineRule="exact"/>
        <w:rPr>
          <w:sz w:val="20"/>
          <w:szCs w:val="20"/>
          <w:color w:val="auto"/>
        </w:rPr>
      </w:pPr>
    </w:p>
    <w:p>
      <w:pPr>
        <w:ind w:left="224" w:right="260" w:hanging="224"/>
        <w:spacing w:after="0" w:line="277"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985" w:right="43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8552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Revenues</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For the second quarter 2021, revenues were a record $255.5 million, an increase of 123% from $114.6 million for the second quarter 2020. For the first half 2021, revenues were a record $425.3 million, an increase of 105% from $207.0 million for the first half 2020. The year-over-year growth, for both the second quarter and first half 2021, reflects a significant expansion of activity across substantially all industry groups, geographies, and product areas, particularly in mergers and acquisitions advice. The increase in revenues can be attributed to both an increase in the number of advisory transaction completions and the average fee size per client as compared to the same periods in 2020.</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Expenses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U.S. GAAP</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13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(Dollars in thousands)</w:t>
            </w:r>
          </w:p>
        </w:tc>
        <w:tc>
          <w:tcPr>
            <w:tcW w:w="4640" w:type="dxa"/>
            <w:vAlign w:val="bottom"/>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0" w:type="dxa"/>
            <w:vAlign w:val="bottom"/>
            <w:tcBorders>
              <w:top w:val="single" w:sz="8" w:color="auto"/>
              <w:bottom w:val="single" w:sz="8" w:color="auto"/>
            </w:tcBorders>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Three Months Ended June 30,</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Borders>
              <w:bottom w:val="single" w:sz="8" w:color="auto"/>
            </w:tcBorders>
            <w:vMerge w:val="continue"/>
          </w:tcPr>
          <w:p>
            <w:pPr>
              <w:spacing w:after="0"/>
              <w:rPr>
                <w:sz w:val="12"/>
                <w:szCs w:val="12"/>
                <w:color w:val="auto"/>
              </w:rPr>
            </w:pPr>
          </w:p>
        </w:tc>
        <w:tc>
          <w:tcPr>
            <w:tcW w:w="4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6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 compensation and benefits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171,469</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$92,433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162,931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$86,253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of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Non-compensation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34,565</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$42,869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29,978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$26,393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of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40"/>
        <w:spacing w:after="0" w:line="293" w:lineRule="auto"/>
        <w:rPr>
          <w:sz w:val="20"/>
          <w:szCs w:val="20"/>
          <w:color w:val="auto"/>
        </w:rPr>
      </w:pPr>
      <w:r>
        <w:rPr>
          <w:rFonts w:ascii="Arial" w:cs="Arial" w:eastAsia="Arial" w:hAnsi="Arial"/>
          <w:sz w:val="16"/>
          <w:szCs w:val="16"/>
          <w:color w:val="auto"/>
        </w:rPr>
        <w:t>GAAP total compensation and benefits were $171.5 million for the second quarter of 2021, compared to $92.4 million for the second quarter of 2020. Adjusted total compensation and benefits were $162.9 million for the second quarter of 2021 as compared to $86.3 million for the same period a year ago. The increase in both the GAAP total compensation and benefits and the adjusted total compensation and benefits in the second quarter of 2021 was due to a larger bonus accrual associated with the increase in revenues despite a lower compensation margin compared to 2020 when we operated as a private partnership. Our GAAP compensation expense includes equity-based compensation expense related to amortization of certain partnership units which has no economic impact on PWP and therefore has been allocated to non-controlling interests.</w:t>
      </w:r>
    </w:p>
    <w:p>
      <w:pPr>
        <w:spacing w:after="0" w:line="164"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GAAP non-compensation expenses were $34.6 million for the second quarter of 2021, compared with $42.9 million for the prior year. Adjusted non-compensation expenses were $30.0 million for the second quarter of 2021, compared with $26.4 million for the same period a year ago. The decrease experienced in GAAP non-compensation expenses is a result of elevated professional fees in the second quarter of 2020 related to the write-off of previously deferred offering costs of $14.8 million that were expensed due to termination of an IPO process in May of 2020. The increase in non-compensation expenses on an adjusted basis was primarily driven by an increase in professional fees related to recruiting and co-advisory fees and technology expense as well as some increase in travel and entertainment related expenses as business travel resumes.</w:t>
      </w:r>
    </w:p>
    <w:p>
      <w:pPr>
        <w:spacing w:after="0" w:line="178"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The Firm incurred a one-time charge of $39.4 million associated with the extinguishment of its debt which related to the Business Combination capital structure and the Business Combination itself, respectively. This non-recurring expense was allocated to the non-operating income line item in the GAAP financial statement, and it is not reflected in adjusted results.</w:t>
      </w:r>
    </w:p>
    <w:p>
      <w:pPr>
        <w:spacing w:after="0" w:line="116" w:lineRule="exact"/>
        <w:rPr>
          <w:sz w:val="20"/>
          <w:szCs w:val="20"/>
          <w:color w:val="auto"/>
        </w:rPr>
      </w:pPr>
    </w:p>
    <w:p>
      <w:pPr>
        <w:ind w:left="224" w:right="240" w:hanging="224"/>
        <w:spacing w:after="0" w:line="277" w:lineRule="auto"/>
        <w:tabs>
          <w:tab w:leader="none" w:pos="2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985" w:right="45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U.S. GAAP</w:t>
            </w:r>
          </w:p>
        </w:tc>
        <w:tc>
          <w:tcPr>
            <w:tcW w:w="10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13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(Dollars in thousands)</w:t>
            </w:r>
          </w:p>
        </w:tc>
        <w:tc>
          <w:tcPr>
            <w:tcW w:w="5780" w:type="dxa"/>
            <w:vAlign w:val="bottom"/>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Borders>
              <w:bottom w:val="single" w:sz="8" w:color="auto"/>
            </w:tcBorders>
            <w:vMerge w:val="continue"/>
          </w:tcPr>
          <w:p>
            <w:pPr>
              <w:spacing w:after="0"/>
              <w:rPr>
                <w:sz w:val="12"/>
                <w:szCs w:val="12"/>
                <w:color w:val="auto"/>
              </w:rPr>
            </w:pPr>
          </w:p>
        </w:tc>
        <w:tc>
          <w:tcPr>
            <w:tcW w:w="5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Total compensation and benefits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287,096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157,129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272,236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144,765</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of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Non-compensation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60,696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74,164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56,043</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of 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85520"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r>
    </w:p>
    <w:p>
      <w:pPr>
        <w:ind w:left="4" w:right="100"/>
        <w:spacing w:after="0" w:line="257" w:lineRule="auto"/>
        <w:rPr>
          <w:sz w:val="20"/>
          <w:szCs w:val="20"/>
          <w:color w:val="auto"/>
        </w:rPr>
      </w:pPr>
      <w:r>
        <w:rPr>
          <w:rFonts w:ascii="Arial" w:cs="Arial" w:eastAsia="Arial" w:hAnsi="Arial"/>
          <w:sz w:val="18"/>
          <w:szCs w:val="18"/>
          <w:color w:val="auto"/>
        </w:rPr>
        <w:t>GAAP total compensation and benefits were $287.1 million for the first half of 2021, compared to $157.1 million for the first half of 2020. Adjusted total compensation and benefits were $272.2 million for the first half of 2021 as compared to $144.8 million for the same period a year ago. The increase in both the GAAP total compensation and benefits and the adjusted total compensation and benefits in the first half of 2021 was due to a larger bonus accrual associated with the increase in revenues despite a lower compensation margin compared to 2020 when we operated as a private partnership.</w:t>
      </w:r>
    </w:p>
    <w:p>
      <w:pPr>
        <w:spacing w:after="0" w:line="188" w:lineRule="exact"/>
        <w:rPr>
          <w:sz w:val="20"/>
          <w:szCs w:val="20"/>
          <w:color w:val="auto"/>
        </w:rPr>
      </w:pPr>
    </w:p>
    <w:p>
      <w:pPr>
        <w:ind w:left="4" w:right="340"/>
        <w:spacing w:after="0" w:line="291" w:lineRule="auto"/>
        <w:rPr>
          <w:sz w:val="20"/>
          <w:szCs w:val="20"/>
          <w:color w:val="auto"/>
        </w:rPr>
      </w:pPr>
      <w:r>
        <w:rPr>
          <w:rFonts w:ascii="Arial" w:cs="Arial" w:eastAsia="Arial" w:hAnsi="Arial"/>
          <w:sz w:val="16"/>
          <w:szCs w:val="16"/>
          <w:color w:val="auto"/>
        </w:rPr>
        <w:t>GAAP non-compensation expenses were $60.7 million for the first half of 2021, compared with $74.2 million for the prior year. Adjusted non-compensation expenses were $54.5 million for the first half of 2021, compared with $56.0 million for the same period a year ago. The decrease experienced in GAAP non-compensation expenses is a result of elevated professional fees in the second quarter of 2020 related to the write-off of previously deferred offering costs of $14.8 million that were expensed due to termination of an IPO process in May of 2020. The decline in adjusted non-compensation expenses was primarily driven by lower travel and entertainment and lower general, administrative and other expenses in the first half of 2021 relative to the first half of 2020 due mainly to the COVID-19 pandemic and a related decrease in conferences and seminars and office related expenses, partially offset by an increase in professional fees related to co-advisory fees and recruiting.</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left="4" w:right="460"/>
        <w:spacing w:after="0" w:line="311" w:lineRule="auto"/>
        <w:rPr>
          <w:sz w:val="20"/>
          <w:szCs w:val="20"/>
          <w:color w:val="auto"/>
        </w:rPr>
      </w:pPr>
      <w:r>
        <w:rPr>
          <w:rFonts w:ascii="Arial" w:cs="Arial" w:eastAsia="Arial" w:hAnsi="Arial"/>
          <w:sz w:val="16"/>
          <w:szCs w:val="16"/>
          <w:color w:val="auto"/>
        </w:rPr>
        <w:t>Prior to the close of the Business Combination on June 24, 2021, all of our operating income and taxes relating to income were derived from the predecessor PWP entity. Pre-transaction income has been allocated to non-controlling interest. Corporate taxes have been applied to PWP’s GAAP financials post-transaction close and only with respect to the public company’s share of allocated income from PWP Holdings LP (“PWP OpCo”).</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Balance Sheet and Capital Management</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As of June 30, 2021, PWP had $349.7 million of cash and cash equivalents. In connection with the closing of the Business Combination with FTIV, the Firm repaid all outstanding indebtedness and has an undrawn revolving credit facility.</w:t>
      </w:r>
    </w:p>
    <w:p>
      <w:pPr>
        <w:spacing w:after="0" w:line="170" w:lineRule="exact"/>
        <w:rPr>
          <w:sz w:val="20"/>
          <w:szCs w:val="20"/>
          <w:color w:val="auto"/>
        </w:rPr>
      </w:pPr>
    </w:p>
    <w:p>
      <w:pPr>
        <w:ind w:left="4" w:right="900"/>
        <w:spacing w:after="0" w:line="277" w:lineRule="auto"/>
        <w:rPr>
          <w:sz w:val="20"/>
          <w:szCs w:val="20"/>
          <w:color w:val="auto"/>
        </w:rPr>
      </w:pPr>
      <w:r>
        <w:rPr>
          <w:rFonts w:ascii="Arial" w:cs="Arial" w:eastAsia="Arial" w:hAnsi="Arial"/>
          <w:sz w:val="18"/>
          <w:szCs w:val="18"/>
          <w:color w:val="auto"/>
        </w:rPr>
        <w:t>The Board of Directors of PWP has declared a quarterly dividend of $0.07 per share of Class A common stock. The dividend will be paid on September 21, 2021 to Class A common stockholders of record on September 3, 2021.</w:t>
      </w:r>
    </w:p>
    <w:p>
      <w:pPr>
        <w:spacing w:after="0" w:line="170"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The Firm repurchased 1 million shares of Class A Common Stock pursuant to a contractual repurchase right with the sponsor of FTIV at $12.00 per share for a total of $12 million.</w:t>
      </w:r>
    </w:p>
    <w:p>
      <w:pPr>
        <w:spacing w:after="0" w:line="103" w:lineRule="exact"/>
        <w:rPr>
          <w:sz w:val="20"/>
          <w:szCs w:val="20"/>
          <w:color w:val="auto"/>
        </w:rPr>
      </w:pPr>
    </w:p>
    <w:p>
      <w:pPr>
        <w:ind w:left="224" w:right="260" w:hanging="224"/>
        <w:spacing w:after="0" w:line="277" w:lineRule="auto"/>
        <w:tabs>
          <w:tab w:leader="none" w:pos="2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981"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85520"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Conference Call and Webcast</w:t>
      </w:r>
    </w:p>
    <w:p>
      <w:pPr>
        <w:spacing w:after="0" w:line="121"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Management will host a webcast and conference call on Thursday, August 12, 2021 at 8:30 am ET to discuss PWP’s financial results for the second quarter ended June 30, 2021.</w:t>
      </w:r>
    </w:p>
    <w:p>
      <w:pPr>
        <w:spacing w:after="0" w:line="170"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The conference call will be made available in the Investors section of PWP’s website at https://investors.pwpartners.com/. To listen to a live broadcast, go to the site at least 15 minutes prior to the scheduled start time in order to register.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conference call can also be accessed by the following dial-in information:</w:t>
      </w:r>
    </w:p>
    <w:p>
      <w:pPr>
        <w:spacing w:after="0" w:line="131" w:lineRule="exact"/>
        <w:rPr>
          <w:sz w:val="20"/>
          <w:szCs w:val="20"/>
          <w:color w:val="auto"/>
        </w:rPr>
      </w:pPr>
    </w:p>
    <w:p>
      <w:pPr>
        <w:ind w:left="964" w:hanging="424"/>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1- 855-327-6837 (Domestic)</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1- 631-891-4304 (International)</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Conference ID: 10015937</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Replay</w:t>
      </w:r>
    </w:p>
    <w:p>
      <w:pPr>
        <w:spacing w:after="0" w:line="121"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A replay of the call will also be available on PWP’s website approximately two hours after the live call through August 26, 2021. To access the replay, dial 1-844-512-2921 (United States) or 1-412-317-6671 (international). The replay pin number is 10015937. The replay can also be accessed on the investors section of PWP’s website at https://investors.pwpartners.com/.</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76"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192"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19" w:lineRule="exact"/>
        <w:rPr>
          <w:sz w:val="20"/>
          <w:szCs w:val="20"/>
          <w:color w:val="auto"/>
        </w:rPr>
      </w:pPr>
    </w:p>
    <w:p>
      <w:pPr>
        <w:ind w:left="224" w:right="200" w:hanging="224"/>
        <w:spacing w:after="0" w:line="277" w:lineRule="auto"/>
        <w:tabs>
          <w:tab w:leader="none" w:pos="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985"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85520"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About PWP</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institutional asset managers, governments, sovereign wealth funds and family offices. The firm offers a wide range of advisory services to clients in the most active industry sectors and global markets. With more than 580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91" w:lineRule="exact"/>
        <w:rPr>
          <w:sz w:val="20"/>
          <w:szCs w:val="20"/>
          <w:color w:val="auto"/>
        </w:rPr>
      </w:pPr>
    </w:p>
    <w:p>
      <w:pPr>
        <w:ind w:left="960" w:hanging="532"/>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the Firm;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ability to maintain the listing of the Firm’s Class A common stock and warrants on Nasdaq following the Business Combination;</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960" w:right="640" w:hanging="532"/>
        <w:spacing w:after="0" w:line="277"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members of our management team allocating their time to other businesses and potentially having conflicts of interest with our business;</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Firm, including:</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whether the Firm realizes all or any of the anticipated benefits from the Business Combination;</w:t>
      </w:r>
    </w:p>
    <w:p>
      <w:pPr>
        <w:spacing w:after="0" w:line="130" w:lineRule="exact"/>
        <w:rPr>
          <w:rFonts w:ascii="Arial" w:cs="Arial" w:eastAsia="Arial" w:hAnsi="Arial"/>
          <w:sz w:val="18"/>
          <w:szCs w:val="18"/>
          <w:color w:val="auto"/>
        </w:rPr>
      </w:pPr>
    </w:p>
    <w:p>
      <w:pPr>
        <w:ind w:left="1420" w:right="280" w:hanging="439"/>
        <w:spacing w:after="0" w:line="277" w:lineRule="auto"/>
        <w:tabs>
          <w:tab w:leader="none" w:pos="14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Firm’s ability to retain or compete for professional talent or investor capital;</w:t>
      </w:r>
    </w:p>
    <w:p>
      <w:pPr>
        <w:spacing w:after="0" w:line="75" w:lineRule="exact"/>
        <w:rPr>
          <w:rFonts w:ascii="Arial" w:cs="Arial" w:eastAsia="Arial" w:hAnsi="Arial"/>
          <w:sz w:val="18"/>
          <w:szCs w:val="18"/>
          <w:color w:val="auto"/>
        </w:rPr>
      </w:pPr>
    </w:p>
    <w:p>
      <w:pPr>
        <w:ind w:left="1420" w:right="340" w:hanging="439"/>
        <w:spacing w:after="0" w:line="342" w:lineRule="auto"/>
        <w:tabs>
          <w:tab w:leader="none" w:pos="1420" w:val="left"/>
        </w:tabs>
        <w:numPr>
          <w:ilvl w:val="2"/>
          <w:numId w:val="12"/>
        </w:numPr>
        <w:rPr>
          <w:rFonts w:ascii="Arial" w:cs="Arial" w:eastAsia="Arial" w:hAnsi="Arial"/>
          <w:sz w:val="16"/>
          <w:szCs w:val="16"/>
          <w:color w:val="auto"/>
        </w:rPr>
      </w:pPr>
      <w:r>
        <w:rPr>
          <w:rFonts w:ascii="Arial" w:cs="Arial" w:eastAsia="Arial" w:hAnsi="Arial"/>
          <w:sz w:val="16"/>
          <w:szCs w:val="16"/>
          <w:color w:val="auto"/>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Firm’s dependence on and ability to retain working partners and other key employees;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Firm’s ability to successfully identify, recruit and develop talent;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30" w:lineRule="exact"/>
        <w:rPr>
          <w:rFonts w:ascii="Arial" w:cs="Arial" w:eastAsia="Arial" w:hAnsi="Arial"/>
          <w:sz w:val="18"/>
          <w:szCs w:val="18"/>
          <w:color w:val="auto"/>
        </w:rPr>
      </w:pPr>
    </w:p>
    <w:p>
      <w:pPr>
        <w:ind w:left="1420" w:right="520" w:hanging="439"/>
        <w:spacing w:after="0" w:line="277" w:lineRule="auto"/>
        <w:tabs>
          <w:tab w:leader="none" w:pos="14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Firm’s dependence on its fee-paying clients and fluctuating revenues from its non-exclusive, engagement-by-engagement business model;</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high volatility of the Firm’s revenues as a result of its reliance on advisory fees that are largely contingent on the completion of events which may be out of its control;</w:t>
      </w:r>
    </w:p>
    <w:p>
      <w:pPr>
        <w:spacing w:after="0" w:line="102" w:lineRule="exact"/>
        <w:rPr>
          <w:rFonts w:ascii="Arial" w:cs="Arial" w:eastAsia="Arial" w:hAnsi="Arial"/>
          <w:sz w:val="18"/>
          <w:szCs w:val="18"/>
          <w:color w:val="auto"/>
        </w:rPr>
      </w:pPr>
    </w:p>
    <w:p>
      <w:pPr>
        <w:ind w:left="220" w:right="180" w:hanging="216"/>
        <w:spacing w:after="0" w:line="277" w:lineRule="auto"/>
        <w:rPr>
          <w:rFonts w:ascii="Arial" w:cs="Arial" w:eastAsia="Arial" w:hAnsi="Arial"/>
          <w:sz w:val="18"/>
          <w:szCs w:val="18"/>
          <w:color w:val="auto"/>
        </w:rPr>
      </w:pPr>
      <w:r>
        <w:rPr>
          <w:rFonts w:ascii="Arial" w:cs="Arial" w:eastAsia="Arial" w:hAnsi="Arial"/>
          <w:sz w:val="18"/>
          <w:szCs w:val="18"/>
          <w:color w:val="auto"/>
        </w:rPr>
        <w:t>* 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985" w:right="519" w:bottom="1440" w:gutter="0" w:footer="0" w:header="0"/>
        </w:sectPr>
      </w:pPr>
    </w:p>
    <w:bookmarkStart w:id="10" w:name="page11"/>
    <w:bookmarkEnd w:id="10"/>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8552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the ability of the Firm’s clients to pay for its services, including its restructuring clients;</w:t>
      </w:r>
    </w:p>
    <w:p>
      <w:pPr>
        <w:spacing w:after="0" w:line="130" w:lineRule="exact"/>
        <w:rPr>
          <w:rFonts w:ascii="Arial" w:cs="Arial" w:eastAsia="Arial" w:hAnsi="Arial"/>
          <w:sz w:val="18"/>
          <w:szCs w:val="18"/>
          <w:color w:val="auto"/>
        </w:rPr>
      </w:pPr>
    </w:p>
    <w:p>
      <w:pPr>
        <w:ind w:left="1424" w:right="200" w:hanging="439"/>
        <w:spacing w:after="0" w:line="342" w:lineRule="auto"/>
        <w:tabs>
          <w:tab w:leader="none" w:pos="1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Firm’s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29" w:lineRule="exact"/>
        <w:rPr>
          <w:rFonts w:ascii="Arial" w:cs="Arial" w:eastAsia="Arial" w:hAnsi="Arial"/>
          <w:sz w:val="16"/>
          <w:szCs w:val="16"/>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Firm’s assets;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Firm’s successful formulation and execution of its business and growth strategies;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Firm;</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Firm’s ability to expand into new markets and lines of businesses for the advisory business;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assumptions relating to the Firm’s operations, financial results, financial condition, business prospects, growth strategy and liquidity;</w:t>
      </w:r>
    </w:p>
    <w:p>
      <w:pPr>
        <w:spacing w:after="0" w:line="153" w:lineRule="exact"/>
        <w:rPr>
          <w:rFonts w:ascii="Arial" w:cs="Arial" w:eastAsia="Arial" w:hAnsi="Arial"/>
          <w:sz w:val="16"/>
          <w:szCs w:val="16"/>
          <w:color w:val="auto"/>
        </w:rPr>
      </w:pPr>
    </w:p>
    <w:p>
      <w:pPr>
        <w:ind w:left="1424" w:right="240" w:hanging="439"/>
        <w:spacing w:after="0" w:line="263" w:lineRule="auto"/>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w:t>
      </w:r>
    </w:p>
    <w:p>
      <w:pPr>
        <w:spacing w:after="0" w:line="225"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The forward-looking statements in this press release and oral statements made from time to time by representatives of PWP are based on current expectations and beliefs concerning future developments and their potential effects on the Firm. There can be no assurance that future developments affecting the Firm will be those that the Firm has anticipated. These forward-looking statements involve a number of risks, uncertainties (some of which are beyond the Firm’s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our Current Report on Form 8-K filed with the SEC on June 30, 2021 and the other documents filed by the Company from time to time with the SEC. Should one or more of these risks or uncertainties materialize, or should any of our assumptions prove incorrect, actual results may vary in material respects from those projected in these forward-looking statements. The Firm undertakes no obligation to update or revise any forward-looking statements, whether as a result of new information, future events or otherwise, except as may be required under applicable securities laws.</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Investor Relations: </w:t>
      </w:r>
      <w:r>
        <w:rPr>
          <w:rFonts w:ascii="Arial" w:cs="Arial" w:eastAsia="Arial" w:hAnsi="Arial"/>
          <w:sz w:val="18"/>
          <w:szCs w:val="18"/>
          <w:u w:val="single" w:color="auto"/>
          <w:color w:val="auto"/>
        </w:rPr>
        <w:t>investors@pwpartners.com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Media: </w:t>
      </w:r>
      <w:r>
        <w:rPr>
          <w:rFonts w:ascii="Arial" w:cs="Arial" w:eastAsia="Arial" w:hAnsi="Arial"/>
          <w:sz w:val="18"/>
          <w:szCs w:val="18"/>
          <w:u w:val="single" w:color="auto"/>
          <w:color w:val="auto"/>
        </w:rPr>
        <w:t>media@pwpartners.com</w:t>
      </w:r>
    </w:p>
    <w:p>
      <w:pPr>
        <w:spacing w:after="0" w:line="143" w:lineRule="exact"/>
        <w:rPr>
          <w:sz w:val="20"/>
          <w:szCs w:val="20"/>
          <w:color w:val="auto"/>
        </w:rPr>
      </w:pPr>
    </w:p>
    <w:p>
      <w:pPr>
        <w:ind w:left="224" w:right="220" w:hanging="224"/>
        <w:spacing w:after="0" w:line="277" w:lineRule="auto"/>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989" w:right="47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85520" cy="36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Condensed Consolidated Statements of Operations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255,520</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$ 114,601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$206,997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164,404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273,874</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144,765</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7,065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13,222</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compensation and benefits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171,469</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92,433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287,096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157,129</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12,220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22,341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17,948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28,363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and infrastructure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7,141</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14,097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13,238</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Rent and occupancy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6,593</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13,295</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13,818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and related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General, administrative and other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3,674</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3,427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5,878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7,602</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206,034</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347,792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49,486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77,530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(24,296)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Non-operating income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3,774</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526</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(1,328)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(39,408)</w:t>
            </w:r>
          </w:p>
        </w:tc>
        <w:tc>
          <w:tcPr>
            <w:tcW w:w="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(39,408)</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(7,464)</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non-operating income (expenses)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(39,965)</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(43,478)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34,052</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(521)</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(2,545)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 (22,127)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31,507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(26,189)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21,499</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44,006</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(12,499)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w w:val="94"/>
              </w:rPr>
              <w:t>Net income (loss) per share attributable to Class A common shareholders (1)</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of Class A common stock outstanding (1)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42,956,667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42,956,667</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94,013,583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94,013,583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5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net income (loss) per share of Class A common stock and weighted-average shares of Class A common stock outstanding for the period from June 24, 2021 through June 30, 2021, the period following the Business Combination.</w:t>
      </w:r>
    </w:p>
    <w:p>
      <w:pPr>
        <w:spacing w:after="0" w:line="103" w:lineRule="exact"/>
        <w:rPr>
          <w:sz w:val="20"/>
          <w:szCs w:val="20"/>
          <w:color w:val="auto"/>
        </w:rPr>
      </w:pPr>
    </w:p>
    <w:p>
      <w:pPr>
        <w:ind w:left="224" w:right="260" w:hanging="224"/>
        <w:spacing w:after="0" w:line="277" w:lineRule="auto"/>
        <w:tabs>
          <w:tab w:leader="none" w:pos="2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985" w:right="43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85520"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U.S. GAAP Reconciliation of Adjusted Results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281"/>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2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2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compensation and benefits -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171,469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92,433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287,096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Equity-based compensation not dilutive to investors in PWP or PWP OpCo (1)</w:t>
            </w: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(7,065)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(6,180)</w:t>
            </w:r>
          </w:p>
        </w:tc>
        <w:tc>
          <w:tcPr>
            <w:tcW w:w="8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(13,222)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(12,364)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Public company transaction related incentives (2)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Adjusted total compensation and benefits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162,931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86,253</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272,236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144,765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Non-compensation expense -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34,565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42,869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60,696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74,164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TPH business combination related expenses (3)</w:t>
            </w: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(3,290)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Delayed offering cost expense (4)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(14,831)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(14,831)</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FTIV Business combination transaction expenses (5)</w:t>
            </w: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(2,942)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(2,942)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non-compensation expense (6)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26,393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54,464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56,043</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 - 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49,486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(20,701)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77,530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(24,296)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not dilutive to investors in PWP or PWP OpCo (1)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6,180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Public company transaction related incentives (2)</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TPH business combination related expenses (3)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Delayed offering cost expense (4)</w:t>
            </w:r>
          </w:p>
        </w:tc>
        <w:tc>
          <w:tcPr>
            <w:tcW w:w="10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14,831</w:t>
            </w:r>
          </w:p>
        </w:tc>
        <w:tc>
          <w:tcPr>
            <w:tcW w:w="8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FTIV business combination transaction expenses (5)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Adjusted operating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income/(expense) -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(39,965)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(43,478)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Change in fair value of warrant liabilities (7)</w:t>
            </w: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Amortization of debt costs (9)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non-operating income/(expense)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Income (loss) before income taxes - 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(21,293)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34,052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(24,645)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not dilutive to investors in PWP or PWP OpCo (1)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6,180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Public company transaction related incentives (2)</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TPH business combination related expenses (3)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Delayed offering cost expense (4)</w:t>
            </w:r>
          </w:p>
        </w:tc>
        <w:tc>
          <w:tcPr>
            <w:tcW w:w="10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14,831</w:t>
            </w:r>
          </w:p>
        </w:tc>
        <w:tc>
          <w:tcPr>
            <w:tcW w:w="8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FTIV business combination transaction expenses (5)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Change in fair value of warrant liabilities (7)</w:t>
            </w: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Loss on debt extinguishment (8)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Amortization of debt costs (9)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95,616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Income tax benefit (expense) - 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non-GAAP adjustments (10)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Adjusted income tax benefit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(22,127)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31,507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(26,189)</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Equity-based compensation not dilutive to investors in PWP or PWP OpCo (1)</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7,065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6,180</w:t>
            </w:r>
          </w:p>
        </w:tc>
        <w:tc>
          <w:tcPr>
            <w:tcW w:w="8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13,222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Public company transaction related incentives (2)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TPH business combination related expenses (3)</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3,290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Delayed offering cost expense (4)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14,831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FTIV business combination transaction expenses (5)</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2,942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2,942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 (7)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Loss on debt extinguishment (8)</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39,408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39,408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costs (9)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Tax impact of Non-GAAP adjustments (10)</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61,714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93,222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24" w:right="260" w:hanging="224"/>
        <w:spacing w:after="0" w:line="277" w:lineRule="auto"/>
        <w:tabs>
          <w:tab w:leader="none" w:pos="2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985" w:right="439" w:bottom="1440" w:gutter="0" w:footer="0" w:header="0"/>
        </w:sectPr>
      </w:pPr>
    </w:p>
    <w:bookmarkStart w:id="13" w:name="page14"/>
    <w:bookmarkEnd w:id="13"/>
    <w:tbl>
      <w:tblPr>
        <w:tblLayout w:type="fixed"/>
        <w:tblInd w:w="4"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Less: Adjusted income tax benefit (expense) (11)</w:t>
            </w:r>
          </w:p>
        </w:tc>
        <w:tc>
          <w:tcPr>
            <w:tcW w:w="2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Add: If-converted tax impact (11)</w:t>
            </w:r>
          </w:p>
        </w:tc>
        <w:tc>
          <w:tcPr>
            <w:tcW w:w="26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20"/>
                <w:szCs w:val="20"/>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Adjusted if-converted net income (loss)</w:t>
            </w:r>
          </w:p>
        </w:tc>
        <w:tc>
          <w:tcPr>
            <w:tcW w:w="3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61,714</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$ 93,222</w:t>
            </w:r>
          </w:p>
        </w:tc>
      </w:tr>
      <w:tr>
        <w:trPr>
          <w:trHeight w:val="224"/>
        </w:trPr>
        <w:tc>
          <w:tcPr>
            <w:tcW w:w="6920" w:type="dxa"/>
            <w:vAlign w:val="bottom"/>
          </w:tcPr>
          <w:p>
            <w:pPr>
              <w:spacing w:after="0"/>
              <w:rPr>
                <w:sz w:val="20"/>
                <w:szCs w:val="20"/>
                <w:color w:val="auto"/>
              </w:rPr>
            </w:pPr>
            <w:r>
              <w:rPr>
                <w:rFonts w:ascii="Arial" w:cs="Arial" w:eastAsia="Arial" w:hAnsi="Arial"/>
                <w:sz w:val="18"/>
                <w:szCs w:val="18"/>
                <w:color w:val="auto"/>
              </w:rPr>
              <w:t>Adjusted net income (loss) per Class A share – diluted (12)</w:t>
            </w:r>
          </w:p>
        </w:tc>
        <w:tc>
          <w:tcPr>
            <w:tcW w:w="26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9"/>
                <w:szCs w:val="19"/>
                <w:color w:val="auto"/>
              </w:rPr>
            </w:pPr>
          </w:p>
        </w:tc>
      </w:tr>
    </w:tbl>
    <w:p>
      <w:pPr>
        <w:spacing w:after="0" w:line="3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85520"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Notes to U.S. GAAP Reconciliation of Adjusted Results:</w:t>
      </w:r>
    </w:p>
    <w:p>
      <w:pPr>
        <w:spacing w:after="0" w:line="256" w:lineRule="exact"/>
        <w:rPr>
          <w:sz w:val="20"/>
          <w:szCs w:val="20"/>
          <w:color w:val="auto"/>
        </w:rPr>
      </w:pPr>
    </w:p>
    <w:p>
      <w:pPr>
        <w:ind w:left="424" w:right="280" w:hanging="424"/>
        <w:spacing w:after="0" w:line="254"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Equity-based compensation not dilutive to investors in PWP or PWP OpCo includes amortization of legacy awards granted to certain partners prior to the Business Combination and PWP Professional Partners LP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2" w:lineRule="exact"/>
        <w:rPr>
          <w:rFonts w:ascii="Arial" w:cs="Arial" w:eastAsia="Arial" w:hAnsi="Arial"/>
          <w:sz w:val="18"/>
          <w:szCs w:val="18"/>
          <w:color w:val="auto"/>
        </w:rPr>
      </w:pPr>
    </w:p>
    <w:p>
      <w:pPr>
        <w:ind w:left="424" w:right="380" w:hanging="424"/>
        <w:spacing w:after="0" w:line="250"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company transaction related incentives represents discretionary bonus payments directly related to milestone events that are part of the Business Combination process and reorganization. These payments were outside of PWP’s normal and recurring bonus and compensation processes.</w:t>
      </w:r>
    </w:p>
    <w:p>
      <w:pPr>
        <w:spacing w:after="0" w:line="1" w:lineRule="exact"/>
        <w:rPr>
          <w:rFonts w:ascii="Arial" w:cs="Arial" w:eastAsia="Arial" w:hAnsi="Arial"/>
          <w:sz w:val="18"/>
          <w:szCs w:val="18"/>
          <w:color w:val="auto"/>
        </w:rPr>
      </w:pPr>
    </w:p>
    <w:p>
      <w:pPr>
        <w:ind w:left="424" w:right="140" w:hanging="424"/>
        <w:spacing w:after="0" w:line="281"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deferred offering costs that were expensed due to termination of a public company transaction process in May of 2020.</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Transaction costs that were expensed associated with the Business Combination.</w:t>
      </w:r>
    </w:p>
    <w:p>
      <w:pPr>
        <w:spacing w:after="0" w:line="9" w:lineRule="exact"/>
        <w:rPr>
          <w:rFonts w:ascii="Arial" w:cs="Arial" w:eastAsia="Arial" w:hAnsi="Arial"/>
          <w:sz w:val="18"/>
          <w:szCs w:val="18"/>
          <w:color w:val="auto"/>
        </w:rPr>
      </w:pPr>
    </w:p>
    <w:p>
      <w:pPr>
        <w:ind w:left="424" w:right="140" w:hanging="424"/>
        <w:spacing w:after="0" w:line="250"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reconciliation below for the components of the consolidated statements of operations included in non-compensation expense - GAAP as well as Adjusted non-compensation expense.</w:t>
      </w: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in fair value of warrant liabilities is non-cash and we believe not indicative of our core performance.</w:t>
      </w:r>
    </w:p>
    <w:p>
      <w:pPr>
        <w:spacing w:after="0" w:line="9" w:lineRule="exact"/>
        <w:rPr>
          <w:rFonts w:ascii="Arial" w:cs="Arial" w:eastAsia="Arial" w:hAnsi="Arial"/>
          <w:sz w:val="18"/>
          <w:szCs w:val="18"/>
          <w:color w:val="auto"/>
        </w:rPr>
      </w:pPr>
    </w:p>
    <w:p>
      <w:pPr>
        <w:ind w:left="424" w:right="220" w:hanging="424"/>
        <w:spacing w:after="0" w:line="250"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on debt extinguishment resulted from the pay off of the 7.0% Subordinated Unsecured Convertible Notes due 2026 in conjunction with the Business Combination</w:t>
      </w:r>
    </w:p>
    <w:p>
      <w:pPr>
        <w:ind w:left="424" w:hanging="424"/>
        <w:spacing w:after="0"/>
        <w:tabs>
          <w:tab w:leader="none" w:pos="4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Amortization of debt costs is composed of the amortization of debt discounts and issuance costs which is included in interest expense.</w:t>
      </w:r>
    </w:p>
    <w:p>
      <w:pPr>
        <w:spacing w:after="0" w:line="20" w:lineRule="exact"/>
        <w:rPr>
          <w:rFonts w:ascii="Arial" w:cs="Arial" w:eastAsia="Arial" w:hAnsi="Arial"/>
          <w:sz w:val="17"/>
          <w:szCs w:val="17"/>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income tax impact of the adjustments shown to these GAAP financial statement line items.</w:t>
      </w:r>
    </w:p>
    <w:p>
      <w:pPr>
        <w:spacing w:after="0" w:line="9" w:lineRule="exact"/>
        <w:rPr>
          <w:rFonts w:ascii="Arial" w:cs="Arial" w:eastAsia="Arial" w:hAnsi="Arial"/>
          <w:sz w:val="18"/>
          <w:szCs w:val="18"/>
          <w:color w:val="auto"/>
        </w:rPr>
      </w:pPr>
    </w:p>
    <w:p>
      <w:pPr>
        <w:ind w:left="424" w:right="560" w:hanging="424"/>
        <w:spacing w:after="0" w:line="250"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tax adjustment was made to reflect the exchange of partnership units for shares of PWP’s Class A common stock for the period after the Business Combination as it is considered not meaningful for this six day period.</w:t>
      </w:r>
    </w:p>
    <w:p>
      <w:pPr>
        <w:ind w:left="424" w:right="400" w:hanging="424"/>
        <w:spacing w:after="0" w:line="290" w:lineRule="auto"/>
        <w:tabs>
          <w:tab w:leader="none" w:pos="4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net income (loss) per Class A share - diluted for the periods ended June 30, 2021 is not meaningful or comparative to GAAP diluted earnings per share which is only reflective of the six days of income after the Business Combination on June 24, 2021.</w:t>
      </w:r>
    </w:p>
    <w:p>
      <w:pPr>
        <w:spacing w:after="0" w:line="94" w:lineRule="exact"/>
        <w:rPr>
          <w:sz w:val="20"/>
          <w:szCs w:val="20"/>
          <w:color w:val="auto"/>
        </w:rPr>
      </w:pPr>
    </w:p>
    <w:p>
      <w:pPr>
        <w:ind w:left="224" w:right="260" w:hanging="224"/>
        <w:spacing w:after="0" w:line="277" w:lineRule="auto"/>
        <w:tabs>
          <w:tab w:leader="none" w:pos="2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1004" w:right="43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85520"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985520" cy="360045"/>
                    </a:xfrm>
                    <a:prstGeom prst="rect">
                      <a:avLst/>
                    </a:prstGeom>
                    <a:noFill/>
                  </pic:spPr>
                </pic:pic>
              </a:graphicData>
            </a:graphic>
          </wp:anchor>
        </w:drawing>
        <w:t>U.S. GAAP Reconciliation of Adjusted Results (Unaudited)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3"/>
              </w:rPr>
              <w:t>Three Months Ended June 30, 2021</w:t>
            </w:r>
          </w:p>
        </w:tc>
      </w:tr>
      <w:tr>
        <w:trPr>
          <w:trHeight w:val="142"/>
        </w:trPr>
        <w:tc>
          <w:tcPr>
            <w:tcW w:w="5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U.S. GAAP</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Adjustments</w:t>
            </w:r>
          </w:p>
        </w:tc>
        <w:tc>
          <w:tcPr>
            <w:tcW w:w="6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2"/>
                <w:szCs w:val="12"/>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$ 9,278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7,141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7,141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6,593</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1,215</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3,722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(1,645)</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2,077</w:t>
            </w:r>
          </w:p>
        </w:tc>
      </w:tr>
      <w:tr>
        <w:trPr>
          <w:trHeight w:val="27"/>
        </w:trPr>
        <w:tc>
          <w:tcPr>
            <w:tcW w:w="5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34,565</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(4,587)</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29,978</w:t>
            </w:r>
          </w:p>
        </w:tc>
      </w:tr>
      <w:tr>
        <w:trPr>
          <w:trHeight w:val="20"/>
        </w:trPr>
        <w:tc>
          <w:tcPr>
            <w:tcW w:w="5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3"/>
              </w:rPr>
              <w:t>Three Months Ended June 30, 2020</w:t>
            </w:r>
          </w:p>
        </w:tc>
      </w:tr>
      <w:tr>
        <w:trPr>
          <w:trHeight w:val="142"/>
        </w:trPr>
        <w:tc>
          <w:tcPr>
            <w:tcW w:w="5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U.S. GAAP</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Adjustments</w:t>
            </w:r>
          </w:p>
        </w:tc>
        <w:tc>
          <w:tcPr>
            <w:tcW w:w="6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(14,831)</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$ 7,510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6,027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6,027</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6,849</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3,427</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3,833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(1,645)</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2,188</w:t>
            </w:r>
          </w:p>
        </w:tc>
      </w:tr>
      <w:tr>
        <w:trPr>
          <w:trHeight w:val="27"/>
        </w:trPr>
        <w:tc>
          <w:tcPr>
            <w:tcW w:w="5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42,869</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(16,476)</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26,393</w:t>
            </w:r>
          </w:p>
        </w:tc>
      </w:tr>
      <w:tr>
        <w:trPr>
          <w:trHeight w:val="20"/>
        </w:trPr>
        <w:tc>
          <w:tcPr>
            <w:tcW w:w="5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left="372"/>
              <w:spacing w:after="0"/>
              <w:rPr>
                <w:sz w:val="20"/>
                <w:szCs w:val="20"/>
                <w:color w:val="auto"/>
              </w:rPr>
            </w:pPr>
            <w:r>
              <w:rPr>
                <w:rFonts w:ascii="Arial" w:cs="Arial" w:eastAsia="Arial" w:hAnsi="Arial"/>
                <w:sz w:val="14"/>
                <w:szCs w:val="14"/>
                <w:b w:val="1"/>
                <w:bCs w:val="1"/>
                <w:color w:val="auto"/>
                <w:w w:val="92"/>
              </w:rPr>
              <w:t>Six Months Ended June 30, 2021</w:t>
            </w: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U.S. GAAP</w:t>
            </w:r>
          </w:p>
        </w:tc>
        <w:tc>
          <w:tcPr>
            <w:tcW w:w="140" w:type="dxa"/>
            <w:vAlign w:val="bottom"/>
          </w:tcPr>
          <w:p>
            <w:pPr>
              <w:spacing w:after="0"/>
              <w:rPr>
                <w:sz w:val="12"/>
                <w:szCs w:val="12"/>
                <w:color w:val="auto"/>
              </w:rPr>
            </w:pPr>
          </w:p>
        </w:tc>
        <w:tc>
          <w:tcPr>
            <w:tcW w:w="10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Adjustments</w:t>
            </w:r>
          </w:p>
        </w:tc>
        <w:tc>
          <w:tcPr>
            <w:tcW w:w="6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2"/>
                <w:szCs w:val="12"/>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14,097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14,097</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13,295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1,876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7,602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(3,290)</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4,312</w:t>
            </w:r>
          </w:p>
        </w:tc>
      </w:tr>
      <w:tr>
        <w:trPr>
          <w:trHeight w:val="27"/>
        </w:trPr>
        <w:tc>
          <w:tcPr>
            <w:tcW w:w="5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60,696</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(6,232)</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54,464</w:t>
            </w:r>
          </w:p>
        </w:tc>
      </w:tr>
      <w:tr>
        <w:trPr>
          <w:trHeight w:val="20"/>
        </w:trPr>
        <w:tc>
          <w:tcPr>
            <w:tcW w:w="5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left="372"/>
              <w:spacing w:after="0"/>
              <w:rPr>
                <w:sz w:val="20"/>
                <w:szCs w:val="20"/>
                <w:color w:val="auto"/>
              </w:rPr>
            </w:pPr>
            <w:r>
              <w:rPr>
                <w:rFonts w:ascii="Arial" w:cs="Arial" w:eastAsia="Arial" w:hAnsi="Arial"/>
                <w:sz w:val="14"/>
                <w:szCs w:val="14"/>
                <w:b w:val="1"/>
                <w:bCs w:val="1"/>
                <w:color w:val="auto"/>
                <w:w w:val="92"/>
              </w:rPr>
              <w:t>Six Months Ended June 30, 2020</w:t>
            </w: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U.S. GAAP</w:t>
            </w:r>
          </w:p>
        </w:tc>
        <w:tc>
          <w:tcPr>
            <w:tcW w:w="140" w:type="dxa"/>
            <w:vAlign w:val="bottom"/>
          </w:tcPr>
          <w:p>
            <w:pPr>
              <w:spacing w:after="0"/>
              <w:rPr>
                <w:sz w:val="12"/>
                <w:szCs w:val="12"/>
                <w:color w:val="auto"/>
              </w:rPr>
            </w:pPr>
          </w:p>
        </w:tc>
        <w:tc>
          <w:tcPr>
            <w:tcW w:w="10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Adjustments</w:t>
            </w:r>
          </w:p>
        </w:tc>
        <w:tc>
          <w:tcPr>
            <w:tcW w:w="6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28,363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(14,831)</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$13,532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13,238</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13,818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13,818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4,590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4,590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6,361</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7,794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(3,290)</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4,504</w:t>
            </w:r>
          </w:p>
        </w:tc>
      </w:tr>
      <w:tr>
        <w:trPr>
          <w:trHeight w:val="27"/>
        </w:trPr>
        <w:tc>
          <w:tcPr>
            <w:tcW w:w="5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Non-compensation expense</w:t>
            </w:r>
          </w:p>
        </w:tc>
        <w:tc>
          <w:tcPr>
            <w:tcW w:w="248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74,164</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(18,121)</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56,043</w:t>
            </w:r>
          </w:p>
        </w:tc>
      </w:tr>
      <w:tr>
        <w:trPr>
          <w:trHeight w:val="20"/>
        </w:trPr>
        <w:tc>
          <w:tcPr>
            <w:tcW w:w="5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an adjustment to exclude transaction costs associated with the FTIV Business Combination.</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an adjustment to exclude the amortization of intangible assets related to the TPH business combination.</w:t>
      </w:r>
    </w:p>
    <w:p>
      <w:pPr>
        <w:spacing w:after="0" w:line="9" w:lineRule="exact"/>
        <w:rPr>
          <w:rFonts w:ascii="Arial" w:cs="Arial" w:eastAsia="Arial" w:hAnsi="Arial"/>
          <w:sz w:val="18"/>
          <w:szCs w:val="18"/>
          <w:color w:val="auto"/>
        </w:rPr>
      </w:pPr>
    </w:p>
    <w:p>
      <w:pPr>
        <w:ind w:left="424" w:right="400" w:hanging="424"/>
        <w:spacing w:after="0" w:line="260"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an adjustment to exclude previously deferred offering costs that were expensed due to termination of the public company transaction process in May of 2020.</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sectPr>
      <w:pgSz w:w="11900" w:h="16838" w:orient="portrait"/>
      <w:cols w:equalWidth="0" w:num="1">
        <w:col w:w="11024"/>
      </w:cols>
      <w:pgMar w:left="436" w:top="98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2021-08-12T09:34:29Z</dcterms:created>
  <dcterms:modified xsi:type="dcterms:W3CDTF">2021-08-12T09:34:29Z</dcterms:modified>
</cp:coreProperties>
</file>