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6995160" cy="5278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27875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Weinberg Peter A</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FIFTH AVENUE</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Perella Weinberg Partners</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PWP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12/31/2024</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1253"/>
        <w:spacing w:after="0"/>
        <w:rPr>
          <w:sz w:val="20"/>
          <w:szCs w:val="20"/>
          <w:color w:val="auto"/>
        </w:rPr>
      </w:pPr>
      <w:r>
        <w:rPr>
          <w:rFonts w:ascii="Times New Roman" w:cs="Times New Roman" w:eastAsia="Times New Roman" w:hAnsi="Times New Roman"/>
          <w:sz w:val="17"/>
          <w:szCs w:val="17"/>
          <w:color w:val="0000FF"/>
        </w:rPr>
        <w:t>Chairman</w:t>
      </w:r>
    </w:p>
    <w:p>
      <w:pPr>
        <w:spacing w:after="0" w:line="276" w:lineRule="exact"/>
        <w:rPr>
          <w:sz w:val="24"/>
          <w:szCs w:val="24"/>
          <w:color w:val="auto"/>
        </w:rPr>
      </w:pPr>
    </w:p>
    <w:p>
      <w:pPr>
        <w:sectPr>
          <w:pgSz w:w="11900" w:h="16838" w:orient="portrait"/>
          <w:cols w:equalWidth="0" w:num="3">
            <w:col w:w="3180" w:space="720"/>
            <w:col w:w="3107" w:space="720"/>
            <w:col w:w="3353"/>
          </w:cols>
          <w:pgMar w:left="460" w:top="216"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50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240" w:type="dxa"/>
            <w:vAlign w:val="bottom"/>
            <w:shd w:val="clear" w:color="auto" w:fill="9A9A9A"/>
          </w:tcPr>
          <w:p>
            <w:pPr>
              <w:spacing w:after="0"/>
              <w:rPr>
                <w:sz w:val="3"/>
                <w:szCs w:val="3"/>
                <w:color w:val="auto"/>
              </w:rPr>
            </w:pPr>
          </w:p>
        </w:tc>
        <w:tc>
          <w:tcPr>
            <w:tcW w:w="374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740" w:type="dxa"/>
            <w:vAlign w:val="bottom"/>
            <w:gridSpan w:val="7"/>
            <w:vMerge w:val="continue"/>
          </w:tcPr>
          <w:p>
            <w:pPr>
              <w:spacing w:after="0"/>
              <w:rPr>
                <w:sz w:val="9"/>
                <w:szCs w:val="9"/>
                <w:color w:val="auto"/>
              </w:rPr>
            </w:pPr>
          </w:p>
        </w:tc>
        <w:tc>
          <w:tcPr>
            <w:tcW w:w="360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0000FF"/>
              </w:rPr>
              <w:t>NY</w:t>
            </w:r>
          </w:p>
        </w:tc>
        <w:tc>
          <w:tcPr>
            <w:tcW w:w="880" w:type="dxa"/>
            <w:vAlign w:val="bottom"/>
          </w:tcPr>
          <w:p>
            <w:pPr>
              <w:spacing w:after="0"/>
              <w:rPr>
                <w:sz w:val="18"/>
                <w:szCs w:val="18"/>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10153</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500" w:type="dxa"/>
            <w:vAlign w:val="bottom"/>
            <w:tcBorders>
              <w:top w:val="single" w:sz="8" w:color="EEEEEE"/>
            </w:tcBorders>
          </w:tcPr>
          <w:p>
            <w:pPr>
              <w:spacing w:after="0"/>
              <w:rPr>
                <w:sz w:val="15"/>
                <w:szCs w:val="15"/>
                <w:color w:val="auto"/>
              </w:rPr>
            </w:pPr>
          </w:p>
        </w:tc>
        <w:tc>
          <w:tcPr>
            <w:tcW w:w="116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24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800" w:type="dxa"/>
            <w:vAlign w:val="bottom"/>
            <w:tcBorders>
              <w:bottom w:val="single" w:sz="8" w:color="2C2C2C"/>
            </w:tcBorders>
            <w:gridSpan w:val="6"/>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3"/>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40" w:type="dxa"/>
            <w:vAlign w:val="bottom"/>
          </w:tcPr>
          <w:p>
            <w:pPr>
              <w:ind w:left="8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2"/>
          </w:tcPr>
          <w:p>
            <w:pPr>
              <w:ind w:left="84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8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8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0000FF"/>
              </w:rPr>
              <w:t>12/31/2024</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20"/>
              <w:spacing w:after="0"/>
              <w:rPr>
                <w:sz w:val="20"/>
                <w:szCs w:val="20"/>
                <w:color w:val="auto"/>
              </w:rPr>
            </w:pPr>
            <w:r>
              <w:rPr>
                <w:rFonts w:ascii="Times New Roman" w:cs="Times New Roman" w:eastAsia="Times New Roman" w:hAnsi="Times New Roman"/>
                <w:sz w:val="17"/>
                <w:szCs w:val="17"/>
                <w:color w:val="0000FF"/>
                <w:w w:val="98"/>
              </w:rPr>
              <w:t>96,442</w:t>
            </w: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2"/>
                <w:szCs w:val="22"/>
                <w:color w:val="auto"/>
              </w:rPr>
            </w:pPr>
          </w:p>
        </w:tc>
        <w:tc>
          <w:tcPr>
            <w:tcW w:w="1280" w:type="dxa"/>
            <w:vAlign w:val="bottom"/>
            <w:gridSpan w:val="3"/>
          </w:tcPr>
          <w:p>
            <w:pPr>
              <w:jc w:val="right"/>
              <w:ind w:right="242"/>
              <w:spacing w:after="0"/>
              <w:rPr>
                <w:sz w:val="20"/>
                <w:szCs w:val="20"/>
                <w:color w:val="auto"/>
              </w:rPr>
            </w:pPr>
            <w:r>
              <w:rPr>
                <w:rFonts w:ascii="Times New Roman" w:cs="Times New Roman" w:eastAsia="Times New Roman" w:hAnsi="Times New Roman"/>
                <w:sz w:val="17"/>
                <w:szCs w:val="17"/>
                <w:color w:val="0000FF"/>
              </w:rPr>
              <w:t>2,114,937</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gridSpan w:val="3"/>
            <w:vMerge w:val="restart"/>
          </w:tcPr>
          <w:p>
            <w:pPr>
              <w:jc w:val="right"/>
              <w:ind w:right="302"/>
              <w:spacing w:after="0"/>
              <w:rPr>
                <w:sz w:val="20"/>
                <w:szCs w:val="20"/>
                <w:color w:val="auto"/>
              </w:rPr>
            </w:pPr>
            <w:r>
              <w:rPr>
                <w:rFonts w:ascii="Times New Roman" w:cs="Times New Roman" w:eastAsia="Times New Roman" w:hAnsi="Times New Roman"/>
                <w:sz w:val="17"/>
                <w:szCs w:val="17"/>
                <w:color w:val="0000FF"/>
              </w:rPr>
              <w:t>701,621</w:t>
            </w:r>
          </w:p>
        </w:tc>
        <w:tc>
          <w:tcPr>
            <w:tcW w:w="280" w:type="dxa"/>
            <w:vAlign w:val="bottom"/>
          </w:tcPr>
          <w:p>
            <w:pPr>
              <w:spacing w:after="0"/>
              <w:rPr>
                <w:sz w:val="17"/>
                <w:szCs w:val="17"/>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Hook</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gridSpan w:val="5"/>
            <w:vMerge w:val="continue"/>
          </w:tcPr>
          <w:p>
            <w:pPr>
              <w:spacing w:after="0"/>
              <w:rPr>
                <w:sz w:val="9"/>
                <w:szCs w:val="9"/>
                <w:color w:val="auto"/>
              </w:rPr>
            </w:pPr>
          </w:p>
        </w:tc>
        <w:tc>
          <w:tcPr>
            <w:tcW w:w="1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3"/>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line="268" w:lineRule="exact"/>
              <w:rPr>
                <w:sz w:val="20"/>
                <w:szCs w:val="20"/>
                <w:color w:val="auto"/>
              </w:rPr>
            </w:pPr>
            <w:r>
              <w:rPr>
                <w:rFonts w:ascii="Times New Roman" w:cs="Times New Roman" w:eastAsia="Times New Roman" w:hAnsi="Times New Roman"/>
                <w:sz w:val="31"/>
                <w:szCs w:val="31"/>
                <w:color w:val="0000FF"/>
                <w:vertAlign w:val="subscript"/>
              </w:rPr>
              <w:t>LLC</w:t>
            </w:r>
            <w:r>
              <w:rPr>
                <w:rFonts w:ascii="Times New Roman" w:cs="Times New Roman" w:eastAsia="Times New Roman" w:hAnsi="Times New Roman"/>
                <w:sz w:val="10"/>
                <w:szCs w:val="10"/>
                <w:color w:val="008000"/>
              </w:rPr>
              <w:t>(1)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40" w:type="dxa"/>
            <w:vAlign w:val="bottom"/>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4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8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240" w:type="dxa"/>
            <w:vAlign w:val="bottom"/>
          </w:tcPr>
          <w:p>
            <w:pPr>
              <w:ind w:left="24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240" w:type="dxa"/>
            <w:vAlign w:val="bottom"/>
          </w:tcPr>
          <w:p>
            <w:pPr>
              <w:ind w:left="24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2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  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ind w:left="2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0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(3)(4)</w:t>
            </w:r>
          </w:p>
        </w:tc>
        <w:tc>
          <w:tcPr>
            <w:tcW w:w="700" w:type="dxa"/>
            <w:vAlign w:val="bottom"/>
            <w:vMerge w:val="restart"/>
          </w:tcPr>
          <w:p>
            <w:pPr>
              <w:ind w:left="200"/>
              <w:spacing w:after="0"/>
              <w:rPr>
                <w:sz w:val="20"/>
                <w:szCs w:val="20"/>
                <w:color w:val="auto"/>
              </w:rPr>
            </w:pPr>
            <w:r>
              <w:rPr>
                <w:rFonts w:ascii="Times New Roman" w:cs="Times New Roman" w:eastAsia="Times New Roman" w:hAnsi="Times New Roman"/>
                <w:sz w:val="11"/>
                <w:szCs w:val="11"/>
                <w:color w:val="008000"/>
              </w:rPr>
              <w:t>(3)(4)</w:t>
            </w: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96,442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2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Based Stock</w:t>
            </w:r>
          </w:p>
        </w:tc>
        <w:tc>
          <w:tcPr>
            <w:tcW w:w="5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ind w:left="240"/>
              <w:spacing w:after="0" w:line="141" w:lineRule="exact"/>
              <w:rPr>
                <w:sz w:val="20"/>
                <w:szCs w:val="20"/>
                <w:color w:val="auto"/>
              </w:rPr>
            </w:pPr>
            <w:r>
              <w:rPr>
                <w:rFonts w:ascii="Times New Roman" w:cs="Times New Roman" w:eastAsia="Times New Roman" w:hAnsi="Times New Roman"/>
                <w:sz w:val="13"/>
                <w:szCs w:val="13"/>
                <w:color w:val="0000FF"/>
              </w:rPr>
              <w:t>12/31/2024</w:t>
            </w:r>
          </w:p>
        </w:tc>
        <w:tc>
          <w:tcPr>
            <w:tcW w:w="1240" w:type="dxa"/>
            <w:vAlign w:val="bottom"/>
          </w:tcPr>
          <w:p>
            <w:pPr>
              <w:spacing w:after="0"/>
              <w:rPr>
                <w:sz w:val="12"/>
                <w:szCs w:val="12"/>
                <w:color w:val="auto"/>
              </w:rPr>
            </w:pPr>
          </w:p>
        </w:tc>
        <w:tc>
          <w:tcPr>
            <w:tcW w:w="6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ind w:left="380"/>
              <w:spacing w:after="0" w:line="141" w:lineRule="exact"/>
              <w:rPr>
                <w:sz w:val="20"/>
                <w:szCs w:val="20"/>
                <w:color w:val="auto"/>
              </w:rPr>
            </w:pPr>
            <w:r>
              <w:rPr>
                <w:rFonts w:ascii="Times New Roman" w:cs="Times New Roman" w:eastAsia="Times New Roman" w:hAnsi="Times New Roman"/>
                <w:sz w:val="13"/>
                <w:szCs w:val="13"/>
                <w:color w:val="0000FF"/>
              </w:rPr>
              <w:t>96,442</w:t>
            </w:r>
          </w:p>
        </w:tc>
        <w:tc>
          <w:tcPr>
            <w:tcW w:w="7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rPr>
              <w:t>969,664</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-1987550</wp:posOffset>
            </wp:positionV>
            <wp:extent cx="28575" cy="1992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926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4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Red Hook Capital LLC. The Reporting Person has shared voting and dispositive power over Red Hook Capital LLC through his shared control of Rosedale Partners LLC, the sole member of Red Hook. Each of the Reporting Person and Rosedale Partners LLC disclaims beneficial ownership of the securities held by Red Hook Capital LLC, except to the extent of their respective pecuniary interest therein.</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performance-based restricted stock unit ("PSU") represents a contingent right to receive one share of Class A common stock.</w:t>
      </w:r>
    </w:p>
    <w:p>
      <w:pPr>
        <w:spacing w:after="0" w:line="41" w:lineRule="exact"/>
        <w:rPr>
          <w:rFonts w:ascii="Times New Roman" w:cs="Times New Roman" w:eastAsia="Times New Roman" w:hAnsi="Times New Roman"/>
          <w:sz w:val="13"/>
          <w:szCs w:val="13"/>
          <w:color w:val="008000"/>
        </w:rPr>
      </w:pPr>
    </w:p>
    <w:p>
      <w:pPr>
        <w:ind w:left="40" w:right="38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PSUs granted on August 31, 2021 vest based on the achievement of (i) service-based vesting conditions that are satisfied in two equal installments on the third and fifth anniversaries of the grant date, subject to a 50% holdback after the first vesting date, and (ii) performance-based vesting conditions that are satisfied upon the achievement, as measured on the last calendar day of each month, of closing stock prices equal to $15, $20, $25 and $30 (subject to linear interpolation) for 20 out of any 30 consecutive trading days, in each case prior to the fifth anniversary of the grant date.</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PSUs vested on December 31, 2024, upon the achievement of certain service-based and performance-based vesting conditions.</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Mark Polemeni, as Attorney- </w:t>
      </w:r>
      <w:r>
        <w:rPr>
          <w:rFonts w:ascii="Times New Roman" w:cs="Times New Roman" w:eastAsia="Times New Roman" w:hAnsi="Times New Roman"/>
          <w:sz w:val="33"/>
          <w:szCs w:val="33"/>
          <w:color w:val="0000FF"/>
          <w:vertAlign w:val="subscript"/>
        </w:rPr>
        <w:t>01/03/2025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-21590</wp:posOffset>
            </wp:positionV>
            <wp:extent cx="2978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78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794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16779" TargetMode="External"/><Relationship Id="rId14"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2025-01-03T15:46:32Z</dcterms:created>
  <dcterms:modified xsi:type="dcterms:W3CDTF">2025-01-03T15:46:32Z</dcterms:modified>
</cp:coreProperties>
</file>