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994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OLLILA JORMA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767 FIFTH AVENUE</w:t>
            </w:r>
          </w:p>
        </w:tc>
        <w:tc>
          <w:tcPr>
            <w:tcW w:w="16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10153</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Perella Weinberg Partners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PWP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05/24/2023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05/24/2023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11,195</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jc w:val="center"/>
              <w:ind w:right="239"/>
              <w:spacing w:after="0"/>
              <w:rPr>
                <w:sz w:val="20"/>
                <w:szCs w:val="20"/>
                <w:color w:val="auto"/>
              </w:rPr>
            </w:pPr>
            <w:r>
              <w:rPr>
                <w:rFonts w:ascii="Arial" w:cs="Arial" w:eastAsia="Arial" w:hAnsi="Arial"/>
                <w:sz w:val="18"/>
                <w:szCs w:val="18"/>
                <w:color w:val="0000FF"/>
              </w:rPr>
              <w:t>31,997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05/24/2023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4,036</w:t>
            </w:r>
            <w:r>
              <w:rPr>
                <w:rFonts w:ascii="Arial" w:cs="Arial" w:eastAsia="Arial" w:hAnsi="Arial"/>
                <w:sz w:val="22"/>
                <w:szCs w:val="22"/>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27,961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11,195 unvested shares subject to awards of restricted stock units, which vest on the date of Perella Weinberg Partners' next general annual stockholder meeting following the grant date, subject to continued board service through such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adjustment to the total number of shares previously reported by the reporting person after a reconciliation of such person's ownership records.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deemed disposition of shares of Class A common stock to Perella Weinberg Partners to satisfy tax withholding obligations in connection with the vesting of restricted stock units.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Mark Polemeni, as</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05/26/2023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340" w:type="dxa"/>
            <w:vAlign w:val="bottom"/>
            <w:vMerge w:val="restart"/>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894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2023-05-26T18:00:24Z</dcterms:created>
  <dcterms:modified xsi:type="dcterms:W3CDTF">2023-05-26T18:00:24Z</dcterms:modified>
</cp:coreProperties>
</file>