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Sherburne Jane Cecile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08/31/2021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3,580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08/31/2021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5,490</w:t>
            </w:r>
            <w:r>
              <w:rPr>
                <w:rFonts w:ascii="Arial" w:cs="Arial" w:eastAsia="Arial" w:hAnsi="Arial"/>
                <w:sz w:val="22"/>
                <w:szCs w:val="22"/>
                <w:color w:val="008000"/>
                <w:w w:val="89"/>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9,070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3,580 unvested shares subject to awards of director restricted stock units ("RSUs"), which vest in three equal installments on the 12, 24 and 36 month anniversaries of the grant date, subject to continued board service through each vesting date. Each RSU represents a contingent right to receive one share of Class A common stock.</w:t>
      </w:r>
    </w:p>
    <w:p>
      <w:pPr>
        <w:spacing w:after="0" w:line="15" w:lineRule="exact"/>
        <w:rPr>
          <w:rFonts w:ascii="Arial" w:cs="Arial" w:eastAsia="Arial" w:hAnsi="Arial"/>
          <w:sz w:val="13"/>
          <w:szCs w:val="13"/>
          <w:color w:val="008000"/>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5,490 unvested shares subject to awards of RSUs, which vest on the date of Perella Weinberg Partners' next general annual stockholder meeting following the grant date, subject to continued board service through such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878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2021-09-01T15:39:08Z</dcterms:created>
  <dcterms:modified xsi:type="dcterms:W3CDTF">2021-09-01T15:39:08Z</dcterms:modified>
</cp:coreProperties>
</file>