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The Registrant has requested confidential treatment of this correspondence letter pursuant to Rule 83 of</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the Securities and Exchange Commission. 17 C.F.R. § 200.83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5483860</wp:posOffset>
            </wp:positionH>
            <wp:positionV relativeFrom="paragraph">
              <wp:posOffset>160020</wp:posOffset>
            </wp:positionV>
            <wp:extent cx="1508760" cy="248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8760" cy="2482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May 24, 2021</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Sean M. Donahue</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Partner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+1.202.739.5658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sean.donahue@morganlewis.com</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Morgan, Lewis &amp; Bockius LLP</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1111 Pennsylvania Avenue,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20004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Tel. +1.202.739.3000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Fax: +1.202.739.3001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www.morganlewis.com</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AS CORRESPONDENCE</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Eric Envall, Esq.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Attorney-Adviser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980"/>
        <w:spacing w:after="0"/>
        <w:tabs>
          <w:tab w:leader="none" w:pos="1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FinTech Acquisition Corp. IV</w:t>
      </w:r>
    </w:p>
    <w:p>
      <w:pPr>
        <w:spacing w:after="0" w:line="27"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Amendment No. 3 to</w:t>
      </w:r>
    </w:p>
    <w:p>
      <w:pPr>
        <w:spacing w:after="0" w:line="9"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Preliminary Proxy Statement on Schedule 14A</w:t>
      </w:r>
    </w:p>
    <w:p>
      <w:pPr>
        <w:spacing w:after="0" w:line="9"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Filed May 24, 2021</w:t>
      </w:r>
    </w:p>
    <w:p>
      <w:pPr>
        <w:spacing w:after="0" w:line="9"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File No. 001-39558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Envall:</w:t>
      </w:r>
    </w:p>
    <w:p>
      <w:pPr>
        <w:spacing w:after="0" w:line="225" w:lineRule="exact"/>
        <w:rPr>
          <w:sz w:val="24"/>
          <w:szCs w:val="24"/>
          <w:color w:val="auto"/>
        </w:rPr>
      </w:pPr>
    </w:p>
    <w:p>
      <w:pPr>
        <w:jc w:val="both"/>
        <w:ind w:firstLine="991"/>
        <w:spacing w:after="0" w:line="263" w:lineRule="auto"/>
        <w:rPr>
          <w:sz w:val="20"/>
          <w:szCs w:val="20"/>
          <w:color w:val="auto"/>
        </w:rPr>
      </w:pPr>
      <w:r>
        <w:rPr>
          <w:rFonts w:ascii="Arial" w:cs="Arial" w:eastAsia="Arial" w:hAnsi="Arial"/>
          <w:sz w:val="18"/>
          <w:szCs w:val="18"/>
          <w:color w:val="auto"/>
        </w:rPr>
        <w:t>On behalf of FinTech Acquisition Corp. IV,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conjunction with the filing of Amendment No. 3 to the Preliminary Proxy Statement, and based on discussions between Gary Barancik, Chief Financial Officer of Perella Weinberg Partners, and Mark Brunhofer, we are providing the supplemental information set forth in Annex A hereto.</w:t>
      </w:r>
    </w:p>
    <w:p>
      <w:pPr>
        <w:spacing w:after="0" w:line="288" w:lineRule="exact"/>
        <w:rPr>
          <w:sz w:val="24"/>
          <w:szCs w:val="24"/>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Confidential Treatment Request</w:t>
      </w:r>
    </w:p>
    <w:p>
      <w:pPr>
        <w:spacing w:after="0" w:line="121" w:lineRule="exact"/>
        <w:rPr>
          <w:sz w:val="24"/>
          <w:szCs w:val="24"/>
          <w:color w:val="auto"/>
        </w:rPr>
      </w:pPr>
    </w:p>
    <w:p>
      <w:pPr>
        <w:ind w:right="120" w:firstLine="991"/>
        <w:spacing w:after="0" w:line="342" w:lineRule="auto"/>
        <w:rPr>
          <w:sz w:val="20"/>
          <w:szCs w:val="20"/>
          <w:color w:val="auto"/>
        </w:rPr>
      </w:pPr>
      <w:r>
        <w:rPr>
          <w:rFonts w:ascii="Arial" w:cs="Arial" w:eastAsia="Arial" w:hAnsi="Arial"/>
          <w:sz w:val="16"/>
          <w:szCs w:val="16"/>
          <w:color w:val="auto"/>
        </w:rPr>
        <w:t>Because of the commercially sensitive nature of information contained herein, this letter is accompanied by a request for confidential treatment for selected portions of this letter that have been omitted and, where applicable, have been marked with asterisks to denote where omissions</w:t>
      </w:r>
    </w:p>
    <w:p>
      <w:pPr>
        <w:sectPr>
          <w:pgSz w:w="11900" w:h="16838" w:orient="portrait"/>
          <w:cols w:equalWidth="0" w:num="1">
            <w:col w:w="10900"/>
          </w:cols>
          <w:pgMar w:left="440" w:top="229" w:right="559" w:bottom="1440" w:gutter="0" w:footer="0" w:header="0"/>
        </w:sectPr>
      </w:pPr>
    </w:p>
    <w:bookmarkStart w:id="1" w:name="page2"/>
    <w:bookmarkEnd w:id="1"/>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Registrant has requested confidential treatment of this correspondence letter pursuant to Rule 83 of</w:t>
      </w:r>
    </w:p>
    <w:p>
      <w:pPr>
        <w:spacing w:after="0" w:line="27"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the Securities and Exchange Commission. 17 C.F.R. § 200.83</w:t>
      </w:r>
    </w:p>
    <w:p>
      <w:pPr>
        <w:spacing w:after="0" w:line="143" w:lineRule="exact"/>
        <w:rPr>
          <w:sz w:val="20"/>
          <w:szCs w:val="20"/>
          <w:color w:val="auto"/>
        </w:rPr>
      </w:pPr>
    </w:p>
    <w:p>
      <w:pPr>
        <w:ind w:left="4"/>
        <w:spacing w:after="0" w:line="308" w:lineRule="auto"/>
        <w:rPr>
          <w:sz w:val="20"/>
          <w:szCs w:val="20"/>
          <w:color w:val="auto"/>
        </w:rPr>
      </w:pPr>
      <w:r>
        <w:rPr>
          <w:rFonts w:ascii="Arial" w:cs="Arial" w:eastAsia="Arial" w:hAnsi="Arial"/>
          <w:sz w:val="17"/>
          <w:szCs w:val="17"/>
          <w:color w:val="auto"/>
        </w:rPr>
        <w:t>have been made. The Company has filed a separate letter with the Office of Freedom of Information and Privacy Act Operations in connection with the confidential treatment request, pursuant to Rule 83 of the Commission’s Rules on Information and Requests, 17 C.F.R. § 200.83.</w:t>
      </w:r>
    </w:p>
    <w:p>
      <w:pPr>
        <w:spacing w:after="0" w:line="146" w:lineRule="exact"/>
        <w:rPr>
          <w:sz w:val="20"/>
          <w:szCs w:val="20"/>
          <w:color w:val="auto"/>
        </w:rPr>
      </w:pPr>
    </w:p>
    <w:p>
      <w:pPr>
        <w:ind w:left="4" w:right="400" w:firstLine="991"/>
        <w:spacing w:after="0" w:line="277" w:lineRule="auto"/>
        <w:rPr>
          <w:sz w:val="20"/>
          <w:szCs w:val="20"/>
          <w:color w:val="auto"/>
        </w:rPr>
      </w:pPr>
      <w:r>
        <w:rPr>
          <w:rFonts w:ascii="Arial" w:cs="Arial" w:eastAsia="Arial" w:hAnsi="Arial"/>
          <w:sz w:val="18"/>
          <w:szCs w:val="18"/>
          <w:color w:val="auto"/>
        </w:rPr>
        <w:t>If the Staff of the SEC has any questions or comments regarding the foregoing, please contact the undersigned, Sean M. Donahue of Morgan, Lewis &amp; Bockius LLP by telephone at (202) 739-5658 or via email at sean.donahue@morganlewis.com.</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Sean M. Donahue</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Sean M. Donahue</w:t>
      </w:r>
    </w:p>
    <w:p>
      <w:pPr>
        <w:spacing w:after="0" w:line="252" w:lineRule="exact"/>
        <w:rPr>
          <w:sz w:val="20"/>
          <w:szCs w:val="20"/>
          <w:color w:val="auto"/>
        </w:rPr>
      </w:pPr>
    </w:p>
    <w:p>
      <w:pPr>
        <w:ind w:left="424" w:right="8600" w:hanging="424"/>
        <w:spacing w:after="0" w:line="279"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Amanda Abrams, Esq. Jeffrey A. Letalien, Esq. Michael J. Schwartz, Esq. Gary Barancik</w:t>
      </w:r>
    </w:p>
    <w:p>
      <w:pPr>
        <w:sectPr>
          <w:pgSz w:w="11900" w:h="16838" w:orient="portrait"/>
          <w:cols w:equalWidth="0" w:num="1">
            <w:col w:w="10904"/>
          </w:cols>
          <w:pgMar w:left="436" w:top="270" w:right="559" w:bottom="1440" w:gutter="0" w:footer="0" w:header="0"/>
        </w:sectPr>
      </w:pPr>
    </w:p>
    <w:bookmarkStart w:id="2" w:name="page3"/>
    <w:bookmarkEnd w:id="2"/>
    <w:p>
      <w:pPr>
        <w:jc w:val="center"/>
        <w:ind w:right="10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Registrant has requested confidential treatment of this correspondence letter pursuant to Rule 83 of</w:t>
      </w:r>
    </w:p>
    <w:p>
      <w:pPr>
        <w:spacing w:after="0" w:line="50"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the Securities and Exchange Commission. 17 C.F.R. § 200.83</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t>
      </w:r>
    </w:p>
    <w:sectPr>
      <w:pgSz w:w="11900" w:h="16838" w:orient="portrait"/>
      <w:cols w:equalWidth="0" w:num="1">
        <w:col w:w="10020"/>
      </w:cols>
      <w:pgMar w:left="1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2021-06-24T23:06:56Z</dcterms:created>
  <dcterms:modified xsi:type="dcterms:W3CDTF">2021-06-24T23:06:56Z</dcterms:modified>
</cp:coreProperties>
</file>