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Sherburne Jane Cecile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767 FIFTH AVENUE</w:t>
            </w:r>
          </w:p>
        </w:tc>
        <w:tc>
          <w:tcPr>
            <w:tcW w:w="16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10153</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Perella Weinberg Partners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PWP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05/24/2023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05/24/2023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11,195</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34,124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11,195 unvested shares subject to awards of restricted stock units, which vest on the date of Perella Weinberg Partners' next general annual stockholder meeting following the grant date, subject to continued board service through such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Mark Polemeni, as</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05/26/2023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340" w:type="dxa"/>
            <w:vAlign w:val="bottom"/>
            <w:vMerge w:val="restart"/>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878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2023-05-26T18:00:31Z</dcterms:created>
  <dcterms:modified xsi:type="dcterms:W3CDTF">2023-05-26T18:00:31Z</dcterms:modified>
</cp:coreProperties>
</file>