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9120"/>
        <w:spacing w:after="0" w:line="254"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8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56"/>
        <w:spacing w:after="0" w:line="249" w:lineRule="auto"/>
        <w:tabs>
          <w:tab w:leader="none" w:pos="91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Schedule 13G and any amendment thereto filed with the Securities and Exchange Commission with respect to the shares of Class A Common Stock held by the Reporting Persons (as defined in Item 2(a) hereof) prior to the date hereof was filed by Adage Capital Partners GP, L.L.C. (CIK 0001165408), which is no longer a Reporting Person with respect to the shares of Class A Common Stock held by the Reporting Persons.</w:t>
      </w:r>
    </w:p>
    <w:p>
      <w:pPr>
        <w:spacing w:after="0" w:line="153"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3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Adage Capital Management,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1,037,615</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1,037,615</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1,037,615</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1.90%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5"/>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1,037,615</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1,037,615</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1,037,615</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1.90%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8"/>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9"/>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0"/>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1,037,615</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1,037,615</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w w:val="97"/>
              </w:rPr>
              <w:t>1,037,615</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1.90%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1"/>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8 Pages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980" w:type="dxa"/>
            <w:vAlign w:val="bottom"/>
            <w:gridSpan w:val="21"/>
          </w:tcPr>
          <w:p>
            <w:pPr>
              <w:ind w:left="440"/>
              <w:spacing w:after="0" w:line="212" w:lineRule="exact"/>
              <w:rPr>
                <w:sz w:val="20"/>
                <w:szCs w:val="20"/>
                <w:color w:val="auto"/>
              </w:rPr>
            </w:pPr>
            <w:r>
              <w:rPr>
                <w:rFonts w:ascii="Times New Roman" w:cs="Times New Roman" w:eastAsia="Times New Roman" w:hAnsi="Times New Roman"/>
                <w:sz w:val="20"/>
                <w:szCs w:val="20"/>
                <w:color w:val="auto"/>
              </w:rPr>
              <w:t>The name of the issuer is Perella Weinberg Partners (the “Company”).</w:t>
            </w:r>
          </w:p>
        </w:tc>
      </w:tr>
      <w:tr>
        <w:trPr>
          <w:trHeight w:val="20"/>
        </w:trPr>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58"/>
        </w:trPr>
        <w:tc>
          <w:tcPr>
            <w:tcW w:w="1260" w:type="dxa"/>
            <w:vAlign w:val="bottom"/>
          </w:tcPr>
          <w:p>
            <w:pPr>
              <w:spacing w:after="0"/>
              <w:rPr>
                <w:sz w:val="22"/>
                <w:szCs w:val="22"/>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767 Fifth Avenue, New York, NY 10153.</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58"/>
        </w:trPr>
        <w:tc>
          <w:tcPr>
            <w:tcW w:w="1260" w:type="dxa"/>
            <w:vAlign w:val="bottom"/>
          </w:tcPr>
          <w:p>
            <w:pPr>
              <w:spacing w:after="0"/>
              <w:rPr>
                <w:sz w:val="22"/>
                <w:szCs w:val="22"/>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9000" w:type="dxa"/>
            <w:vAlign w:val="bottom"/>
            <w:gridSpan w:val="20"/>
          </w:tcPr>
          <w:p>
            <w:pPr>
              <w:ind w:left="260"/>
              <w:spacing w:after="0"/>
              <w:rPr>
                <w:sz w:val="20"/>
                <w:szCs w:val="20"/>
                <w:color w:val="auto"/>
              </w:rPr>
            </w:pPr>
            <w:r>
              <w:rPr>
                <w:rFonts w:ascii="Times New Roman" w:cs="Times New Roman" w:eastAsia="Times New Roman" w:hAnsi="Times New Roman"/>
                <w:sz w:val="20"/>
                <w:szCs w:val="20"/>
                <w:color w:val="auto"/>
              </w:rPr>
              <w:t>Adage Capital Management, L.P., a Delaware limited partnership (“ACM”), as the investment manager of</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0" w:type="dxa"/>
            <w:vAlign w:val="bottom"/>
            <w:gridSpan w:val="20"/>
          </w:tcPr>
          <w:p>
            <w:pPr>
              <w:ind w:left="260"/>
              <w:spacing w:after="0" w:line="209" w:lineRule="exact"/>
              <w:rPr>
                <w:sz w:val="20"/>
                <w:szCs w:val="20"/>
                <w:color w:val="auto"/>
              </w:rPr>
            </w:pPr>
            <w:r>
              <w:rPr>
                <w:rFonts w:ascii="Times New Roman" w:cs="Times New Roman" w:eastAsia="Times New Roman" w:hAnsi="Times New Roman"/>
                <w:sz w:val="20"/>
                <w:szCs w:val="20"/>
                <w:color w:val="auto"/>
              </w:rPr>
              <w:t>Adage Capital Partners, L.P., a Delaware limited partnership (“ACP”), with respect to the shares of Class A</w:t>
            </w:r>
          </w:p>
        </w:tc>
      </w:tr>
      <w:tr>
        <w:trPr>
          <w:trHeight w:val="256"/>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320" w:type="dxa"/>
            <w:vAlign w:val="bottom"/>
            <w:gridSpan w:val="11"/>
          </w:tcPr>
          <w:p>
            <w:pPr>
              <w:ind w:left="260"/>
              <w:spacing w:after="0"/>
              <w:rPr>
                <w:sz w:val="20"/>
                <w:szCs w:val="20"/>
                <w:color w:val="auto"/>
              </w:rPr>
            </w:pPr>
            <w:r>
              <w:rPr>
                <w:rFonts w:ascii="Times New Roman" w:cs="Times New Roman" w:eastAsia="Times New Roman" w:hAnsi="Times New Roman"/>
                <w:sz w:val="20"/>
                <w:szCs w:val="20"/>
                <w:color w:val="auto"/>
              </w:rPr>
              <w:t>Common Stock directly held by ACP;</w:t>
            </w:r>
          </w:p>
        </w:tc>
        <w:tc>
          <w:tcPr>
            <w:tcW w:w="380" w:type="dxa"/>
            <w:vAlign w:val="bottom"/>
            <w:tcBorders>
              <w:top w:val="single" w:sz="8" w:color="auto"/>
            </w:tcBorders>
          </w:tcPr>
          <w:p>
            <w:pPr>
              <w:spacing w:after="0"/>
              <w:rPr>
                <w:sz w:val="22"/>
                <w:szCs w:val="22"/>
                <w:color w:val="auto"/>
              </w:rPr>
            </w:pPr>
          </w:p>
        </w:tc>
        <w:tc>
          <w:tcPr>
            <w:tcW w:w="3300" w:type="dxa"/>
            <w:vAlign w:val="bottom"/>
            <w:gridSpan w:val="8"/>
          </w:tcPr>
          <w:p>
            <w:pPr>
              <w:spacing w:after="0"/>
              <w:rPr>
                <w:sz w:val="22"/>
                <w:szCs w:val="22"/>
                <w:color w:val="auto"/>
              </w:rPr>
            </w:pPr>
          </w:p>
        </w:tc>
      </w:tr>
      <w:tr>
        <w:trPr>
          <w:trHeight w:val="41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9000" w:type="dxa"/>
            <w:vAlign w:val="bottom"/>
            <w:gridSpan w:val="20"/>
          </w:tcPr>
          <w:p>
            <w:pPr>
              <w:ind w:left="260"/>
              <w:spacing w:after="0"/>
              <w:rPr>
                <w:sz w:val="20"/>
                <w:szCs w:val="20"/>
                <w:color w:val="auto"/>
              </w:rPr>
            </w:pPr>
            <w:r>
              <w:rPr>
                <w:rFonts w:ascii="Times New Roman" w:cs="Times New Roman" w:eastAsia="Times New Roman" w:hAnsi="Times New Roman"/>
                <w:sz w:val="20"/>
                <w:szCs w:val="20"/>
                <w:color w:val="auto"/>
              </w:rPr>
              <w:t>Robert Atchinson (“Mr. Atchinson”), as (1) managing member of Adage Capital Advisors, L.L.C., a limited</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0" w:type="dxa"/>
            <w:vAlign w:val="bottom"/>
            <w:gridSpan w:val="20"/>
          </w:tcPr>
          <w:p>
            <w:pPr>
              <w:ind w:left="260"/>
              <w:spacing w:after="0" w:line="209" w:lineRule="exact"/>
              <w:rPr>
                <w:sz w:val="20"/>
                <w:szCs w:val="20"/>
                <w:color w:val="auto"/>
              </w:rPr>
            </w:pPr>
            <w:r>
              <w:rPr>
                <w:rFonts w:ascii="Times New Roman" w:cs="Times New Roman" w:eastAsia="Times New Roman" w:hAnsi="Times New Roman"/>
                <w:sz w:val="20"/>
                <w:szCs w:val="20"/>
                <w:color w:val="auto"/>
              </w:rPr>
              <w:t>liability company organized under the laws of the State of Delaware (“ACA”), managing member of Adage</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0" w:type="dxa"/>
            <w:vAlign w:val="bottom"/>
            <w:gridSpan w:val="20"/>
          </w:tcPr>
          <w:p>
            <w:pPr>
              <w:ind w:left="260"/>
              <w:spacing w:after="0" w:line="228" w:lineRule="exact"/>
              <w:rPr>
                <w:sz w:val="20"/>
                <w:szCs w:val="20"/>
                <w:color w:val="auto"/>
              </w:rPr>
            </w:pPr>
            <w:r>
              <w:rPr>
                <w:rFonts w:ascii="Times New Roman" w:cs="Times New Roman" w:eastAsia="Times New Roman" w:hAnsi="Times New Roman"/>
                <w:sz w:val="20"/>
                <w:szCs w:val="20"/>
                <w:color w:val="auto"/>
              </w:rPr>
              <w:t>Capital Partners GP, L.L.C., a limited liability company organized under the laws of the State of Delaware</w:t>
            </w:r>
          </w:p>
        </w:tc>
      </w:tr>
      <w:tr>
        <w:trPr>
          <w:trHeight w:val="212"/>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0" w:type="dxa"/>
            <w:vAlign w:val="bottom"/>
            <w:gridSpan w:val="20"/>
          </w:tcPr>
          <w:p>
            <w:pPr>
              <w:ind w:left="260"/>
              <w:spacing w:after="0" w:line="212" w:lineRule="exact"/>
              <w:rPr>
                <w:sz w:val="20"/>
                <w:szCs w:val="20"/>
                <w:color w:val="auto"/>
              </w:rPr>
            </w:pPr>
            <w:r>
              <w:rPr>
                <w:rFonts w:ascii="Times New Roman" w:cs="Times New Roman" w:eastAsia="Times New Roman" w:hAnsi="Times New Roman"/>
                <w:sz w:val="20"/>
                <w:szCs w:val="20"/>
                <w:color w:val="auto"/>
              </w:rPr>
              <w:t>(“ACPGP”), general partner of ACP and (2) managing member of Adage Capital Partners LLC, a Delaware</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0" w:type="dxa"/>
            <w:vAlign w:val="bottom"/>
            <w:gridSpan w:val="20"/>
          </w:tcPr>
          <w:p>
            <w:pPr>
              <w:ind w:left="260"/>
              <w:spacing w:after="0" w:line="209" w:lineRule="exact"/>
              <w:rPr>
                <w:sz w:val="20"/>
                <w:szCs w:val="20"/>
                <w:color w:val="auto"/>
              </w:rPr>
            </w:pPr>
            <w:r>
              <w:rPr>
                <w:rFonts w:ascii="Times New Roman" w:cs="Times New Roman" w:eastAsia="Times New Roman" w:hAnsi="Times New Roman"/>
                <w:sz w:val="20"/>
                <w:szCs w:val="20"/>
                <w:color w:val="auto"/>
                <w:w w:val="97"/>
              </w:rPr>
              <w:t>limited liability company (“ACPLLC”), general partner of ACM, with respect to the shares of Class A Common</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0" w:type="dxa"/>
            <w:vAlign w:val="bottom"/>
            <w:gridSpan w:val="20"/>
          </w:tcPr>
          <w:p>
            <w:pPr>
              <w:ind w:left="260"/>
              <w:spacing w:after="0"/>
              <w:rPr>
                <w:sz w:val="20"/>
                <w:szCs w:val="20"/>
                <w:color w:val="auto"/>
              </w:rPr>
            </w:pPr>
            <w:r>
              <w:rPr>
                <w:rFonts w:ascii="Times New Roman" w:cs="Times New Roman" w:eastAsia="Times New Roman" w:hAnsi="Times New Roman"/>
                <w:sz w:val="20"/>
                <w:szCs w:val="20"/>
                <w:color w:val="auto"/>
              </w:rPr>
              <w:t>Stock directly held by ACP; and</w:t>
            </w:r>
          </w:p>
        </w:tc>
      </w:tr>
      <w:tr>
        <w:trPr>
          <w:trHeight w:val="41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(iii)</w:t>
            </w:r>
          </w:p>
        </w:tc>
        <w:tc>
          <w:tcPr>
            <w:tcW w:w="9000" w:type="dxa"/>
            <w:vAlign w:val="bottom"/>
            <w:gridSpan w:val="20"/>
          </w:tcPr>
          <w:p>
            <w:pPr>
              <w:ind w:left="260"/>
              <w:spacing w:after="0"/>
              <w:rPr>
                <w:sz w:val="20"/>
                <w:szCs w:val="20"/>
                <w:color w:val="auto"/>
              </w:rPr>
            </w:pPr>
            <w:r>
              <w:rPr>
                <w:rFonts w:ascii="Times New Roman" w:cs="Times New Roman" w:eastAsia="Times New Roman" w:hAnsi="Times New Roman"/>
                <w:sz w:val="20"/>
                <w:szCs w:val="20"/>
                <w:color w:val="auto"/>
                <w:w w:val="97"/>
              </w:rPr>
              <w:t>Phillip Gross (“Mr. Gross”), as (1) managing member of ACA, managing member of ACPGP and (2) managing</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0" w:type="dxa"/>
            <w:vAlign w:val="bottom"/>
            <w:gridSpan w:val="20"/>
          </w:tcPr>
          <w:p>
            <w:pPr>
              <w:ind w:left="260"/>
              <w:spacing w:after="0" w:line="228" w:lineRule="exact"/>
              <w:rPr>
                <w:sz w:val="20"/>
                <w:szCs w:val="20"/>
                <w:color w:val="auto"/>
              </w:rPr>
            </w:pPr>
            <w:r>
              <w:rPr>
                <w:rFonts w:ascii="Times New Roman" w:cs="Times New Roman" w:eastAsia="Times New Roman" w:hAnsi="Times New Roman"/>
                <w:sz w:val="20"/>
                <w:szCs w:val="20"/>
                <w:color w:val="auto"/>
              </w:rPr>
              <w:t>member of ACPLLC, general partner of ACM, with respect to the shares of Class A Common Stock directly</w:t>
            </w:r>
          </w:p>
        </w:tc>
      </w:tr>
      <w:tr>
        <w:trPr>
          <w:trHeight w:val="258"/>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0" w:type="dxa"/>
            <w:vAlign w:val="bottom"/>
            <w:gridSpan w:val="20"/>
          </w:tcPr>
          <w:p>
            <w:pPr>
              <w:ind w:left="260"/>
              <w:spacing w:after="0"/>
              <w:rPr>
                <w:sz w:val="20"/>
                <w:szCs w:val="20"/>
                <w:color w:val="auto"/>
              </w:rPr>
            </w:pPr>
            <w:r>
              <w:rPr>
                <w:rFonts w:ascii="Times New Roman" w:cs="Times New Roman" w:eastAsia="Times New Roman" w:hAnsi="Times New Roman"/>
                <w:sz w:val="20"/>
                <w:szCs w:val="20"/>
                <w:color w:val="auto"/>
              </w:rPr>
              <w:t>held by ACP.</w:t>
            </w:r>
          </w:p>
        </w:tc>
      </w:tr>
      <w:tr>
        <w:trPr>
          <w:trHeight w:val="413"/>
        </w:trPr>
        <w:tc>
          <w:tcPr>
            <w:tcW w:w="1260" w:type="dxa"/>
            <w:vAlign w:val="bottom"/>
          </w:tcPr>
          <w:p>
            <w:pPr>
              <w:spacing w:after="0"/>
              <w:rPr>
                <w:sz w:val="24"/>
                <w:szCs w:val="24"/>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980" w:type="dxa"/>
            <w:vAlign w:val="bottom"/>
            <w:gridSpan w:val="21"/>
          </w:tcPr>
          <w:p>
            <w:pPr>
              <w:ind w:left="440"/>
              <w:spacing w:after="0" w:line="228" w:lineRule="exact"/>
              <w:rPr>
                <w:sz w:val="20"/>
                <w:szCs w:val="20"/>
                <w:color w:val="auto"/>
              </w:rPr>
            </w:pPr>
            <w:r>
              <w:rPr>
                <w:rFonts w:ascii="Times New Roman" w:cs="Times New Roman" w:eastAsia="Times New Roman" w:hAnsi="Times New Roman"/>
                <w:sz w:val="20"/>
                <w:szCs w:val="20"/>
                <w:color w:val="auto"/>
                <w:w w:val="98"/>
              </w:rPr>
              <w:t>herein with respect to persons other than the Reporting Persons are made on information and belief after making inquiry</w:t>
            </w:r>
          </w:p>
        </w:tc>
      </w:tr>
      <w:tr>
        <w:trPr>
          <w:trHeight w:val="258"/>
        </w:trPr>
        <w:tc>
          <w:tcPr>
            <w:tcW w:w="1260" w:type="dxa"/>
            <w:vAlign w:val="bottom"/>
          </w:tcPr>
          <w:p>
            <w:pPr>
              <w:spacing w:after="0"/>
              <w:rPr>
                <w:sz w:val="22"/>
                <w:szCs w:val="22"/>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to the appropriate party.</w:t>
            </w:r>
          </w:p>
        </w:tc>
      </w:tr>
      <w:tr>
        <w:trPr>
          <w:trHeight w:val="430"/>
        </w:trPr>
        <w:tc>
          <w:tcPr>
            <w:tcW w:w="1260" w:type="dxa"/>
            <w:vAlign w:val="bottom"/>
          </w:tcPr>
          <w:p>
            <w:pPr>
              <w:spacing w:after="0"/>
              <w:rPr>
                <w:sz w:val="24"/>
                <w:szCs w:val="24"/>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w:t>
            </w:r>
          </w:p>
        </w:tc>
      </w:tr>
      <w:tr>
        <w:trPr>
          <w:trHeight w:val="258"/>
        </w:trPr>
        <w:tc>
          <w:tcPr>
            <w:tcW w:w="1260" w:type="dxa"/>
            <w:vAlign w:val="bottom"/>
          </w:tcPr>
          <w:p>
            <w:pPr>
              <w:spacing w:after="0"/>
              <w:rPr>
                <w:sz w:val="22"/>
                <w:szCs w:val="22"/>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beneficial ownership of the securities reported herein.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229"/>
        </w:trPr>
        <w:tc>
          <w:tcPr>
            <w:tcW w:w="1260" w:type="dxa"/>
            <w:vAlign w:val="bottom"/>
          </w:tcPr>
          <w:p>
            <w:pPr>
              <w:spacing w:after="0"/>
              <w:rPr>
                <w:sz w:val="19"/>
                <w:szCs w:val="19"/>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w:t>
            </w:r>
          </w:p>
        </w:tc>
      </w:tr>
      <w:tr>
        <w:trPr>
          <w:trHeight w:val="258"/>
        </w:trPr>
        <w:tc>
          <w:tcPr>
            <w:tcW w:w="1260" w:type="dxa"/>
            <w:vAlign w:val="bottom"/>
          </w:tcPr>
          <w:p>
            <w:pPr>
              <w:spacing w:after="0"/>
              <w:rPr>
                <w:sz w:val="22"/>
                <w:szCs w:val="22"/>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Massachusetts 02116.</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229"/>
        </w:trPr>
        <w:tc>
          <w:tcPr>
            <w:tcW w:w="1260" w:type="dxa"/>
            <w:vAlign w:val="bottom"/>
          </w:tcPr>
          <w:p>
            <w:pPr>
              <w:spacing w:after="0"/>
              <w:rPr>
                <w:sz w:val="19"/>
                <w:szCs w:val="19"/>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ACM is a limited partnership organized under the laws of the State of Delaware.  Messrs. Gross and Atchinson are</w:t>
            </w:r>
          </w:p>
        </w:tc>
      </w:tr>
      <w:tr>
        <w:trPr>
          <w:trHeight w:val="258"/>
        </w:trPr>
        <w:tc>
          <w:tcPr>
            <w:tcW w:w="1260" w:type="dxa"/>
            <w:vAlign w:val="bottom"/>
          </w:tcPr>
          <w:p>
            <w:pPr>
              <w:spacing w:after="0"/>
              <w:rPr>
                <w:sz w:val="22"/>
                <w:szCs w:val="22"/>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citizens of the United States.</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980" w:type="dxa"/>
            <w:vAlign w:val="bottom"/>
            <w:gridSpan w:val="21"/>
          </w:tcPr>
          <w:p>
            <w:pPr>
              <w:ind w:left="440"/>
              <w:spacing w:after="0" w:line="212" w:lineRule="exact"/>
              <w:rPr>
                <w:sz w:val="20"/>
                <w:szCs w:val="20"/>
                <w:color w:val="auto"/>
              </w:rPr>
            </w:pPr>
            <w:r>
              <w:rPr>
                <w:rFonts w:ascii="Times New Roman" w:cs="Times New Roman" w:eastAsia="Times New Roman" w:hAnsi="Times New Roman"/>
                <w:sz w:val="20"/>
                <w:szCs w:val="20"/>
                <w:color w:val="auto"/>
              </w:rPr>
              <w:t>Class A Common Stock, par value $0.0001 per share (the “Class A Common Stock”).</w:t>
            </w: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5040" w:type="dxa"/>
            <w:vAlign w:val="bottom"/>
            <w:gridSpan w:val="10"/>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900" w:type="dxa"/>
            <w:vAlign w:val="bottom"/>
            <w:tcBorders>
              <w:top w:val="single" w:sz="8" w:color="auto"/>
            </w:tcBorders>
            <w:gridSpan w:val="5"/>
          </w:tcPr>
          <w:p>
            <w:pPr>
              <w:spacing w:after="0"/>
              <w:rPr>
                <w:sz w:val="24"/>
                <w:szCs w:val="24"/>
                <w:color w:val="auto"/>
              </w:rPr>
            </w:pPr>
          </w:p>
        </w:tc>
        <w:tc>
          <w:tcPr>
            <w:tcW w:w="3040" w:type="dxa"/>
            <w:vAlign w:val="bottom"/>
            <w:gridSpan w:val="6"/>
          </w:tcPr>
          <w:p>
            <w:pPr>
              <w:spacing w:after="0"/>
              <w:rPr>
                <w:sz w:val="24"/>
                <w:szCs w:val="24"/>
                <w:color w:val="auto"/>
              </w:rPr>
            </w:pPr>
          </w:p>
        </w:tc>
      </w:tr>
      <w:tr>
        <w:trPr>
          <w:trHeight w:val="258"/>
        </w:trPr>
        <w:tc>
          <w:tcPr>
            <w:tcW w:w="1260" w:type="dxa"/>
            <w:vAlign w:val="bottom"/>
          </w:tcPr>
          <w:p>
            <w:pPr>
              <w:spacing w:after="0"/>
              <w:rPr>
                <w:sz w:val="22"/>
                <w:szCs w:val="22"/>
                <w:color w:val="auto"/>
              </w:rPr>
            </w:pPr>
          </w:p>
        </w:tc>
        <w:tc>
          <w:tcPr>
            <w:tcW w:w="9980" w:type="dxa"/>
            <w:vAlign w:val="bottom"/>
            <w:gridSpan w:val="21"/>
          </w:tcPr>
          <w:p>
            <w:pPr>
              <w:ind w:left="440"/>
              <w:spacing w:after="0"/>
              <w:rPr>
                <w:sz w:val="20"/>
                <w:szCs w:val="20"/>
                <w:color w:val="auto"/>
              </w:rPr>
            </w:pPr>
            <w:r>
              <w:rPr>
                <w:rFonts w:ascii="Times New Roman" w:cs="Times New Roman" w:eastAsia="Times New Roman" w:hAnsi="Times New Roman"/>
                <w:sz w:val="20"/>
                <w:szCs w:val="20"/>
                <w:color w:val="auto"/>
              </w:rPr>
              <w:t>71367G102</w:t>
            </w: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8 Pages</w:t>
      </w:r>
    </w:p>
    <w:p>
      <w:pPr>
        <w:spacing w:after="0" w:line="200" w:lineRule="exact"/>
        <w:rPr>
          <w:sz w:val="20"/>
          <w:szCs w:val="20"/>
          <w:color w:val="auto"/>
        </w:rPr>
      </w:pPr>
    </w:p>
    <w:p>
      <w:pPr>
        <w:spacing w:after="0" w:line="372" w:lineRule="exact"/>
        <w:rPr>
          <w:sz w:val="20"/>
          <w:szCs w:val="20"/>
          <w:color w:val="auto"/>
        </w:rPr>
      </w:pPr>
    </w:p>
    <w:p>
      <w:pPr>
        <w:ind w:left="1700" w:hanging="1686"/>
        <w:spacing w:after="0" w:line="253" w:lineRule="auto"/>
        <w:tabs>
          <w:tab w:leader="none" w:pos="16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Rules 13d-1(b), OR 13d-2(b) OR (c), CHECK WHETHER THE PERSON FILING IS A:</w:t>
      </w: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Broker or dealer registered under Section 15 of the Act;</w:t>
      </w:r>
    </w:p>
    <w:p>
      <w:pPr>
        <w:spacing w:after="0" w:line="161"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Bank as defined in Section 3(a)(6) of the Act;</w:t>
      </w:r>
    </w:p>
    <w:p>
      <w:pPr>
        <w:spacing w:after="0" w:line="215"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parent holding company or control person in accordance with Rule 13d-1(b)(1)(ii)(G);</w:t>
      </w:r>
    </w:p>
    <w:p>
      <w:pPr>
        <w:spacing w:after="0" w:line="215"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040" w:right="40" w:hanging="1345"/>
        <w:spacing w:after="0" w:line="244" w:lineRule="exact"/>
        <w:tabs>
          <w:tab w:leader="none" w:pos="2365"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 church plan that is excluded from the definition of an investment company under Section 3(c)(14) of the Investment Company Act;</w:t>
      </w:r>
    </w:p>
    <w:p>
      <w:pPr>
        <w:spacing w:after="0" w:line="201"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380" w:hanging="685"/>
        <w:spacing w:after="0" w:line="230" w:lineRule="exact"/>
        <w:tabs>
          <w:tab w:leader="none" w:pos="238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Group, in accordance with Rule 13d-1(b)(1)(ii)(K).</w:t>
      </w:r>
    </w:p>
    <w:p>
      <w:pPr>
        <w:spacing w:after="0" w:line="247" w:lineRule="exact"/>
        <w:rPr>
          <w:sz w:val="20"/>
          <w:szCs w:val="20"/>
          <w:color w:val="auto"/>
        </w:rPr>
      </w:pPr>
    </w:p>
    <w:p>
      <w:pPr>
        <w:ind w:left="1700" w:right="2940"/>
        <w:spacing w:after="0" w:line="295"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 Not applicable.______________________________</w:t>
      </w:r>
    </w:p>
    <w:p>
      <w:pPr>
        <w:sectPr>
          <w:pgSz w:w="11900" w:h="16838" w:orient="portrait"/>
          <w:cols w:equalWidth="0" w:num="1">
            <w:col w:w="11240"/>
          </w:cols>
          <w:pgMar w:left="320" w:top="225" w:right="339" w:bottom="1440" w:gutter="0" w:footer="0" w:header="0"/>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OWNERSHIP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required by Items 4(a) – (c) is set forth in Rows (5) – (11) of the cover page for each Reporting Person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and is incorporated herein by reference for each such Reporting Person.</w:t>
      </w:r>
    </w:p>
    <w:p>
      <w:pPr>
        <w:spacing w:after="0" w:line="200"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spacing w:after="0" w:line="7" w:lineRule="exact"/>
        <w:rPr>
          <w:sz w:val="20"/>
          <w:szCs w:val="20"/>
          <w:color w:val="auto"/>
        </w:rPr>
      </w:pPr>
    </w:p>
    <w:p>
      <w:pPr>
        <w:jc w:val="both"/>
        <w:ind w:left="1700"/>
        <w:spacing w:after="0" w:line="245" w:lineRule="auto"/>
        <w:rPr>
          <w:sz w:val="20"/>
          <w:szCs w:val="20"/>
          <w:color w:val="auto"/>
        </w:rPr>
      </w:pPr>
      <w:r>
        <w:rPr>
          <w:rFonts w:ascii="Times New Roman" w:cs="Times New Roman" w:eastAsia="Times New Roman" w:hAnsi="Times New Roman"/>
          <w:sz w:val="20"/>
          <w:szCs w:val="20"/>
          <w:color w:val="auto"/>
        </w:rPr>
        <w:t>The percentage set forth in this Schedule 13G/A is calculated based upon 54,657,310 shares of Class A Common Stock, which is the sum of (i) 52,535,701 shares of Class A Common Stock outstanding as of July 30, 2024, as reported in the Company's Quarterly Report on Form 10-Q for the quarterly period ended June 30, 2024, filed with the Securities and Exchange Commission on August 2, 2024 and (ii) 2,121,609 shares of its Class A Common Stock issued by the Company on September 6, 2024, as disclosed in the Company’s Current Report filed with the Securities and Exchange Commission on September 10, 2024.</w:t>
      </w:r>
    </w:p>
    <w:p>
      <w:pPr>
        <w:sectPr>
          <w:pgSz w:w="11900" w:h="16838" w:orient="portrait"/>
          <w:cols w:equalWidth="0" w:num="1">
            <w:col w:w="11240"/>
          </w:cols>
          <w:pgMar w:left="320" w:top="225" w:right="3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this statement is being filed to report the fact that as of the date hereof the Reporting Persons have ceased to be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beneficial owner of more than five percent of the class of securities, check the following: T</w:t>
      </w:r>
    </w:p>
    <w:p>
      <w:pPr>
        <w:spacing w:after="0" w:line="200"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OWNERSHIP OF MORE THAN FIVE PERCENT ON BEHALF OF ANOTHER PERSON</w:t>
      </w:r>
    </w:p>
    <w:p>
      <w:pPr>
        <w:spacing w:after="0" w:line="44"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9"/>
          <w:szCs w:val="19"/>
          <w:color w:val="auto"/>
        </w:rPr>
        <w:t>See Item 2(a).</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8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IDENTIFICATION AND CLASSIFICATION OF THE SUBSIDIARY WHICH ACQUIRED THE SECURITY BEING REPORTED ON BY THE PARENT HOLDING COMPANY OR CONTROL PERSON </w:t>
      </w: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27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IDENTIFICATION AND CLASSIFICATION OF MEMBERS OF THE GROUP </w:t>
      </w:r>
      <w:r>
        <w:rPr>
          <w:rFonts w:ascii="Times New Roman" w:cs="Times New Roman" w:eastAsia="Times New Roman" w:hAnsi="Times New Roman"/>
          <w:sz w:val="20"/>
          <w:szCs w:val="20"/>
          <w:color w:val="auto"/>
        </w:rPr>
        <w:t>Not applicable.</w:t>
      </w:r>
    </w:p>
    <w:p>
      <w:pPr>
        <w:spacing w:after="0" w:line="165"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NOTICE OF DISSOLUTION OF GROUP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Each of the Reporting Persons hereby makes the following certification:</w:t>
      </w:r>
    </w:p>
    <w:p>
      <w:pPr>
        <w:spacing w:after="0" w:line="200" w:lineRule="exact"/>
        <w:rPr>
          <w:sz w:val="20"/>
          <w:szCs w:val="20"/>
          <w:color w:val="auto"/>
        </w:rPr>
      </w:pPr>
    </w:p>
    <w:p>
      <w:pPr>
        <w:sectPr>
          <w:pgSz w:w="11900" w:h="16838" w:orient="portrait"/>
          <w:cols w:equalWidth="0" w:num="2">
            <w:col w:w="980" w:space="720"/>
            <w:col w:w="9540"/>
          </w:cols>
          <w:pgMar w:left="320" w:top="225" w:right="339" w:bottom="1440" w:gutter="0" w:footer="0" w:header="0"/>
          <w:type w:val="continuous"/>
        </w:sectPr>
      </w:pPr>
    </w:p>
    <w:p>
      <w:pPr>
        <w:spacing w:after="0" w:line="19" w:lineRule="exact"/>
        <w:rPr>
          <w:sz w:val="20"/>
          <w:szCs w:val="20"/>
          <w:color w:val="auto"/>
        </w:rPr>
      </w:pPr>
    </w:p>
    <w:p>
      <w:pPr>
        <w:jc w:val="both"/>
        <w:ind w:left="170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71367G102</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12,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3"/>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2024-11-12T09:12:46Z</dcterms:created>
  <dcterms:modified xsi:type="dcterms:W3CDTF">2024-11-12T09:12:46Z</dcterms:modified>
</cp:coreProperties>
</file>