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jc w:val="center"/>
        <w:spacing w:after="0" w:line="237"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73025</wp:posOffset>
            </wp:positionV>
            <wp:extent cx="6180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108585</wp:posOffset>
            </wp:positionV>
            <wp:extent cx="6180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17, 2022</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126365</wp:posOffset>
            </wp:positionV>
            <wp:extent cx="61804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PERELLA WEINBERG PARTNERS</w:t>
      </w: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79375</wp:posOffset>
            </wp:positionV>
            <wp:extent cx="6180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tbl>
      <w:tblPr>
        <w:tblLayout w:type="fixed"/>
        <w:tblInd w:w="1020" w:type="dxa"/>
        <w:tblCellMar>
          <w:top w:w="0" w:type="dxa"/>
          <w:left w:w="0" w:type="dxa"/>
          <w:bottom w:w="0" w:type="dxa"/>
          <w:right w:w="0" w:type="dxa"/>
        </w:tblCellMar>
      </w:tblPr>
      <w:tr>
        <w:trPr>
          <w:trHeight w:val="230"/>
        </w:trPr>
        <w:tc>
          <w:tcPr>
            <w:tcW w:w="4800" w:type="dxa"/>
            <w:vAlign w:val="bottom"/>
          </w:tcPr>
          <w:p>
            <w:pPr>
              <w:jc w:val="center"/>
              <w:ind w:right="1421"/>
              <w:spacing w:after="0"/>
              <w:rPr>
                <w:sz w:val="20"/>
                <w:szCs w:val="20"/>
                <w:color w:val="auto"/>
              </w:rPr>
            </w:pPr>
            <w:r>
              <w:rPr>
                <w:rFonts w:ascii="Arial" w:cs="Arial" w:eastAsia="Arial" w:hAnsi="Arial"/>
                <w:sz w:val="18"/>
                <w:szCs w:val="18"/>
                <w:b w:val="1"/>
                <w:bCs w:val="1"/>
                <w:color w:val="auto"/>
                <w:w w:val="93"/>
              </w:rPr>
              <w:t>Delaware</w:t>
            </w:r>
          </w:p>
        </w:tc>
        <w:tc>
          <w:tcPr>
            <w:tcW w:w="3420" w:type="dxa"/>
            <w:vAlign w:val="bottom"/>
          </w:tcPr>
          <w:p>
            <w:pPr>
              <w:jc w:val="right"/>
              <w:ind w:right="444"/>
              <w:spacing w:after="0"/>
              <w:rPr>
                <w:sz w:val="20"/>
                <w:szCs w:val="20"/>
                <w:color w:val="auto"/>
              </w:rPr>
            </w:pPr>
            <w:r>
              <w:rPr>
                <w:rFonts w:ascii="Arial" w:cs="Arial" w:eastAsia="Arial" w:hAnsi="Arial"/>
                <w:sz w:val="18"/>
                <w:szCs w:val="18"/>
                <w:b w:val="1"/>
                <w:bCs w:val="1"/>
                <w:color w:val="auto"/>
              </w:rPr>
              <w:t>84-1770732</w:t>
            </w:r>
          </w:p>
        </w:tc>
        <w:tc>
          <w:tcPr>
            <w:tcW w:w="0" w:type="dxa"/>
            <w:vAlign w:val="bottom"/>
          </w:tcPr>
          <w:p>
            <w:pPr>
              <w:spacing w:after="0"/>
              <w:rPr>
                <w:sz w:val="1"/>
                <w:szCs w:val="1"/>
                <w:color w:val="auto"/>
              </w:rPr>
            </w:pPr>
          </w:p>
        </w:tc>
      </w:tr>
      <w:tr>
        <w:trPr>
          <w:trHeight w:val="178"/>
        </w:trPr>
        <w:tc>
          <w:tcPr>
            <w:tcW w:w="4800" w:type="dxa"/>
            <w:vAlign w:val="bottom"/>
          </w:tcPr>
          <w:p>
            <w:pPr>
              <w:jc w:val="center"/>
              <w:ind w:right="1441"/>
              <w:spacing w:after="0"/>
              <w:rPr>
                <w:sz w:val="20"/>
                <w:szCs w:val="20"/>
                <w:color w:val="auto"/>
              </w:rPr>
            </w:pPr>
            <w:r>
              <w:rPr>
                <w:rFonts w:ascii="Arial" w:cs="Arial" w:eastAsia="Arial" w:hAnsi="Arial"/>
                <w:sz w:val="13"/>
                <w:szCs w:val="13"/>
                <w:b w:val="1"/>
                <w:bCs w:val="1"/>
                <w:color w:val="auto"/>
                <w:w w:val="88"/>
              </w:rPr>
              <w:t>( State or other jurisdiction of incorporation or organization)</w:t>
            </w:r>
          </w:p>
        </w:tc>
        <w:tc>
          <w:tcPr>
            <w:tcW w:w="3420" w:type="dxa"/>
            <w:vAlign w:val="bottom"/>
          </w:tcPr>
          <w:p>
            <w:pPr>
              <w:jc w:val="center"/>
              <w:ind w:left="1424"/>
              <w:spacing w:after="0"/>
              <w:rPr>
                <w:sz w:val="20"/>
                <w:szCs w:val="20"/>
                <w:color w:val="auto"/>
              </w:rPr>
            </w:pPr>
            <w:r>
              <w:rPr>
                <w:rFonts w:ascii="Arial" w:cs="Arial" w:eastAsia="Arial" w:hAnsi="Arial"/>
                <w:sz w:val="13"/>
                <w:szCs w:val="13"/>
                <w:b w:val="1"/>
                <w:bCs w:val="1"/>
                <w:color w:val="auto"/>
                <w:w w:val="90"/>
              </w:rPr>
              <w:t>(I.R.S. Employer Identification No.)</w:t>
            </w:r>
          </w:p>
        </w:tc>
        <w:tc>
          <w:tcPr>
            <w:tcW w:w="0" w:type="dxa"/>
            <w:vAlign w:val="bottom"/>
          </w:tcPr>
          <w:p>
            <w:pPr>
              <w:spacing w:after="0"/>
              <w:rPr>
                <w:sz w:val="1"/>
                <w:szCs w:val="1"/>
                <w:color w:val="auto"/>
              </w:rPr>
            </w:pPr>
          </w:p>
        </w:tc>
      </w:tr>
      <w:tr>
        <w:trPr>
          <w:trHeight w:val="273"/>
        </w:trPr>
        <w:tc>
          <w:tcPr>
            <w:tcW w:w="4800" w:type="dxa"/>
            <w:vAlign w:val="bottom"/>
          </w:tcPr>
          <w:p>
            <w:pPr>
              <w:jc w:val="center"/>
              <w:ind w:right="1421"/>
              <w:spacing w:after="0"/>
              <w:rPr>
                <w:sz w:val="20"/>
                <w:szCs w:val="20"/>
                <w:color w:val="auto"/>
              </w:rPr>
            </w:pPr>
            <w:r>
              <w:rPr>
                <w:rFonts w:ascii="Arial" w:cs="Arial" w:eastAsia="Arial" w:hAnsi="Arial"/>
                <w:sz w:val="18"/>
                <w:szCs w:val="18"/>
                <w:b w:val="1"/>
                <w:bCs w:val="1"/>
                <w:color w:val="auto"/>
                <w:w w:val="90"/>
              </w:rPr>
              <w:t>767 Fifth Avenue</w:t>
            </w:r>
          </w:p>
        </w:tc>
        <w:tc>
          <w:tcPr>
            <w:tcW w:w="3420" w:type="dxa"/>
            <w:vAlign w:val="bottom"/>
            <w:vMerge w:val="restart"/>
          </w:tcPr>
          <w:p>
            <w:pPr>
              <w:jc w:val="right"/>
              <w:ind w:right="664"/>
              <w:spacing w:after="0"/>
              <w:rPr>
                <w:sz w:val="20"/>
                <w:szCs w:val="20"/>
                <w:color w:val="auto"/>
              </w:rPr>
            </w:pPr>
            <w:r>
              <w:rPr>
                <w:rFonts w:ascii="Arial" w:cs="Arial" w:eastAsia="Arial" w:hAnsi="Arial"/>
                <w:sz w:val="18"/>
                <w:szCs w:val="18"/>
                <w:b w:val="1"/>
                <w:bCs w:val="1"/>
                <w:color w:val="auto"/>
              </w:rPr>
              <w:t>10153</w:t>
            </w:r>
          </w:p>
        </w:tc>
        <w:tc>
          <w:tcPr>
            <w:tcW w:w="0" w:type="dxa"/>
            <w:vAlign w:val="bottom"/>
          </w:tcPr>
          <w:p>
            <w:pPr>
              <w:spacing w:after="0"/>
              <w:rPr>
                <w:sz w:val="1"/>
                <w:szCs w:val="1"/>
                <w:color w:val="auto"/>
              </w:rPr>
            </w:pPr>
          </w:p>
        </w:tc>
      </w:tr>
      <w:tr>
        <w:trPr>
          <w:trHeight w:val="225"/>
        </w:trPr>
        <w:tc>
          <w:tcPr>
            <w:tcW w:w="4800" w:type="dxa"/>
            <w:vAlign w:val="bottom"/>
          </w:tcPr>
          <w:p>
            <w:pPr>
              <w:jc w:val="center"/>
              <w:ind w:right="1421"/>
              <w:spacing w:after="0"/>
              <w:rPr>
                <w:sz w:val="20"/>
                <w:szCs w:val="20"/>
                <w:color w:val="auto"/>
              </w:rPr>
            </w:pPr>
            <w:r>
              <w:rPr>
                <w:rFonts w:ascii="Arial" w:cs="Arial" w:eastAsia="Arial" w:hAnsi="Arial"/>
                <w:sz w:val="18"/>
                <w:szCs w:val="18"/>
                <w:b w:val="1"/>
                <w:bCs w:val="1"/>
                <w:color w:val="auto"/>
                <w:w w:val="93"/>
              </w:rPr>
              <w:t>New York, NY</w:t>
            </w:r>
          </w:p>
        </w:tc>
        <w:tc>
          <w:tcPr>
            <w:tcW w:w="3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800" w:type="dxa"/>
            <w:vAlign w:val="bottom"/>
          </w:tcPr>
          <w:p>
            <w:pPr>
              <w:jc w:val="center"/>
              <w:ind w:right="1441"/>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420" w:type="dxa"/>
            <w:vAlign w:val="bottom"/>
          </w:tcPr>
          <w:p>
            <w:pPr>
              <w:jc w:val="center"/>
              <w:ind w:left="1444"/>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bl>
    <w:p>
      <w:pPr>
        <w:spacing w:after="0" w:line="3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287-3200</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7640" w:type="dxa"/>
            <w:vAlign w:val="bottom"/>
            <w:gridSpan w:val="4"/>
          </w:tcPr>
          <w:p>
            <w:pPr>
              <w:ind w:left="3760"/>
              <w:spacing w:after="0"/>
              <w:rPr>
                <w:sz w:val="20"/>
                <w:szCs w:val="20"/>
                <w:color w:val="auto"/>
              </w:rPr>
            </w:pPr>
            <w:r>
              <w:rPr>
                <w:rFonts w:ascii="Arial" w:cs="Arial" w:eastAsia="Arial" w:hAnsi="Arial"/>
                <w:sz w:val="16"/>
                <w:szCs w:val="16"/>
                <w:color w:val="auto"/>
                <w:w w:val="94"/>
              </w:rPr>
              <w:t>Securities registered pursuant to Section 12(b) of the Act:</w:t>
            </w:r>
          </w:p>
        </w:tc>
        <w:tc>
          <w:tcPr>
            <w:tcW w:w="3600" w:type="dxa"/>
            <w:vAlign w:val="bottom"/>
          </w:tcPr>
          <w:p>
            <w:pPr>
              <w:spacing w:after="0"/>
              <w:rPr>
                <w:sz w:val="17"/>
                <w:szCs w:val="17"/>
                <w:color w:val="auto"/>
              </w:rPr>
            </w:pPr>
          </w:p>
        </w:tc>
      </w:tr>
      <w:tr>
        <w:trPr>
          <w:trHeight w:val="462"/>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Title of each class</w:t>
            </w:r>
          </w:p>
        </w:tc>
        <w:tc>
          <w:tcPr>
            <w:tcW w:w="140" w:type="dxa"/>
            <w:vAlign w:val="bottom"/>
          </w:tcPr>
          <w:p>
            <w:pPr>
              <w:spacing w:after="0"/>
              <w:rPr>
                <w:sz w:val="24"/>
                <w:szCs w:val="24"/>
                <w:color w:val="auto"/>
              </w:rPr>
            </w:pPr>
          </w:p>
        </w:tc>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Trading Symbol(s)</w:t>
            </w:r>
          </w:p>
        </w:tc>
        <w:tc>
          <w:tcPr>
            <w:tcW w:w="140" w:type="dxa"/>
            <w:vAlign w:val="bottom"/>
          </w:tcPr>
          <w:p>
            <w:pPr>
              <w:spacing w:after="0"/>
              <w:rPr>
                <w:sz w:val="24"/>
                <w:szCs w:val="24"/>
                <w:color w:val="auto"/>
              </w:rPr>
            </w:pP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6"/>
        </w:trPr>
        <w:tc>
          <w:tcPr>
            <w:tcW w:w="5640" w:type="dxa"/>
            <w:vAlign w:val="bottom"/>
            <w:gridSpan w:val="2"/>
          </w:tcPr>
          <w:p>
            <w:pPr>
              <w:ind w:left="20"/>
              <w:spacing w:after="0"/>
              <w:rPr>
                <w:sz w:val="20"/>
                <w:szCs w:val="20"/>
                <w:color w:val="auto"/>
              </w:rPr>
            </w:pPr>
            <w:r>
              <w:rPr>
                <w:rFonts w:ascii="Arial" w:cs="Arial" w:eastAsia="Arial" w:hAnsi="Arial"/>
                <w:sz w:val="16"/>
                <w:szCs w:val="16"/>
                <w:color w:val="auto"/>
              </w:rPr>
              <w:t>Class A Common Stock, par value $0.0001 per share</w:t>
            </w:r>
          </w:p>
        </w:tc>
        <w:tc>
          <w:tcPr>
            <w:tcW w:w="2000" w:type="dxa"/>
            <w:vAlign w:val="bottom"/>
            <w:gridSpan w:val="2"/>
          </w:tcPr>
          <w:p>
            <w:pPr>
              <w:ind w:left="20"/>
              <w:spacing w:after="0"/>
              <w:rPr>
                <w:sz w:val="20"/>
                <w:szCs w:val="20"/>
                <w:color w:val="auto"/>
              </w:rPr>
            </w:pPr>
            <w:r>
              <w:rPr>
                <w:rFonts w:ascii="Arial" w:cs="Arial" w:eastAsia="Arial" w:hAnsi="Arial"/>
                <w:sz w:val="16"/>
                <w:szCs w:val="16"/>
                <w:color w:val="auto"/>
              </w:rPr>
              <w:t>PWP</w:t>
            </w:r>
          </w:p>
        </w:tc>
        <w:tc>
          <w:tcPr>
            <w:tcW w:w="3600" w:type="dxa"/>
            <w:vAlign w:val="bottom"/>
          </w:tcPr>
          <w:p>
            <w:pPr>
              <w:ind w:left="20"/>
              <w:spacing w:after="0"/>
              <w:rPr>
                <w:sz w:val="20"/>
                <w:szCs w:val="20"/>
                <w:color w:val="auto"/>
              </w:rPr>
            </w:pPr>
            <w:r>
              <w:rPr>
                <w:rFonts w:ascii="Arial" w:cs="Arial" w:eastAsia="Arial" w:hAnsi="Arial"/>
                <w:sz w:val="16"/>
                <w:szCs w:val="16"/>
                <w:color w:val="auto"/>
              </w:rPr>
              <w:t>Nasdaq Global Select Market</w:t>
            </w:r>
          </w:p>
        </w:tc>
      </w:tr>
      <w:tr>
        <w:trPr>
          <w:trHeight w:val="216"/>
        </w:trPr>
        <w:tc>
          <w:tcPr>
            <w:tcW w:w="5640" w:type="dxa"/>
            <w:vAlign w:val="bottom"/>
            <w:gridSpan w:val="2"/>
          </w:tcPr>
          <w:p>
            <w:pPr>
              <w:ind w:left="20"/>
              <w:spacing w:after="0"/>
              <w:rPr>
                <w:sz w:val="20"/>
                <w:szCs w:val="20"/>
                <w:color w:val="auto"/>
              </w:rPr>
            </w:pPr>
            <w:r>
              <w:rPr>
                <w:rFonts w:ascii="Arial" w:cs="Arial" w:eastAsia="Arial" w:hAnsi="Arial"/>
                <w:sz w:val="16"/>
                <w:szCs w:val="16"/>
                <w:color w:val="auto"/>
                <w:w w:val="96"/>
              </w:rPr>
              <w:t>Warrants, each whole warrant exercisable for one share of Class A common stock</w:t>
            </w:r>
          </w:p>
        </w:tc>
        <w:tc>
          <w:tcPr>
            <w:tcW w:w="2000" w:type="dxa"/>
            <w:vAlign w:val="bottom"/>
            <w:gridSpan w:val="2"/>
          </w:tcPr>
          <w:p>
            <w:pPr>
              <w:ind w:left="20"/>
              <w:spacing w:after="0"/>
              <w:rPr>
                <w:sz w:val="20"/>
                <w:szCs w:val="20"/>
                <w:color w:val="auto"/>
              </w:rPr>
            </w:pPr>
            <w:r>
              <w:rPr>
                <w:rFonts w:ascii="Arial" w:cs="Arial" w:eastAsia="Arial" w:hAnsi="Arial"/>
                <w:sz w:val="16"/>
                <w:szCs w:val="16"/>
                <w:color w:val="auto"/>
              </w:rPr>
              <w:t>PWPPW</w:t>
            </w:r>
          </w:p>
        </w:tc>
        <w:tc>
          <w:tcPr>
            <w:tcW w:w="3600" w:type="dxa"/>
            <w:vAlign w:val="bottom"/>
          </w:tcPr>
          <w:p>
            <w:pPr>
              <w:ind w:left="20"/>
              <w:spacing w:after="0"/>
              <w:rPr>
                <w:sz w:val="20"/>
                <w:szCs w:val="20"/>
                <w:color w:val="auto"/>
              </w:rPr>
            </w:pPr>
            <w:r>
              <w:rPr>
                <w:rFonts w:ascii="Arial" w:cs="Arial" w:eastAsia="Arial" w:hAnsi="Arial"/>
                <w:sz w:val="16"/>
                <w:szCs w:val="16"/>
                <w:color w:val="auto"/>
              </w:rPr>
              <w:t>Nasdaq Global Select Market</w:t>
            </w:r>
          </w:p>
        </w:tc>
      </w:tr>
    </w:tbl>
    <w:p>
      <w:pPr>
        <w:spacing w:after="0" w:line="329" w:lineRule="exact"/>
        <w:rPr>
          <w:sz w:val="24"/>
          <w:szCs w:val="24"/>
          <w:color w:val="auto"/>
        </w:rPr>
      </w:pPr>
    </w:p>
    <w:p>
      <w:pPr>
        <w:jc w:val="both"/>
        <w:ind w:right="2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700"/>
        <w:spacing w:after="0" w:line="207" w:lineRule="exact"/>
        <w:tabs>
          <w:tab w:leader="none" w:pos="109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0"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746760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005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69005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17, 2022, Perella Weinberg Partners (the “Company”) issued a press release announcing its financial results for the fiscal quarter ended December 31, 2021. A copy of the press release is attached as Exhibit 99.1 to this Current Report on Form 8-K. The press release may contain hypertext links to information on the Company’s website. The information on the Company’s website is not incorporated by reference into and does not constitute a part of this Current Report on Form 8-K.</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provided under this Item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February 17, 2022, the Company issued a press release announcing the stock repurchase program described in Item 8.01 of this Current Report on Form 8-K. A copy of the press release dated February 17, 2022 is attached hereto as Exhibit 99.1 and incorporated herein by reference.</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information provided under this Item (including Exhibit 99.1) is being “furnished” and shall not be deemed “filed” for purposes of Section 18 of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Meeting of Stockholders</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currently intends to hold its first Annual Meeting of Stockholders (the “Annual Meeting”) on May 24, 2022, at a time and location determined and to be specified in the Company’s upcoming definitive proxy statement related to the Annual Meeting.</w:t>
      </w:r>
    </w:p>
    <w:p>
      <w:pPr>
        <w:spacing w:after="0" w:line="19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Under the rules of the U.S. Securities and Exchange Commission, the Company has set February 27, 2022 as the deadline for submitting a shareholder proposal for inclusion in the Company’s proxy materials for the Annual Meeting pursuant to Rule 14a-8 under the Exchange Act. Accordingly, in order for a stockholder proposal to be considered for inclusion in the Company’s proxy materials for the Annual Meeting, the proposal must be received by the Secretary of the Company at the Company’s principal executive offices at 767 Fifth Avenue, New York, NY 10153, no later than the close of business on such date, and comply with the procedures and requirements set forth in Rule 14a-8.</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accordance with the advance notice requirements contained in the Amended and Restated Bylaws of the Company (the “Bylaws”), for director nominations or other business to be brought before the Annual Meeting by a stockholder, other than Rule 14a-8 proposals described above, written notice to the Secretary of the Company must be delivered to, or be mailed and received at, the principal executive offices of the Company no later than the close of business on February 27, 2022. These stockholder notices also must comply with the requirements of the Bylaws and will not be effective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On February 17, 2022, the Company announced that its Board of Directors approved a stock repurchase program under which the Company is authorized to repurchase up to $100,000,000 of the Company’s Class A common stock, par value $0.0001 per share (the “Class A Common Stock”), with no requirement to purchase any minimum number of shares. Shares may be repurchased under the new repurchase program through open market purchases, privately negotiated transactions, block trades, accelerated or other structured share repurchase programs, or other means.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manner, timing, pricing and amount of any transactions will be subject to the Company’s discretion and may be based upon market conditions and alternative opportunities that the Company may have for the use or investment of its capital. The Company may also from time to time establish one or more plans under Rule 10b5-1 of the Exchange Act. The repurchase program may be modified, suspended or discontinued at any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This Form 8-K contains forward-looking statements within the meaning of the “safe harbor” provisions of the United States Private Securities Litigation Reform Act of 1995, which reflect the Company’s current views with respect to, among other things, statements about the share repurchase program.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Such forward-looking statements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both"/>
        <w:spacing w:after="0" w:line="228" w:lineRule="auto"/>
        <w:rPr>
          <w:sz w:val="20"/>
          <w:szCs w:val="20"/>
          <w:color w:val="auto"/>
        </w:rPr>
      </w:pPr>
      <w:r>
        <w:rPr>
          <w:rFonts w:ascii="Arial" w:cs="Arial" w:eastAsia="Arial" w:hAnsi="Arial"/>
          <w:sz w:val="18"/>
          <w:szCs w:val="18"/>
          <w:color w:val="auto"/>
        </w:rPr>
        <w:t>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U.S. Securities and Exchange Commission. These filings and subsequent filings are or will be available online at www.sec.gov or on request from the Company.</w:t>
      </w:r>
    </w:p>
    <w:p>
      <w:pPr>
        <w:spacing w:after="0" w:line="21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1120" w:type="dxa"/>
            <w:vAlign w:val="bottom"/>
            <w:gridSpan w:val="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3"/>
          </w:tcPr>
          <w:p>
            <w:pPr>
              <w:spacing w:after="0" w:line="223" w:lineRule="exact"/>
              <w:rPr>
                <w:rFonts w:ascii="Arial" w:cs="Arial" w:eastAsia="Arial" w:hAnsi="Arial"/>
                <w:sz w:val="18"/>
                <w:szCs w:val="18"/>
                <w:color w:val="0000FF"/>
              </w:rPr>
            </w:pPr>
            <w:hyperlink w:anchor="page5">
              <w:r>
                <w:rPr>
                  <w:rFonts w:ascii="Arial" w:cs="Arial" w:eastAsia="Arial" w:hAnsi="Arial"/>
                  <w:sz w:val="18"/>
                  <w:szCs w:val="18"/>
                  <w:color w:val="0000FF"/>
                </w:rPr>
                <w:t>Press Release Issued by the Company dated February 17</w:t>
              </w:r>
              <w:r>
                <w:rPr>
                  <w:rFonts w:ascii="Arial" w:cs="Arial" w:eastAsia="Arial" w:hAnsi="Arial"/>
                  <w:sz w:val="21"/>
                  <w:szCs w:val="21"/>
                  <w:color w:val="0000FF"/>
                </w:rPr>
                <w:t>, 2022</w:t>
              </w:r>
            </w:hyperlink>
          </w:p>
        </w:tc>
      </w:tr>
      <w:tr>
        <w:trPr>
          <w:trHeight w:val="27"/>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20" w:type="dxa"/>
            <w:vAlign w:val="bottom"/>
            <w:shd w:val="clear" w:color="auto" w:fill="0000FF"/>
          </w:tcPr>
          <w:p>
            <w:pPr>
              <w:spacing w:after="0"/>
              <w:rPr>
                <w:sz w:val="2"/>
                <w:szCs w:val="2"/>
                <w:color w:val="auto"/>
              </w:rPr>
            </w:pPr>
          </w:p>
        </w:tc>
        <w:tc>
          <w:tcPr>
            <w:tcW w:w="5240" w:type="dxa"/>
            <w:vAlign w:val="bottom"/>
            <w:gridSpan w:val="2"/>
          </w:tcPr>
          <w:p>
            <w:pPr>
              <w:spacing w:after="0"/>
              <w:rPr>
                <w:sz w:val="2"/>
                <w:szCs w:val="2"/>
                <w:color w:val="auto"/>
              </w:rPr>
            </w:pPr>
          </w:p>
        </w:tc>
      </w:tr>
      <w:tr>
        <w:trPr>
          <w:trHeight w:val="310"/>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85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320" w:firstLine="648"/>
        <w:spacing w:after="0" w:line="30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PERELLA WEINBERG PARTNERS</w:t>
      </w:r>
    </w:p>
    <w:p>
      <w:pPr>
        <w:spacing w:after="0" w:line="293" w:lineRule="exact"/>
        <w:rPr>
          <w:sz w:val="20"/>
          <w:szCs w:val="20"/>
          <w:color w:val="auto"/>
        </w:rPr>
      </w:pPr>
    </w:p>
    <w:tbl>
      <w:tblPr>
        <w:tblLayout w:type="fixed"/>
        <w:tblInd w:w="688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Gary Barancik</w:t>
            </w:r>
          </w:p>
        </w:tc>
      </w:tr>
      <w:tr>
        <w:trPr>
          <w:trHeight w:val="26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700" w:type="dxa"/>
            <w:vAlign w:val="bottom"/>
          </w:tcPr>
          <w:p>
            <w:pPr>
              <w:ind w:left="20"/>
              <w:spacing w:after="0"/>
              <w:rPr>
                <w:sz w:val="20"/>
                <w:szCs w:val="20"/>
                <w:color w:val="auto"/>
              </w:rPr>
            </w:pPr>
            <w:r>
              <w:rPr>
                <w:rFonts w:ascii="Arial" w:cs="Arial" w:eastAsia="Arial" w:hAnsi="Arial"/>
                <w:sz w:val="18"/>
                <w:szCs w:val="18"/>
                <w:color w:val="auto"/>
              </w:rPr>
              <w:t>Gary Barancik</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17, 2022</w:t>
      </w:r>
    </w:p>
    <w:p>
      <w:pPr>
        <w:sectPr>
          <w:pgSz w:w="11900" w:h="16838" w:orient="portrait"/>
          <w:cols w:equalWidth="0" w:num="1">
            <w:col w:w="11240"/>
          </w:cols>
          <w:pgMar w:left="320" w:top="783" w:right="339" w:bottom="1440" w:gutter="0" w:footer="0" w:header="0"/>
        </w:sectPr>
      </w:pPr>
    </w:p>
    <w:bookmarkStart w:id="4" w:name="page5"/>
    <w:bookmarkEnd w:id="4"/>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b w:val="1"/>
          <w:bCs w:val="1"/>
          <w:color w:val="auto"/>
        </w:rPr>
        <w:t>Exhibit 99.1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Perella Weinberg Partners Reports Full Year and Fourth Quarter 2021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Announces Share Repurchase Authorization</w:t>
      </w:r>
    </w:p>
    <w:p>
      <w:pPr>
        <w:spacing w:after="0" w:line="236" w:lineRule="exact"/>
        <w:rPr>
          <w:sz w:val="20"/>
          <w:szCs w:val="20"/>
          <w:color w:val="auto"/>
        </w:rPr>
      </w:pPr>
    </w:p>
    <w:p>
      <w:pPr>
        <w:ind w:left="580" w:right="660" w:hanging="329"/>
        <w:spacing w:after="0" w:line="277" w:lineRule="auto"/>
        <w:tabs>
          <w:tab w:leader="none" w:pos="57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Record Full Year 2021 Revenues of $801.7 million, Up 54% from the Same Period of 2020; Fourth Quarter 2021 Revenues of $198.9 million, Up 5% from the Same Period of 2020</w:t>
      </w:r>
    </w:p>
    <w:p>
      <w:pPr>
        <w:spacing w:after="0" w:line="62" w:lineRule="exact"/>
        <w:rPr>
          <w:rFonts w:ascii="Arial" w:cs="Arial" w:eastAsia="Arial" w:hAnsi="Arial"/>
          <w:sz w:val="18"/>
          <w:szCs w:val="18"/>
          <w:i w:val="1"/>
          <w:iCs w:val="1"/>
          <w:color w:val="auto"/>
        </w:rPr>
      </w:pPr>
    </w:p>
    <w:p>
      <w:pPr>
        <w:ind w:left="580" w:right="640" w:hanging="329"/>
        <w:spacing w:after="0" w:line="277" w:lineRule="auto"/>
        <w:tabs>
          <w:tab w:leader="none" w:pos="57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GAAP Operating Income (Loss) Margin of 8.3% for the Full Year 2021 and (0.3%) for the Fourth Quarter 2021; Adjusted Operating Income Margin of 21.8% for the Full Year 2021 and 22.6% for the Fourth Quarter 2021</w:t>
      </w:r>
    </w:p>
    <w:p>
      <w:pPr>
        <w:spacing w:after="0" w:line="62" w:lineRule="exact"/>
        <w:rPr>
          <w:rFonts w:ascii="Arial" w:cs="Arial" w:eastAsia="Arial" w:hAnsi="Arial"/>
          <w:sz w:val="18"/>
          <w:szCs w:val="18"/>
          <w:i w:val="1"/>
          <w:iCs w:val="1"/>
          <w:color w:val="auto"/>
        </w:rPr>
      </w:pPr>
    </w:p>
    <w:p>
      <w:pPr>
        <w:ind w:left="580" w:right="660" w:hanging="329"/>
        <w:spacing w:after="0" w:line="277" w:lineRule="auto"/>
        <w:tabs>
          <w:tab w:leader="none" w:pos="57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GAAP Net Income (Loss) of $4.0 Million for the Full Year 2021 and $(18.0) Million for the Fourth Quarter 2021; Adjusted Net Income of $160.5 Million for the Full Year 2021 and $38.4 Million for the Fourth Quarter 2021</w:t>
      </w:r>
    </w:p>
    <w:p>
      <w:pPr>
        <w:spacing w:after="0" w:line="62" w:lineRule="exact"/>
        <w:rPr>
          <w:rFonts w:ascii="Arial" w:cs="Arial" w:eastAsia="Arial" w:hAnsi="Arial"/>
          <w:sz w:val="18"/>
          <w:szCs w:val="18"/>
          <w:i w:val="1"/>
          <w:iCs w:val="1"/>
          <w:color w:val="auto"/>
        </w:rPr>
      </w:pPr>
    </w:p>
    <w:p>
      <w:pPr>
        <w:ind w:left="580" w:hanging="329"/>
        <w:spacing w:after="0"/>
        <w:tabs>
          <w:tab w:leader="none" w:pos="5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Continue to Expand Coverage and Expertise from a Sector, Product, and Geography Standpoint to Support Strategic Growth</w:t>
      </w:r>
    </w:p>
    <w:p>
      <w:pPr>
        <w:spacing w:after="0" w:line="117" w:lineRule="exact"/>
        <w:rPr>
          <w:rFonts w:ascii="Arial" w:cs="Arial" w:eastAsia="Arial" w:hAnsi="Arial"/>
          <w:sz w:val="18"/>
          <w:szCs w:val="18"/>
          <w:i w:val="1"/>
          <w:iCs w:val="1"/>
          <w:color w:val="auto"/>
        </w:rPr>
      </w:pPr>
    </w:p>
    <w:p>
      <w:pPr>
        <w:ind w:left="1220" w:hanging="321"/>
        <w:spacing w:after="0"/>
        <w:tabs>
          <w:tab w:leader="none" w:pos="122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Added Ten Partners in 2021 Through Internal Promotions and External Hires</w:t>
      </w:r>
    </w:p>
    <w:p>
      <w:pPr>
        <w:spacing w:after="0" w:line="117" w:lineRule="exact"/>
        <w:rPr>
          <w:rFonts w:ascii="Arial" w:cs="Arial" w:eastAsia="Arial" w:hAnsi="Arial"/>
          <w:sz w:val="18"/>
          <w:szCs w:val="18"/>
          <w:i w:val="1"/>
          <w:iCs w:val="1"/>
          <w:color w:val="auto"/>
        </w:rPr>
      </w:pPr>
    </w:p>
    <w:p>
      <w:pPr>
        <w:ind w:left="1220" w:right="660" w:hanging="321"/>
        <w:spacing w:after="0" w:line="277" w:lineRule="auto"/>
        <w:tabs>
          <w:tab w:leader="none" w:pos="1216"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Promoted Three Managing Directors to Advisory Partners Effective January 1, 2022 and an Additional Partner Joined the Firm Early in 2022</w:t>
      </w:r>
    </w:p>
    <w:p>
      <w:pPr>
        <w:spacing w:after="0" w:line="62" w:lineRule="exact"/>
        <w:rPr>
          <w:rFonts w:ascii="Arial" w:cs="Arial" w:eastAsia="Arial" w:hAnsi="Arial"/>
          <w:sz w:val="18"/>
          <w:szCs w:val="18"/>
          <w:i w:val="1"/>
          <w:iCs w:val="1"/>
          <w:color w:val="auto"/>
        </w:rPr>
      </w:pPr>
    </w:p>
    <w:p>
      <w:pPr>
        <w:ind w:left="1220" w:hanging="321"/>
        <w:spacing w:after="0"/>
        <w:tabs>
          <w:tab w:leader="none" w:pos="122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Encouraged by Strong Pipeline of Internal and External Senior Level Talent</w:t>
      </w:r>
    </w:p>
    <w:p>
      <w:pPr>
        <w:spacing w:after="0" w:line="117" w:lineRule="exact"/>
        <w:rPr>
          <w:rFonts w:ascii="Arial" w:cs="Arial" w:eastAsia="Arial" w:hAnsi="Arial"/>
          <w:sz w:val="18"/>
          <w:szCs w:val="18"/>
          <w:i w:val="1"/>
          <w:iCs w:val="1"/>
          <w:color w:val="auto"/>
        </w:rPr>
      </w:pPr>
    </w:p>
    <w:p>
      <w:pPr>
        <w:ind w:left="580" w:hanging="329"/>
        <w:spacing w:after="0"/>
        <w:tabs>
          <w:tab w:leader="none" w:pos="5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No Outstanding Indebtedness; Maintains Strong Balance Sheet</w:t>
      </w:r>
    </w:p>
    <w:p>
      <w:pPr>
        <w:spacing w:after="0" w:line="117" w:lineRule="exact"/>
        <w:rPr>
          <w:rFonts w:ascii="Arial" w:cs="Arial" w:eastAsia="Arial" w:hAnsi="Arial"/>
          <w:sz w:val="18"/>
          <w:szCs w:val="18"/>
          <w:i w:val="1"/>
          <w:iCs w:val="1"/>
          <w:color w:val="auto"/>
        </w:rPr>
      </w:pPr>
    </w:p>
    <w:p>
      <w:pPr>
        <w:ind w:left="580" w:hanging="329"/>
        <w:spacing w:after="0"/>
        <w:tabs>
          <w:tab w:leader="none" w:pos="5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Announced Repurchase Authorization of $100 Million</w:t>
      </w:r>
    </w:p>
    <w:p>
      <w:pPr>
        <w:spacing w:after="0" w:line="117" w:lineRule="exact"/>
        <w:rPr>
          <w:rFonts w:ascii="Arial" w:cs="Arial" w:eastAsia="Arial" w:hAnsi="Arial"/>
          <w:sz w:val="18"/>
          <w:szCs w:val="18"/>
          <w:i w:val="1"/>
          <w:iCs w:val="1"/>
          <w:color w:val="auto"/>
        </w:rPr>
      </w:pPr>
    </w:p>
    <w:p>
      <w:pPr>
        <w:ind w:left="580" w:hanging="329"/>
        <w:spacing w:after="0"/>
        <w:tabs>
          <w:tab w:leader="none" w:pos="5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Declared Quarterly Dividend of $0.07 Per Share</w:t>
      </w:r>
    </w:p>
    <w:p>
      <w:pPr>
        <w:spacing w:after="0" w:line="3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NEW YORK, NY, February 17, 2022 – Perella Weinberg Partners (the “Firm” or “PWP”) (NASDAQ:PWP) today reported financial results for the full year and fourth quarter ended December 31, 2021. The firm reported record revenues of $801.7 million for the year ended December 31, 2021, compared with $519.0 million for the year ended 2020. GAAP net income and adjusted net income were $4.0 million and $160.5 million for the year ended December 31, 2021, respectively, compared with GAAP net loss and adjusted net income of $(24.3) million and $34.6 million for the year ended December 31, 2020. GAAP diluted earnings (loss) per Class A share was $(0.66) for the year ended December 31, 2021. All net income prior to the closing of the business combination with FinTech Acquisition Corp. IV on June 24, 2021 (the “Business Combination”) is allocated to GAAP net income attributable to non-controlling interests and excluded from the earnings per share calculation. Adjusted net income per share has not been presented for the year ended December 31, 2021 as it is not meaningful or comparative to GAAP diluted earnings per share, as it excludes activity prior to the Business Combination on June 24, 2021.</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Firm reported fourth quarter revenues of $198.9 million for the three months ended December 31, 2021 compared with $189.1 million for the three months ended December 31, 2020. GAAP net loss and adjusted net income were $(18.0) million and $38.4 million, respectively, for the three months ended December 31, 2021, compared with GAAP net income of $2.9 million and adjusted net income of $20.6 million for the three months ended December 31, 2020. GAAP diluted net income (loss) per Class A share and adjusted diluted, if-converted net income per Class A share were $(0.26) and $0.33, respectively, for the three months ended December 31, 2021.</w:t>
      </w:r>
    </w:p>
    <w:p>
      <w:pPr>
        <w:spacing w:after="0" w:line="20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“PWP’s record 2021 results were driven by a broad-based rise in M&amp;A activity levels across our industries and geographies. Our strong performance benefited from our historical investment in the business, which we saw play out in our increased scale and in our balanced and diversified revenue contribution. We continue to invest in the platform to support our strategic growth and the build-out of our franchises around the world. Our public listing has accentuated our attention on building long term shareholder value through providing first class advice to clients, adding and developing exceptional talent, demonstrating margin discipline and returning capital to shareholders. As such, this morning we announced the adoption of a $100 million share repurchase plan which underscores the confidence which we have in our business and our ongoing commitment to delivering value to PWP’s shareholders,” stated Peter Weinberg, Chief Executive Officer.</w:t>
      </w:r>
    </w:p>
    <w:p>
      <w:pPr>
        <w:spacing w:after="0" w:line="200" w:lineRule="exact"/>
        <w:rPr>
          <w:sz w:val="20"/>
          <w:szCs w:val="20"/>
          <w:color w:val="auto"/>
        </w:rPr>
      </w:pPr>
    </w:p>
    <w:p>
      <w:pPr>
        <w:spacing w:after="0" w:line="400" w:lineRule="exact"/>
        <w:rPr>
          <w:sz w:val="20"/>
          <w:szCs w:val="20"/>
          <w:color w:val="auto"/>
        </w:rPr>
      </w:pPr>
    </w:p>
    <w:p>
      <w:pPr>
        <w:ind w:firstLine="8"/>
        <w:spacing w:after="0" w:line="274" w:lineRule="auto"/>
        <w:tabs>
          <w:tab w:leader="none" w:pos="119" w:val="left"/>
        </w:tabs>
        <w:numPr>
          <w:ilvl w:val="0"/>
          <w:numId w:val="3"/>
        </w:numPr>
        <w:rPr>
          <w:rFonts w:ascii="Arial" w:cs="Arial" w:eastAsia="Arial" w:hAnsi="Arial"/>
          <w:sz w:val="15"/>
          <w:szCs w:val="15"/>
          <w:color w:val="auto"/>
        </w:rPr>
      </w:pPr>
      <w:r>
        <w:rPr>
          <w:rFonts w:ascii="Arial" w:cs="Arial" w:eastAsia="Arial" w:hAnsi="Arial"/>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Selected Financial Data (Unaudited)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ind w:left="600"/>
              <w:spacing w:after="0"/>
              <w:rPr>
                <w:sz w:val="20"/>
                <w:szCs w:val="20"/>
                <w:color w:val="auto"/>
              </w:rPr>
            </w:pPr>
            <w:r>
              <w:rPr>
                <w:rFonts w:ascii="Arial" w:cs="Arial" w:eastAsia="Arial" w:hAnsi="Arial"/>
                <w:sz w:val="16"/>
                <w:szCs w:val="16"/>
                <w:b w:val="1"/>
                <w:bCs w:val="1"/>
                <w:color w:val="auto"/>
              </w:rPr>
              <w:t>U.S. GAAP</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Adjusted</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w w:val="94"/>
              </w:rPr>
              <w:t>Year Ended December 31,</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801,662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518,986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801,662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518,986</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compensation and benefits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600,694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399,147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504,257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365,618</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Non-compensation expenses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134,384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134,435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122,973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113,024</w:t>
            </w:r>
          </w:p>
        </w:tc>
        <w:tc>
          <w:tcPr>
            <w:tcW w:w="0" w:type="dxa"/>
            <w:vAlign w:val="bottom"/>
          </w:tcPr>
          <w:p>
            <w:pPr>
              <w:spacing w:after="0"/>
              <w:rPr>
                <w:sz w:val="1"/>
                <w:szCs w:val="1"/>
                <w:color w:val="auto"/>
              </w:rPr>
            </w:pPr>
          </w:p>
        </w:tc>
      </w:tr>
      <w:tr>
        <w:trPr>
          <w:trHeight w:val="213"/>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40,344</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non-operating income (expenses)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(43,634)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(2,329)</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provision for income taxes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38,015</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Income tax benefit (expense)</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(16,654)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(3,453)</w:t>
            </w:r>
          </w:p>
        </w:tc>
        <w:tc>
          <w:tcPr>
            <w:tcW w:w="0" w:type="dxa"/>
            <w:vAlign w:val="bottom"/>
          </w:tcPr>
          <w:p>
            <w:pPr>
              <w:spacing w:after="0"/>
              <w:rPr>
                <w:sz w:val="1"/>
                <w:szCs w:val="1"/>
                <w:color w:val="auto"/>
              </w:rPr>
            </w:pPr>
          </w:p>
        </w:tc>
      </w:tr>
      <w:tr>
        <w:trPr>
          <w:trHeight w:val="233"/>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160,536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34,562</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13,444</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6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Perella Weinberg Partners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160,536</w:t>
            </w: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Adjusted income tax benefit (expense)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If-converted tax impact</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if-converted net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(loss) per share attributable to Class A common shareholders (1)</w:t>
            </w: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Diluted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If-Converted (2)</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Weighted-average shares of Class A common stock outstanding (1)</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42,595,712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60" w:type="dxa"/>
            <w:vAlign w:val="bottom"/>
          </w:tcPr>
          <w:p>
            <w:pPr>
              <w:ind w:left="2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92,749,911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ind w:left="380" w:right="600" w:hanging="372"/>
        <w:spacing w:after="0"/>
        <w:tabs>
          <w:tab w:leader="none" w:pos="376"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net income (loss) per share of Class A common stock and weighted-average shares of Class A common stock outstanding for the period from June 24, 2021 through December 31, 2021, the period following the Business Combination.</w:t>
      </w:r>
    </w:p>
    <w:p>
      <w:pPr>
        <w:spacing w:after="0" w:line="212" w:lineRule="exact"/>
        <w:rPr>
          <w:rFonts w:ascii="Arial" w:cs="Arial" w:eastAsia="Arial" w:hAnsi="Arial"/>
          <w:sz w:val="16"/>
          <w:szCs w:val="16"/>
          <w:color w:val="auto"/>
        </w:rPr>
      </w:pPr>
    </w:p>
    <w:p>
      <w:pPr>
        <w:ind w:left="380" w:right="480" w:hanging="372"/>
        <w:spacing w:after="0" w:line="275" w:lineRule="auto"/>
        <w:tabs>
          <w:tab w:leader="none" w:pos="376"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net income (loss) per Class A share—Diluted, If Converted for the year ended December 31, 2021 is not meaningful or comparative to GAAP diluted earnings per share, as it excludes activity prior to the Business Combination on June 24, 2021.</w:t>
      </w:r>
    </w:p>
    <w:p>
      <w:pPr>
        <w:spacing w:after="0" w:line="317" w:lineRule="exact"/>
        <w:rPr>
          <w:sz w:val="20"/>
          <w:szCs w:val="20"/>
          <w:color w:val="auto"/>
        </w:rPr>
      </w:pPr>
    </w:p>
    <w:p>
      <w:pPr>
        <w:ind w:firstLine="8"/>
        <w:spacing w:after="0" w:line="274" w:lineRule="auto"/>
        <w:tabs>
          <w:tab w:leader="none" w:pos="119" w:val="left"/>
        </w:tabs>
        <w:numPr>
          <w:ilvl w:val="0"/>
          <w:numId w:val="5"/>
        </w:numPr>
        <w:rPr>
          <w:rFonts w:ascii="Arial" w:cs="Arial" w:eastAsia="Arial" w:hAnsi="Arial"/>
          <w:sz w:val="15"/>
          <w:szCs w:val="15"/>
          <w:color w:val="auto"/>
        </w:rPr>
      </w:pPr>
      <w:r>
        <w:rPr>
          <w:rFonts w:ascii="Arial" w:cs="Arial" w:eastAsia="Arial" w:hAnsi="Arial"/>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Selected Financial Data (Unaudited)</w:t>
      </w:r>
    </w:p>
    <w:tbl>
      <w:tblPr>
        <w:tblLayout w:type="fixed"/>
        <w:tblInd w:w="20" w:type="dxa"/>
        <w:tblCellMar>
          <w:top w:w="0" w:type="dxa"/>
          <w:left w:w="0" w:type="dxa"/>
          <w:bottom w:w="0" w:type="dxa"/>
          <w:right w:w="0" w:type="dxa"/>
        </w:tblCellMar>
      </w:tblPr>
      <w:tr>
        <w:trPr>
          <w:trHeight w:val="210"/>
        </w:trPr>
        <w:tc>
          <w:tcPr>
            <w:tcW w:w="7460" w:type="dxa"/>
            <w:vAlign w:val="bottom"/>
            <w:gridSpan w:val="3"/>
          </w:tcPr>
          <w:p>
            <w:pPr>
              <w:ind w:left="3840"/>
              <w:spacing w:after="0"/>
              <w:rPr>
                <w:sz w:val="20"/>
                <w:szCs w:val="20"/>
                <w:color w:val="auto"/>
              </w:rPr>
            </w:pPr>
            <w:r>
              <w:rPr>
                <w:rFonts w:ascii="Arial" w:cs="Arial" w:eastAsia="Arial" w:hAnsi="Arial"/>
                <w:sz w:val="16"/>
                <w:szCs w:val="16"/>
                <w:b w:val="1"/>
                <w:bCs w:val="1"/>
                <w:color w:val="auto"/>
                <w:w w:val="92"/>
              </w:rPr>
              <w:t>(Dollars in Thousands, Except Per Share Amounts)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4"/>
        </w:trPr>
        <w:tc>
          <w:tcPr>
            <w:tcW w:w="6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U.S. GAAP</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Adjusted</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2"/>
              </w:rPr>
              <w:t>Three Months Ended December 31,</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198,913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198,913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189,145</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compensation and benefits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162,226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136,068</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Non-compensation expenses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37,306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29,864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35,382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28,219</w:t>
            </w:r>
          </w:p>
        </w:tc>
        <w:tc>
          <w:tcPr>
            <w:tcW w:w="0" w:type="dxa"/>
            <w:vAlign w:val="bottom"/>
          </w:tcPr>
          <w:p>
            <w:pPr>
              <w:spacing w:after="0"/>
              <w:rPr>
                <w:sz w:val="1"/>
                <w:szCs w:val="1"/>
                <w:color w:val="auto"/>
              </w:rPr>
            </w:pPr>
          </w:p>
        </w:tc>
      </w:tr>
      <w:tr>
        <w:trPr>
          <w:trHeight w:val="213"/>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24,858</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non-operating income (expenses)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(3,301)</w:t>
            </w:r>
          </w:p>
        </w:tc>
        <w:tc>
          <w:tcPr>
            <w:tcW w:w="0" w:type="dxa"/>
            <w:vAlign w:val="bottom"/>
          </w:tcPr>
          <w:p>
            <w:pPr>
              <w:spacing w:after="0"/>
              <w:rPr>
                <w:sz w:val="1"/>
                <w:szCs w:val="1"/>
                <w:color w:val="auto"/>
              </w:rPr>
            </w:pPr>
          </w:p>
        </w:tc>
      </w:tr>
      <w:tr>
        <w:trPr>
          <w:trHeight w:val="213"/>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provision for income taxes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21,557</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Income tax benefit (expense)</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233"/>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38,368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20,622</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(17,624)</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6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Perella Weinberg Partners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38,368</w:t>
            </w: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Adjusted income tax benefit (expense)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If-converted tax impact</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if-converted net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31,238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(loss) per share attributable to Class A common shareholders</w:t>
            </w: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Diluted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If-Converted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Weighted-average shares of Class A common stock outstanding</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42,591,146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60" w:type="dxa"/>
            <w:vAlign w:val="bottom"/>
          </w:tcPr>
          <w:p>
            <w:pPr>
              <w:ind w:left="2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92,745,345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94,293,814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8"/>
        <w:spacing w:after="0" w:line="274" w:lineRule="auto"/>
        <w:tabs>
          <w:tab w:leader="none" w:pos="119" w:val="left"/>
        </w:tabs>
        <w:numPr>
          <w:ilvl w:val="0"/>
          <w:numId w:val="6"/>
        </w:numPr>
        <w:rPr>
          <w:rFonts w:ascii="Arial" w:cs="Arial" w:eastAsia="Arial" w:hAnsi="Arial"/>
          <w:sz w:val="15"/>
          <w:szCs w:val="15"/>
          <w:color w:val="auto"/>
        </w:rPr>
      </w:pPr>
      <w:r>
        <w:rPr>
          <w:rFonts w:ascii="Arial" w:cs="Arial" w:eastAsia="Arial" w:hAnsi="Arial"/>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6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Revenues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year ended December 31, 2021, revenues were $801.7 million, compared with $519.0 million for 2020, an increase of 54%. For the fourth quarter 2021, revenues were $198.9 million, an increase of 5% from $189.1 million for the fourth quarter 2020. The period-over-period growth, for both the full year and the fourth quarter reflects high levels of activity across several service lines, sectors and geographies. The increase in revenues for the full year period can be attributed to both an increase in the number of advisory transaction completions and the average fee size per client, particularly in mergers and acquisitions advice, as compared to the same period in 2020. The increase in revenues for the fourth quarter 2021 was driven by an increase in average fee size per client as compared to the fourth quarter 2020. The increase in revenues for both the full year and fourth quarter was partially offset by a reduction in restructuring and liability management fees as compared to the prior year.</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U.S. GAAP</w:t>
            </w: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Adjusted</w:t>
            </w:r>
          </w:p>
        </w:tc>
        <w:tc>
          <w:tcPr>
            <w:tcW w:w="980" w:type="dxa"/>
            <w:vAlign w:val="bottom"/>
            <w:tcBorders>
              <w:bottom w:val="single" w:sz="8" w:color="auto"/>
            </w:tcBorders>
          </w:tcPr>
          <w:p>
            <w:pPr>
              <w:spacing w:after="0"/>
              <w:rPr>
                <w:sz w:val="18"/>
                <w:szCs w:val="18"/>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(Dollars 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9"/>
        </w:trPr>
        <w:tc>
          <w:tcPr>
            <w:tcW w:w="5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199"/>
        </w:trPr>
        <w:tc>
          <w:tcPr>
            <w:tcW w:w="5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Total compensation and benefits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600,694</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399,147</w:t>
            </w:r>
          </w:p>
        </w:tc>
        <w:tc>
          <w:tcPr>
            <w:tcW w:w="2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504,257</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365,618</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75 %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77 %</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63 %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70 %</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Non-compensation expenses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134,384</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134,435</w:t>
            </w:r>
          </w:p>
        </w:tc>
        <w:tc>
          <w:tcPr>
            <w:tcW w:w="2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122,973</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113,024</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26 %</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15 %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22 %</w:t>
            </w:r>
          </w:p>
        </w:tc>
      </w:tr>
    </w:tbl>
    <w:p>
      <w:pPr>
        <w:spacing w:after="0" w:line="3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GAAP total compensation and benefits were $600.7 million for the year ended December 31, 2021, compared to $399.1 million for the year ended December 31, 2020. Adjusted total compensation and benefits were $504.3 million for the year ended December 31, 2021, compared to $365.6 million for the year ended December 31, 2020. The increase in GAAP total compensation and benefits was primarily attributable to both a larger bonus accrual associated with the increase in revenue as well as increased equity-based compensation related to PWP’s transition to becoming a publicly-traded company in June 2021. Our GAAP compensation expense includes equity-based compensation expense related to the amortization of transaction-related restricted-stock units (“RSUs”) as well as the amortization of certain partnership units that were granted in connection with the Business Combination which has no economic impact on PWP. The additional equity-based compensation and additional bonus accrual associated with the increase in revenue was partially offset by a lower compensation margin as compared to the prior year period. The increase in adjusted total compensation and benefits for the year ended December 31, 2021 compared to the prior period was primarily attributable to higher revenues despite a lower adjusted compensation margin compared to the prior year period.</w:t>
      </w:r>
    </w:p>
    <w:p>
      <w:pPr>
        <w:spacing w:after="0" w:line="2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GAAP non-compensation expenses were $134.4 million for the year ended December 31, 2021, compared with $134.4 million for the year ended December 31, 2020. Adjusted non-compensation expenses were $123.0 million for the year ended December 31, 2021, compared with $113.0 million for the year ended December 31, 2020. The nominal decrease in GAAP non-compensation expenses was primarily the result of increased professional fees in the second quarter of 2020 related to the write-off of previously deferred offering costs of $14.8 million that were expensed due to termination of an IPO process in May of 2020, which offset other increased professional fees, public company costs and technology and infrastructure initiatives in 2021. The increase in adjusted non-compensation expenses was primarily attributable to certain increased professional fees such as consulting and recruiting, increased public company costs including D&amp;O insurance, and an increase in technology and infrastructure related to certain new initiatives.</w:t>
      </w:r>
    </w:p>
    <w:p>
      <w:pPr>
        <w:spacing w:after="0" w:line="234" w:lineRule="exact"/>
        <w:rPr>
          <w:sz w:val="20"/>
          <w:szCs w:val="20"/>
          <w:color w:val="auto"/>
        </w:rPr>
      </w:pPr>
    </w:p>
    <w:tbl>
      <w:tblPr>
        <w:tblLayout w:type="fixed"/>
        <w:tblInd w:w="22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w w:val="97"/>
              </w:rPr>
              <w:t>U.S. GAAP</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Adjusted</w:t>
            </w:r>
          </w:p>
        </w:tc>
        <w:tc>
          <w:tcPr>
            <w:tcW w:w="960" w:type="dxa"/>
            <w:vAlign w:val="bottom"/>
            <w:tcBorders>
              <w:bottom w:val="single" w:sz="8" w:color="auto"/>
            </w:tcBorders>
          </w:tcPr>
          <w:p>
            <w:pPr>
              <w:spacing w:after="0"/>
              <w:rPr>
                <w:sz w:val="18"/>
                <w:szCs w:val="18"/>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3"/>
                <w:szCs w:val="13"/>
                <w:b w:val="1"/>
                <w:bCs w:val="1"/>
                <w:i w:val="1"/>
                <w:iCs w:val="1"/>
                <w:color w:val="auto"/>
              </w:rPr>
              <w:t>(Dollars in thousands)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Three Months Ended December 31,</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09"/>
        </w:trPr>
        <w:tc>
          <w:tcPr>
            <w:tcW w:w="49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2"/>
        </w:trPr>
        <w:tc>
          <w:tcPr>
            <w:tcW w:w="4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6"/>
                <w:szCs w:val="16"/>
                <w:color w:val="auto"/>
              </w:rPr>
              <w:t>Total compensation and benefits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162,226</w:t>
            </w:r>
          </w:p>
        </w:tc>
        <w:tc>
          <w:tcPr>
            <w:tcW w:w="12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151,113</w:t>
            </w:r>
          </w:p>
        </w:tc>
        <w:tc>
          <w:tcPr>
            <w:tcW w:w="26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118,497</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136,068</w:t>
            </w:r>
          </w:p>
        </w:tc>
      </w:tr>
      <w:tr>
        <w:trPr>
          <w:trHeight w:val="219"/>
        </w:trPr>
        <w:tc>
          <w:tcPr>
            <w:tcW w:w="498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 of 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82 %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80 %</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60 %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72 %</w:t>
            </w:r>
          </w:p>
        </w:tc>
      </w:tr>
      <w:tr>
        <w:trPr>
          <w:trHeight w:val="213"/>
        </w:trPr>
        <w:tc>
          <w:tcPr>
            <w:tcW w:w="4980" w:type="dxa"/>
            <w:vAlign w:val="bottom"/>
          </w:tcPr>
          <w:p>
            <w:pPr>
              <w:spacing w:after="0"/>
              <w:rPr>
                <w:sz w:val="20"/>
                <w:szCs w:val="20"/>
                <w:color w:val="auto"/>
              </w:rPr>
            </w:pPr>
            <w:r>
              <w:rPr>
                <w:rFonts w:ascii="Arial" w:cs="Arial" w:eastAsia="Arial" w:hAnsi="Arial"/>
                <w:sz w:val="16"/>
                <w:szCs w:val="16"/>
                <w:color w:val="auto"/>
              </w:rPr>
              <w:t>Non-compensation expenses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37,306</w:t>
            </w:r>
          </w:p>
        </w:tc>
        <w:tc>
          <w:tcPr>
            <w:tcW w:w="12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29,864</w:t>
            </w:r>
          </w:p>
        </w:tc>
        <w:tc>
          <w:tcPr>
            <w:tcW w:w="26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35,382</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28,219</w:t>
            </w:r>
          </w:p>
        </w:tc>
      </w:tr>
      <w:tr>
        <w:trPr>
          <w:trHeight w:val="219"/>
        </w:trPr>
        <w:tc>
          <w:tcPr>
            <w:tcW w:w="498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 of 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19 %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16 %</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15 %</w:t>
            </w: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GAAP total compensation and benefits were $162.2 million for the fourth quarter of 2021, compared to $151.1 million for the fourth quarter of 2020. Adjusted total compensation and benefits were $118.5 million for the fourth quarter of 2021 as compared to $136.1 million for the same period a year ago. The increase in GAAP total compensation and benefits was primarily due to increased equity-based compensation related to PWP’s transition to becoming a publicly-traded company in June 2021. The additional equity-based compensation was partially offset by a lower compensation margin despite higher revenues as compared</w:t>
      </w:r>
    </w:p>
    <w:p>
      <w:pPr>
        <w:spacing w:after="0" w:line="200" w:lineRule="exact"/>
        <w:rPr>
          <w:sz w:val="20"/>
          <w:szCs w:val="20"/>
          <w:color w:val="auto"/>
        </w:rPr>
      </w:pPr>
    </w:p>
    <w:p>
      <w:pPr>
        <w:spacing w:after="0" w:line="245" w:lineRule="exact"/>
        <w:rPr>
          <w:sz w:val="20"/>
          <w:szCs w:val="20"/>
          <w:color w:val="auto"/>
        </w:rPr>
      </w:pPr>
    </w:p>
    <w:p>
      <w:pPr>
        <w:ind w:firstLine="8"/>
        <w:spacing w:after="0" w:line="274" w:lineRule="auto"/>
        <w:tabs>
          <w:tab w:leader="none" w:pos="119" w:val="left"/>
        </w:tabs>
        <w:numPr>
          <w:ilvl w:val="0"/>
          <w:numId w:val="7"/>
        </w:numPr>
        <w:rPr>
          <w:rFonts w:ascii="Arial" w:cs="Arial" w:eastAsia="Arial" w:hAnsi="Arial"/>
          <w:sz w:val="15"/>
          <w:szCs w:val="15"/>
          <w:color w:val="auto"/>
        </w:rPr>
      </w:pPr>
      <w:r>
        <w:rPr>
          <w:rFonts w:ascii="Arial" w:cs="Arial" w:eastAsia="Arial" w:hAnsi="Arial"/>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ectPr>
          <w:pgSz w:w="11900" w:h="16838" w:orient="portrait"/>
          <w:cols w:equalWidth="0" w:num="1">
            <w:col w:w="11240"/>
          </w:cols>
          <w:pgMar w:left="320" w:top="1282" w:right="339" w:bottom="1440" w:gutter="0" w:footer="0" w:header="0"/>
        </w:sectPr>
      </w:pP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82" w:right="339" w:bottom="1440" w:gutter="0" w:footer="0" w:header="0"/>
          <w:type w:val="continuous"/>
        </w:sectPr>
      </w:pPr>
    </w:p>
    <w:bookmarkStart w:id="8" w:name="page9"/>
    <w:bookmarkEnd w:id="8"/>
    <w:p>
      <w:pPr>
        <w:jc w:val="both"/>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to the prior year period. The decrease in adjusted total compensation and benefits in the fourth quarter of 2021 compared to the fourth quarter of 2020 was primarily attributable to a lower adjusted compensation margin despite higher revenues as compared to the prior year period.</w:t>
      </w:r>
    </w:p>
    <w:p>
      <w:pPr>
        <w:spacing w:after="0" w:line="2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GAAP non-compensation expenses were $37.3 million for the fourth quarter of 2021, compared with $29.9 million for the fourth quarter of 2020. Adjusted non-compensation expenses were $35.4 million for the fourth quarter of 2021, compared with $28.2 million for the same period a year ago. The increase experienced in both GAAP non-compensation expenses and non-compensation expenses on an adjusted basis was primarily driven by increased professional fees related to consulting and recruiting, increased public company costs including D&amp;O insurance, and an increase in travel and related expenses as pandemic-related travel restrictions ease.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Perella Weinberg Partners owned 45.99% of the operating partnership (PWP Holdings LP) and is subject to corporate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and state income tax. Income earned by the operating partnership is subject to certain state, local, and foreign income taxes.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the close of the Business Combination on June 24, 2021, all of our operating income was derived from the predecessor PWP entity and was not subject to corporate U.S. income tax.</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December 31, 2021, for purposes of calculating adjusted if-converted net income, we have presented our results as if all partnership units had been converted to shares of Class A Common Stock, and as if all of our adjusted income before provision for income taxes was subject to an effective tax rate of 33.2%. This rate reflects the average blended rate applicable to the Company since the June 24, 2021 business combination through December 31,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Capital Management</w:t>
      </w:r>
    </w:p>
    <w:p>
      <w:pPr>
        <w:spacing w:after="0" w:line="2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February 16, 2022, the Company’s Board of Directors authorized the repurchase of shares of the Company’s Class A common stock in an amount up to $100 million, enabling the Company to opportunistically return value to shareholders. The authorization does not require the purchase of any minimum number of shares. Based on the closing price of PWP shares as of February 16, 2022, the full authorization would currently represent approximately 20% of the Company’s outstanding Class A common stock.</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PWP may purchase shares from time to time at the discretion of management through open market purchases, privately negotiated transactions, block trades, accelerated or other structured share repurchase programs, or other means. The manner, timing, pricing and amount of any transactions will be subject to the discretion of PWP and may be based upon market conditions and alternative opportunities that PWP may have for the use or investment of its capital. The Company may also from time to time establish one or more plans under Rule 10b5-1 of the Securities Exchange Act of 1934, as amended. The repurchase program may be modified, suspended or discontinued at any time.</w:t>
      </w:r>
    </w:p>
    <w:p>
      <w:pPr>
        <w:spacing w:after="0" w:line="187"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Since consummation of our business combination on June 24, 2021, PWP Holdings LP made $13 million in pro rata distributions to its partners including PWP, which enabled PWP to pay the quarterly dividends on its Class A common stock, repurchased $12 million in shares from the sponsor of FTIV and redeemed $10 million of common share equivalents through net settlement to satisfy the tax withholding obligations related to vested RSUs.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of Directors of PWP has declared a quarterly dividend of $0.07 per share of Class A common stock. The dividend will be paid on March 17, 2022 to Class A common stockholders of record as of March 3, 2022.</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2021, PWP had $502.8 million of cash and cash equivalents and $311.5 million of accrued compensation liability. The Firm has no outstanding indebtedness and has an undrawn revolving credit facility.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Management will host a webcast and conference call on Thursday, February 17, 2022 at 9:00 am ET to discuss PWP’s financial results for the full year and fourth quarter ended December 31,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will be made available in the Investors section of PWP’s website at https://investors.pwpartners.com/.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firstLine="8"/>
        <w:spacing w:after="0" w:line="274" w:lineRule="auto"/>
        <w:tabs>
          <w:tab w:leader="none" w:pos="119" w:val="left"/>
        </w:tabs>
        <w:numPr>
          <w:ilvl w:val="0"/>
          <w:numId w:val="8"/>
        </w:numPr>
        <w:rPr>
          <w:rFonts w:ascii="Arial" w:cs="Arial" w:eastAsia="Arial" w:hAnsi="Arial"/>
          <w:sz w:val="15"/>
          <w:szCs w:val="15"/>
          <w:color w:val="auto"/>
        </w:rPr>
      </w:pPr>
      <w:r>
        <w:rPr>
          <w:rFonts w:ascii="Arial" w:cs="Arial" w:eastAsia="Arial" w:hAnsi="Arial"/>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ectPr>
          <w:pgSz w:w="11900" w:h="16838" w:orient="portrait"/>
          <w:cols w:equalWidth="0" w:num="1">
            <w:col w:w="11240"/>
          </w:cols>
          <w:pgMar w:left="320" w:top="1286" w:right="339" w:bottom="1440" w:gutter="0" w:footer="0" w:header="0"/>
        </w:sectPr>
      </w:pP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1286"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The conference call can also be accessed by the following dial-in information:</w:t>
      </w:r>
    </w:p>
    <w:p>
      <w:pPr>
        <w:spacing w:after="0" w:line="239" w:lineRule="exact"/>
        <w:rPr>
          <w:sz w:val="20"/>
          <w:szCs w:val="20"/>
          <w:color w:val="auto"/>
        </w:rPr>
      </w:pPr>
    </w:p>
    <w:p>
      <w:pPr>
        <w:ind w:left="860" w:hanging="36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Domestic: (833) 607-1668</w:t>
      </w:r>
    </w:p>
    <w:p>
      <w:pPr>
        <w:spacing w:after="0" w:line="211" w:lineRule="exact"/>
        <w:rPr>
          <w:rFonts w:ascii="Arial" w:cs="Arial" w:eastAsia="Arial" w:hAnsi="Arial"/>
          <w:sz w:val="18"/>
          <w:szCs w:val="18"/>
          <w:color w:val="auto"/>
        </w:rPr>
      </w:pPr>
    </w:p>
    <w:p>
      <w:pPr>
        <w:ind w:left="860" w:hanging="36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(914) 987-7880</w:t>
      </w:r>
    </w:p>
    <w:p>
      <w:pPr>
        <w:spacing w:after="0" w:line="211" w:lineRule="exact"/>
        <w:rPr>
          <w:rFonts w:ascii="Arial" w:cs="Arial" w:eastAsia="Arial" w:hAnsi="Arial"/>
          <w:sz w:val="18"/>
          <w:szCs w:val="18"/>
          <w:color w:val="auto"/>
        </w:rPr>
      </w:pPr>
    </w:p>
    <w:p>
      <w:pPr>
        <w:ind w:left="860" w:hanging="36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Conference ID: 2564409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 replay of the call will also be available on PWP’s website approximately two hours after the live call through March 3, 2022. To access the replay, dial</w:t>
      </w:r>
    </w:p>
    <w:p>
      <w:pPr>
        <w:spacing w:after="0" w:line="46" w:lineRule="exact"/>
        <w:rPr>
          <w:sz w:val="20"/>
          <w:szCs w:val="20"/>
          <w:color w:val="auto"/>
        </w:rPr>
      </w:pPr>
    </w:p>
    <w:p>
      <w:pPr>
        <w:ind w:firstLine="8"/>
        <w:spacing w:after="0" w:line="260"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859-2056 (Domestic) or (404) 537-3406 (International). The replay pin number is 2564409. The replay can also be accessed on the investors section of PWP’s website at https://investors.pwpartners.com/.</w:t>
      </w:r>
    </w:p>
    <w:p>
      <w:pPr>
        <w:spacing w:after="0" w:line="348" w:lineRule="exact"/>
        <w:rPr>
          <w:sz w:val="20"/>
          <w:szCs w:val="20"/>
          <w:color w:val="auto"/>
        </w:rPr>
      </w:pPr>
    </w:p>
    <w:p>
      <w:pPr>
        <w:ind w:firstLine="8"/>
        <w:spacing w:after="0" w:line="274" w:lineRule="auto"/>
        <w:tabs>
          <w:tab w:leader="none" w:pos="119"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8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Non-GAAP Financial Measures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financial measures presented in accordance with GAAP, we monitor certain non-GAAP financial measures to manage our business, make planning decisions, evaluate our performance and allocate resources. 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press release.</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See “Non-GAAP Financial Measures” and the tables at the end of this release for an explanation of the adjustments and reconciliations to the comparable GAAP numbers.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additional information that management believes to be useful for investors, please refer to the latest presentation posted on the Investors section of PWP’s website at https://investors.pwpartners.com/.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PWP</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Perella Weinberg Partners is a leading global independent advisory firm, providing strategic and financial advice to a broad client base, including corporations, institutions, governments, sovereign wealth funds and the financial sponsor community. The firm offers a wide range of advisory services to clients in the most active industry sectors and global markets. With approximately 600 employees, PWP currently maintains offices in New York, Houston, London, Calgary, Chicago, Denver, Los Angeles, Paris, Munich, and San Francisco. The financial information of PWP herein refers to the business operations of PWP Holdings LP and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Certain statements made in this press release, and oral statements made from time to time by representatives of PWP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193" w:lineRule="exact"/>
        <w:rPr>
          <w:sz w:val="20"/>
          <w:szCs w:val="20"/>
          <w:color w:val="auto"/>
        </w:rPr>
      </w:pPr>
    </w:p>
    <w:p>
      <w:pPr>
        <w:ind w:left="640" w:hanging="366"/>
        <w:spacing w:after="0"/>
        <w:tabs>
          <w:tab w:leader="none" w:pos="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projected financial information, anticipated growth rate, and market opportunity of the Firm;</w:t>
      </w:r>
    </w:p>
    <w:p>
      <w:pPr>
        <w:spacing w:after="0" w:line="117" w:lineRule="exact"/>
        <w:rPr>
          <w:rFonts w:ascii="Arial" w:cs="Arial" w:eastAsia="Arial" w:hAnsi="Arial"/>
          <w:sz w:val="18"/>
          <w:szCs w:val="18"/>
          <w:color w:val="auto"/>
        </w:rPr>
      </w:pPr>
    </w:p>
    <w:p>
      <w:pPr>
        <w:ind w:left="640" w:hanging="366"/>
        <w:spacing w:after="0"/>
        <w:tabs>
          <w:tab w:leader="none" w:pos="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ability to maintain the listing of the Firm’s Class A common stock and warrants on Nasdaq following the Business Combination;</w:t>
      </w:r>
    </w:p>
    <w:p>
      <w:pPr>
        <w:spacing w:after="0" w:line="117" w:lineRule="exact"/>
        <w:rPr>
          <w:rFonts w:ascii="Arial" w:cs="Arial" w:eastAsia="Arial" w:hAnsi="Arial"/>
          <w:sz w:val="18"/>
          <w:szCs w:val="18"/>
          <w:color w:val="auto"/>
        </w:rPr>
      </w:pPr>
    </w:p>
    <w:p>
      <w:pPr>
        <w:ind w:left="640" w:hanging="366"/>
        <w:spacing w:after="0"/>
        <w:tabs>
          <w:tab w:leader="none" w:pos="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17" w:lineRule="exact"/>
        <w:rPr>
          <w:rFonts w:ascii="Arial" w:cs="Arial" w:eastAsia="Arial" w:hAnsi="Arial"/>
          <w:sz w:val="18"/>
          <w:szCs w:val="18"/>
          <w:color w:val="auto"/>
        </w:rPr>
      </w:pPr>
    </w:p>
    <w:p>
      <w:pPr>
        <w:ind w:left="660" w:right="580" w:hanging="386"/>
        <w:spacing w:after="0" w:line="277" w:lineRule="auto"/>
        <w:tabs>
          <w:tab w:leader="none" w:pos="6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success in retaining or recruiting partners and other employees, or changes related to, our officers, key employees or directors following the completion of the Business Combination;</w:t>
      </w:r>
    </w:p>
    <w:p>
      <w:pPr>
        <w:spacing w:after="0" w:line="62" w:lineRule="exact"/>
        <w:rPr>
          <w:rFonts w:ascii="Arial" w:cs="Arial" w:eastAsia="Arial" w:hAnsi="Arial"/>
          <w:sz w:val="18"/>
          <w:szCs w:val="18"/>
          <w:color w:val="auto"/>
        </w:rPr>
      </w:pPr>
    </w:p>
    <w:p>
      <w:pPr>
        <w:ind w:left="640" w:hanging="366"/>
        <w:spacing w:after="0"/>
        <w:tabs>
          <w:tab w:leader="none" w:pos="6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members of our management team allocating their time to other businesses and potentially having conflicts of interest with our business;</w:t>
      </w:r>
    </w:p>
    <w:p>
      <w:pPr>
        <w:spacing w:after="0" w:line="200" w:lineRule="exact"/>
        <w:rPr>
          <w:rFonts w:ascii="Arial" w:cs="Arial" w:eastAsia="Arial" w:hAnsi="Arial"/>
          <w:sz w:val="17"/>
          <w:szCs w:val="17"/>
          <w:color w:val="auto"/>
        </w:rPr>
      </w:pPr>
    </w:p>
    <w:p>
      <w:pPr>
        <w:spacing w:after="0" w:line="307" w:lineRule="exact"/>
        <w:rPr>
          <w:rFonts w:ascii="Arial" w:cs="Arial" w:eastAsia="Arial" w:hAnsi="Arial"/>
          <w:sz w:val="17"/>
          <w:szCs w:val="17"/>
          <w:color w:val="auto"/>
        </w:rPr>
      </w:pPr>
    </w:p>
    <w:p>
      <w:pPr>
        <w:spacing w:after="0" w:line="274" w:lineRule="auto"/>
        <w:rPr>
          <w:rFonts w:ascii="Arial" w:cs="Arial" w:eastAsia="Arial" w:hAnsi="Arial"/>
          <w:sz w:val="17"/>
          <w:szCs w:val="17"/>
          <w:color w:val="auto"/>
        </w:rPr>
      </w:pPr>
      <w:r>
        <w:rPr>
          <w:rFonts w:ascii="Arial" w:cs="Arial" w:eastAsia="Arial" w:hAnsi="Arial"/>
          <w:sz w:val="15"/>
          <w:szCs w:val="15"/>
          <w:color w:val="auto"/>
        </w:rPr>
        <w:t>* Throughout this release, adjusted figures represent Non-GAAP information. See “Non-GAAP Financial Measures” and the tables at the end of this release for an explanation of the adjustments and reconciliations to the comparable GAAP numbers.</w:t>
      </w:r>
    </w:p>
    <w:p>
      <w:pPr>
        <w:sectPr>
          <w:pgSz w:w="11900" w:h="16838" w:orient="portrait"/>
          <w:cols w:equalWidth="0" w:num="1">
            <w:col w:w="11240"/>
          </w:cols>
          <w:pgMar w:left="320" w:top="1282" w:right="339" w:bottom="1440" w:gutter="0" w:footer="0" w:header="0"/>
        </w:sectPr>
      </w:pP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282" w:right="339" w:bottom="1440" w:gutter="0" w:footer="0" w:header="0"/>
          <w:type w:val="continuous"/>
        </w:sectPr>
      </w:pPr>
    </w:p>
    <w:bookmarkStart w:id="11" w:name="page12"/>
    <w:bookmarkEnd w:id="11"/>
    <w:p>
      <w:pPr>
        <w:ind w:left="640" w:hanging="36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factors relating to the business, operations and financial performance of the Firm, including:</w:t>
      </w:r>
    </w:p>
    <w:p>
      <w:pPr>
        <w:spacing w:after="0" w:line="117" w:lineRule="exact"/>
        <w:rPr>
          <w:rFonts w:ascii="Arial" w:cs="Arial" w:eastAsia="Arial" w:hAnsi="Arial"/>
          <w:sz w:val="18"/>
          <w:szCs w:val="18"/>
          <w:color w:val="auto"/>
        </w:rPr>
      </w:pPr>
    </w:p>
    <w:p>
      <w:pPr>
        <w:ind w:left="900" w:hanging="283"/>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whether the Firm realizes all or any of the anticipated benefits from the Business Combination;</w:t>
      </w:r>
    </w:p>
    <w:p>
      <w:pPr>
        <w:spacing w:after="0" w:line="117" w:lineRule="exact"/>
        <w:rPr>
          <w:rFonts w:ascii="Arial" w:cs="Arial" w:eastAsia="Arial" w:hAnsi="Arial"/>
          <w:sz w:val="18"/>
          <w:szCs w:val="18"/>
          <w:color w:val="auto"/>
        </w:rPr>
      </w:pPr>
    </w:p>
    <w:p>
      <w:pPr>
        <w:ind w:left="920" w:right="260" w:hanging="303"/>
        <w:spacing w:after="0" w:line="277" w:lineRule="auto"/>
        <w:tabs>
          <w:tab w:leader="none" w:pos="915" w:val="left"/>
        </w:tabs>
        <w:numPr>
          <w:ilvl w:val="1"/>
          <w:numId w:val="13"/>
        </w:numPr>
        <w:rPr>
          <w:rFonts w:ascii="Arial" w:cs="Arial" w:eastAsia="Arial" w:hAnsi="Arial"/>
          <w:sz w:val="18"/>
          <w:szCs w:val="18"/>
          <w:color w:val="auto"/>
        </w:rPr>
      </w:pPr>
      <w:r>
        <w:rPr>
          <w:rFonts w:ascii="Arial" w:cs="Arial" w:eastAsia="Arial" w:hAnsi="Arial"/>
          <w:sz w:val="18"/>
          <w:szCs w:val="18"/>
          <w:color w:val="auto"/>
        </w:rPr>
        <w:t>whether the Business Combination results in any increased or unforeseen costs or has an impact on the Firm’s ability to retain or compete for professional talent or investor capital;</w:t>
      </w:r>
    </w:p>
    <w:p>
      <w:pPr>
        <w:spacing w:after="0" w:line="62" w:lineRule="exact"/>
        <w:rPr>
          <w:rFonts w:ascii="Arial" w:cs="Arial" w:eastAsia="Arial" w:hAnsi="Arial"/>
          <w:sz w:val="18"/>
          <w:szCs w:val="18"/>
          <w:color w:val="auto"/>
        </w:rPr>
      </w:pPr>
    </w:p>
    <w:p>
      <w:pPr>
        <w:ind w:left="920" w:right="320" w:hanging="303"/>
        <w:spacing w:after="0" w:line="277" w:lineRule="auto"/>
        <w:tabs>
          <w:tab w:leader="none" w:pos="915" w:val="left"/>
        </w:tabs>
        <w:numPr>
          <w:ilvl w:val="1"/>
          <w:numId w:val="13"/>
        </w:numPr>
        <w:rPr>
          <w:rFonts w:ascii="Arial" w:cs="Arial" w:eastAsia="Arial" w:hAnsi="Arial"/>
          <w:sz w:val="18"/>
          <w:szCs w:val="18"/>
          <w:color w:val="auto"/>
        </w:rPr>
      </w:pPr>
      <w:r>
        <w:rPr>
          <w:rFonts w:ascii="Arial" w:cs="Arial" w:eastAsia="Arial" w:hAnsi="Arial"/>
          <w:sz w:val="18"/>
          <w:szCs w:val="18"/>
          <w:color w:val="auto"/>
        </w:rPr>
        <w:t>global economic, business, market and geopolitical conditions, including the impact of public health crises, such as the ongoing rapid, worldwide spread of a novel strain of coronavirus and the pandemic caused thereby (collectively, “COVID-19”);</w:t>
      </w:r>
    </w:p>
    <w:p>
      <w:pPr>
        <w:spacing w:after="0" w:line="62" w:lineRule="exact"/>
        <w:rPr>
          <w:rFonts w:ascii="Arial" w:cs="Arial" w:eastAsia="Arial" w:hAnsi="Arial"/>
          <w:sz w:val="18"/>
          <w:szCs w:val="18"/>
          <w:color w:val="auto"/>
        </w:rPr>
      </w:pPr>
    </w:p>
    <w:p>
      <w:pPr>
        <w:ind w:left="900" w:hanging="283"/>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Firm’s dependence on and ability to retain working partners and other key employees;</w:t>
      </w:r>
    </w:p>
    <w:p>
      <w:pPr>
        <w:spacing w:after="0" w:line="76" w:lineRule="exact"/>
        <w:rPr>
          <w:rFonts w:ascii="Arial" w:cs="Arial" w:eastAsia="Arial" w:hAnsi="Arial"/>
          <w:sz w:val="18"/>
          <w:szCs w:val="18"/>
          <w:color w:val="auto"/>
        </w:rPr>
      </w:pPr>
    </w:p>
    <w:p>
      <w:pPr>
        <w:ind w:left="900" w:hanging="283"/>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Firm’s ability to successfully identify, recruit and develop talent;</w:t>
      </w:r>
    </w:p>
    <w:p>
      <w:pPr>
        <w:spacing w:after="0" w:line="76" w:lineRule="exact"/>
        <w:rPr>
          <w:rFonts w:ascii="Arial" w:cs="Arial" w:eastAsia="Arial" w:hAnsi="Arial"/>
          <w:sz w:val="18"/>
          <w:szCs w:val="18"/>
          <w:color w:val="auto"/>
        </w:rPr>
      </w:pPr>
    </w:p>
    <w:p>
      <w:pPr>
        <w:ind w:left="900" w:hanging="283"/>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risks associated with strategic transactions, such as joint ventures, strategic investments, acquisitions and dispositions;</w:t>
      </w:r>
    </w:p>
    <w:p>
      <w:pPr>
        <w:spacing w:after="0" w:line="117" w:lineRule="exact"/>
        <w:rPr>
          <w:rFonts w:ascii="Arial" w:cs="Arial" w:eastAsia="Arial" w:hAnsi="Arial"/>
          <w:sz w:val="18"/>
          <w:szCs w:val="18"/>
          <w:color w:val="auto"/>
        </w:rPr>
      </w:pPr>
    </w:p>
    <w:p>
      <w:pPr>
        <w:ind w:left="900" w:hanging="283"/>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conditions impacting the corporate advisory industry;</w:t>
      </w:r>
    </w:p>
    <w:p>
      <w:pPr>
        <w:spacing w:after="0" w:line="117" w:lineRule="exact"/>
        <w:rPr>
          <w:rFonts w:ascii="Arial" w:cs="Arial" w:eastAsia="Arial" w:hAnsi="Arial"/>
          <w:sz w:val="18"/>
          <w:szCs w:val="18"/>
          <w:color w:val="auto"/>
        </w:rPr>
      </w:pPr>
    </w:p>
    <w:p>
      <w:pPr>
        <w:ind w:left="920" w:right="460" w:hanging="303"/>
        <w:spacing w:after="0" w:line="277" w:lineRule="auto"/>
        <w:tabs>
          <w:tab w:leader="none" w:pos="91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Firm’s dependence on its fee-paying clients and fluctuating revenues from its non-exclusive, engagement-by-engagement business model;</w:t>
      </w:r>
    </w:p>
    <w:p>
      <w:pPr>
        <w:spacing w:after="0" w:line="62" w:lineRule="exact"/>
        <w:rPr>
          <w:rFonts w:ascii="Arial" w:cs="Arial" w:eastAsia="Arial" w:hAnsi="Arial"/>
          <w:sz w:val="18"/>
          <w:szCs w:val="18"/>
          <w:color w:val="auto"/>
        </w:rPr>
      </w:pPr>
    </w:p>
    <w:p>
      <w:pPr>
        <w:ind w:left="920" w:right="120" w:hanging="303"/>
        <w:spacing w:after="0" w:line="277" w:lineRule="auto"/>
        <w:tabs>
          <w:tab w:leader="none" w:pos="91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high volatility of the Firm’s revenues as a result of its reliance on advisory fees that are largely contingent on the completion of events which may be out of its control;</w:t>
      </w:r>
    </w:p>
    <w:p>
      <w:pPr>
        <w:spacing w:after="0" w:line="62" w:lineRule="exact"/>
        <w:rPr>
          <w:rFonts w:ascii="Arial" w:cs="Arial" w:eastAsia="Arial" w:hAnsi="Arial"/>
          <w:sz w:val="18"/>
          <w:szCs w:val="18"/>
          <w:color w:val="auto"/>
        </w:rPr>
      </w:pPr>
    </w:p>
    <w:p>
      <w:pPr>
        <w:ind w:left="900" w:hanging="283"/>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ability of the Firm’s clients to pay for its services, including its restructuring clients;</w:t>
      </w:r>
    </w:p>
    <w:p>
      <w:pPr>
        <w:spacing w:after="0" w:line="117" w:lineRule="exact"/>
        <w:rPr>
          <w:rFonts w:ascii="Arial" w:cs="Arial" w:eastAsia="Arial" w:hAnsi="Arial"/>
          <w:sz w:val="18"/>
          <w:szCs w:val="18"/>
          <w:color w:val="auto"/>
        </w:rPr>
      </w:pPr>
    </w:p>
    <w:p>
      <w:pPr>
        <w:ind w:left="920" w:right="240" w:hanging="303"/>
        <w:spacing w:after="0" w:line="308" w:lineRule="auto"/>
        <w:tabs>
          <w:tab w:leader="none" w:pos="915"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Firm’s ability to appropriately manage conflicts of interest and tax and other regulatory factors relevant to the Firm’s business, including actual, potential or perceived conflicts of interest and other factors that may damage its business and reputation;</w:t>
      </w:r>
    </w:p>
    <w:p>
      <w:pPr>
        <w:spacing w:after="0" w:line="38" w:lineRule="exact"/>
        <w:rPr>
          <w:rFonts w:ascii="Arial" w:cs="Arial" w:eastAsia="Arial" w:hAnsi="Arial"/>
          <w:sz w:val="17"/>
          <w:szCs w:val="17"/>
          <w:color w:val="auto"/>
        </w:rPr>
      </w:pPr>
    </w:p>
    <w:p>
      <w:pPr>
        <w:ind w:left="900" w:hanging="283"/>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strong competition from other financial advisory and investment banking firms;</w:t>
      </w:r>
    </w:p>
    <w:p>
      <w:pPr>
        <w:spacing w:after="0" w:line="117" w:lineRule="exact"/>
        <w:rPr>
          <w:rFonts w:ascii="Arial" w:cs="Arial" w:eastAsia="Arial" w:hAnsi="Arial"/>
          <w:sz w:val="18"/>
          <w:szCs w:val="18"/>
          <w:color w:val="auto"/>
        </w:rPr>
      </w:pPr>
    </w:p>
    <w:p>
      <w:pPr>
        <w:ind w:left="900" w:hanging="283"/>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potential impairment of goodwill and other intangible assets, which represent a significant portion of the Firm’s assets;</w:t>
      </w:r>
    </w:p>
    <w:p>
      <w:pPr>
        <w:spacing w:after="0" w:line="117" w:lineRule="exact"/>
        <w:rPr>
          <w:rFonts w:ascii="Arial" w:cs="Arial" w:eastAsia="Arial" w:hAnsi="Arial"/>
          <w:sz w:val="18"/>
          <w:szCs w:val="18"/>
          <w:color w:val="auto"/>
        </w:rPr>
      </w:pPr>
    </w:p>
    <w:p>
      <w:pPr>
        <w:ind w:left="900" w:hanging="283"/>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Firm’s successful formulation and execution of its business and growth strategies;</w:t>
      </w:r>
    </w:p>
    <w:p>
      <w:pPr>
        <w:spacing w:after="0" w:line="117" w:lineRule="exact"/>
        <w:rPr>
          <w:rFonts w:ascii="Arial" w:cs="Arial" w:eastAsia="Arial" w:hAnsi="Arial"/>
          <w:sz w:val="18"/>
          <w:szCs w:val="18"/>
          <w:color w:val="auto"/>
        </w:rPr>
      </w:pPr>
    </w:p>
    <w:p>
      <w:pPr>
        <w:ind w:left="900" w:hanging="283"/>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outcome of third-party litigation involving the Firm;</w:t>
      </w:r>
    </w:p>
    <w:p>
      <w:pPr>
        <w:spacing w:after="0" w:line="117" w:lineRule="exact"/>
        <w:rPr>
          <w:rFonts w:ascii="Arial" w:cs="Arial" w:eastAsia="Arial" w:hAnsi="Arial"/>
          <w:sz w:val="18"/>
          <w:szCs w:val="18"/>
          <w:color w:val="auto"/>
        </w:rPr>
      </w:pPr>
    </w:p>
    <w:p>
      <w:pPr>
        <w:ind w:left="900" w:hanging="283"/>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substantial litigation risks in the financial services industry;</w:t>
      </w:r>
    </w:p>
    <w:p>
      <w:pPr>
        <w:spacing w:after="0" w:line="117" w:lineRule="exact"/>
        <w:rPr>
          <w:rFonts w:ascii="Arial" w:cs="Arial" w:eastAsia="Arial" w:hAnsi="Arial"/>
          <w:sz w:val="18"/>
          <w:szCs w:val="18"/>
          <w:color w:val="auto"/>
        </w:rPr>
      </w:pPr>
    </w:p>
    <w:p>
      <w:pPr>
        <w:ind w:left="900" w:hanging="283"/>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cybersecurity and other operational risks;</w:t>
      </w:r>
    </w:p>
    <w:p>
      <w:pPr>
        <w:spacing w:after="0" w:line="117" w:lineRule="exact"/>
        <w:rPr>
          <w:rFonts w:ascii="Arial" w:cs="Arial" w:eastAsia="Arial" w:hAnsi="Arial"/>
          <w:sz w:val="18"/>
          <w:szCs w:val="18"/>
          <w:color w:val="auto"/>
        </w:rPr>
      </w:pPr>
    </w:p>
    <w:p>
      <w:pPr>
        <w:ind w:left="900" w:hanging="283"/>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Firm’s ability to expand into new markets and lines of businesses for the advisory business;</w:t>
      </w:r>
    </w:p>
    <w:p>
      <w:pPr>
        <w:spacing w:after="0" w:line="117" w:lineRule="exact"/>
        <w:rPr>
          <w:rFonts w:ascii="Arial" w:cs="Arial" w:eastAsia="Arial" w:hAnsi="Arial"/>
          <w:sz w:val="18"/>
          <w:szCs w:val="18"/>
          <w:color w:val="auto"/>
        </w:rPr>
      </w:pPr>
    </w:p>
    <w:p>
      <w:pPr>
        <w:ind w:left="900" w:hanging="283"/>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exposure to fluctuations in foreign currency exchange rates;</w:t>
      </w:r>
    </w:p>
    <w:p>
      <w:pPr>
        <w:spacing w:after="0" w:line="117" w:lineRule="exact"/>
        <w:rPr>
          <w:rFonts w:ascii="Arial" w:cs="Arial" w:eastAsia="Arial" w:hAnsi="Arial"/>
          <w:sz w:val="18"/>
          <w:szCs w:val="18"/>
          <w:color w:val="auto"/>
        </w:rPr>
      </w:pPr>
    </w:p>
    <w:p>
      <w:pPr>
        <w:ind w:left="900" w:hanging="283"/>
        <w:spacing w:after="0"/>
        <w:tabs>
          <w:tab w:leader="none" w:pos="9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assumptions relating to the Firm’s operations, financial results, financial condition, business prospects, growth strategy and liquidity;</w:t>
      </w:r>
    </w:p>
    <w:p>
      <w:pPr>
        <w:spacing w:after="0" w:line="128" w:lineRule="exact"/>
        <w:rPr>
          <w:rFonts w:ascii="Arial" w:cs="Arial" w:eastAsia="Arial" w:hAnsi="Arial"/>
          <w:sz w:val="17"/>
          <w:szCs w:val="17"/>
          <w:color w:val="auto"/>
        </w:rPr>
      </w:pPr>
    </w:p>
    <w:p>
      <w:pPr>
        <w:ind w:left="920" w:right="220" w:hanging="303"/>
        <w:spacing w:after="0" w:line="308" w:lineRule="auto"/>
        <w:tabs>
          <w:tab w:leader="none" w:pos="915" w:val="left"/>
        </w:tabs>
        <w:numPr>
          <w:ilvl w:val="1"/>
          <w:numId w:val="13"/>
        </w:numPr>
        <w:rPr>
          <w:rFonts w:ascii="Arial" w:cs="Arial" w:eastAsia="Arial" w:hAnsi="Arial"/>
          <w:sz w:val="17"/>
          <w:szCs w:val="17"/>
          <w:color w:val="auto"/>
        </w:rPr>
      </w:pPr>
      <w:r>
        <w:rPr>
          <w:rFonts w:ascii="Arial" w:cs="Arial" w:eastAsia="Arial" w:hAnsi="Arial"/>
          <w:sz w:val="17"/>
          <w:szCs w:val="17"/>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 and</w:t>
      </w:r>
    </w:p>
    <w:p>
      <w:pPr>
        <w:spacing w:after="0" w:line="38" w:lineRule="exact"/>
        <w:rPr>
          <w:rFonts w:ascii="Arial" w:cs="Arial" w:eastAsia="Arial" w:hAnsi="Arial"/>
          <w:sz w:val="17"/>
          <w:szCs w:val="17"/>
          <w:color w:val="auto"/>
        </w:rPr>
      </w:pPr>
    </w:p>
    <w:p>
      <w:pPr>
        <w:ind w:left="900" w:hanging="283"/>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impact of the global COVID-19 pandemic on any of the foregoing risks.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forward-looking statements in this press release and oral statements made from time to time by representatives of PWP are based on current expectations and beliefs concerning future developments and their potential effects on the Firm. There can be no assurance that future developments affecting the Firm will be those that the Firm has anticipated. These forward-looking statements involve a number of risks, uncertainties (some of which are beyond the Firm’s control)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 in our Quarterly Report on Form 10-Q filed with the SEC on November 5, 2021 and the other documents filed by the Firm from time to time with the SEC. Should one or more of these risks or uncertainties materialize, or should any of our assumptions prove incorrect, actual results may vary in material respects from those projected in these forward-looking statements. The Firm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8"/>
        <w:spacing w:after="0" w:line="274" w:lineRule="auto"/>
        <w:tabs>
          <w:tab w:leader="none" w:pos="119"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ectPr>
          <w:pgSz w:w="11900" w:h="16838" w:orient="portrait"/>
          <w:cols w:equalWidth="0" w:num="1">
            <w:col w:w="11240"/>
          </w:cols>
          <w:pgMar w:left="320" w:top="1286" w:right="339" w:bottom="1440" w:gutter="0" w:footer="0" w:header="0"/>
        </w:sectPr>
      </w:pP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1286"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Contacts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For Perella Weinberg Partners Investor Relations: investors@pwpartners.com</w:t>
      </w:r>
    </w:p>
    <w:p>
      <w:pPr>
        <w:spacing w:after="0"/>
        <w:rPr>
          <w:sz w:val="20"/>
          <w:szCs w:val="20"/>
          <w:color w:val="auto"/>
        </w:rPr>
      </w:pPr>
      <w:r>
        <w:rPr>
          <w:rFonts w:ascii="Arial" w:cs="Arial" w:eastAsia="Arial" w:hAnsi="Arial"/>
          <w:sz w:val="18"/>
          <w:szCs w:val="18"/>
          <w:color w:val="auto"/>
        </w:rPr>
        <w:t>For Perella Weinberg Partners Media: media@pwpartners.com</w:t>
      </w:r>
    </w:p>
    <w:p>
      <w:pPr>
        <w:spacing w:after="0" w:line="200" w:lineRule="exact"/>
        <w:rPr>
          <w:sz w:val="20"/>
          <w:szCs w:val="20"/>
          <w:color w:val="auto"/>
        </w:rPr>
      </w:pPr>
    </w:p>
    <w:p>
      <w:pPr>
        <w:spacing w:after="0" w:line="375" w:lineRule="exact"/>
        <w:rPr>
          <w:sz w:val="20"/>
          <w:szCs w:val="20"/>
          <w:color w:val="auto"/>
        </w:rPr>
      </w:pPr>
    </w:p>
    <w:p>
      <w:pPr>
        <w:ind w:firstLine="8"/>
        <w:spacing w:after="0" w:line="274" w:lineRule="auto"/>
        <w:tabs>
          <w:tab w:leader="none" w:pos="119"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82" w:right="339" w:bottom="1440" w:gutter="0" w:footer="0" w:header="0"/>
        </w:sectPr>
      </w:pPr>
    </w:p>
    <w:bookmarkStart w:id="13" w:name="page14"/>
    <w:bookmarkEnd w:id="13"/>
    <w:p>
      <w:pPr>
        <w:ind w:left="38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Consolidated Statements of Operations (Unaudited)</w:t>
      </w:r>
    </w:p>
    <w:p>
      <w:pPr>
        <w:ind w:left="3860"/>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15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Year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198,913</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801,662</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518,986</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Compensation and benefits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504,364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374,332</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Equity-based compensation</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45,058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96,330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24,815</w:t>
            </w:r>
          </w:p>
        </w:tc>
        <w:tc>
          <w:tcPr>
            <w:tcW w:w="0" w:type="dxa"/>
            <w:vAlign w:val="bottom"/>
          </w:tcPr>
          <w:p>
            <w:pPr>
              <w:spacing w:after="0"/>
              <w:rPr>
                <w:sz w:val="1"/>
                <w:szCs w:val="1"/>
                <w:color w:val="auto"/>
              </w:rPr>
            </w:pPr>
          </w:p>
        </w:tc>
      </w:tr>
      <w:tr>
        <w:trPr>
          <w:trHeight w:val="213"/>
        </w:trPr>
        <w:tc>
          <w:tcPr>
            <w:tcW w:w="5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compensation and benefits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162,226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600,694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399,147</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Arial" w:cs="Arial" w:eastAsia="Arial" w:hAnsi="Arial"/>
                <w:sz w:val="16"/>
                <w:szCs w:val="16"/>
                <w:color w:val="auto"/>
              </w:rPr>
              <w:t>Professional fees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12,937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41,891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42,880</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Technology and infrastructure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27,281</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Arial" w:cs="Arial" w:eastAsia="Arial" w:hAnsi="Arial"/>
                <w:sz w:val="16"/>
                <w:szCs w:val="16"/>
                <w:color w:val="auto"/>
              </w:rPr>
              <w:t>Rent and occupancy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6,338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26,406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27,958</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Travel and related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5,725</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Arial" w:cs="Arial" w:eastAsia="Arial" w:hAnsi="Arial"/>
                <w:sz w:val="16"/>
                <w:szCs w:val="16"/>
                <w:color w:val="auto"/>
              </w:rPr>
              <w:t>General, administrative and other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4,977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16,982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15,060</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14,489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15,531</w:t>
            </w: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expenses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199,532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180,977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735,078</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533,582</w:t>
            </w:r>
          </w:p>
        </w:tc>
        <w:tc>
          <w:tcPr>
            <w:tcW w:w="0" w:type="dxa"/>
            <w:vAlign w:val="bottom"/>
          </w:tcPr>
          <w:p>
            <w:pPr>
              <w:spacing w:after="0"/>
              <w:rPr>
                <w:sz w:val="1"/>
                <w:szCs w:val="1"/>
                <w:color w:val="auto"/>
              </w:rPr>
            </w:pPr>
          </w:p>
        </w:tc>
      </w:tr>
      <w:tr>
        <w:trPr>
          <w:trHeight w:val="213"/>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66,584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(14,596)</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Arial" w:cs="Arial" w:eastAsia="Arial" w:hAnsi="Arial"/>
                <w:sz w:val="16"/>
                <w:szCs w:val="16"/>
                <w:b w:val="1"/>
                <w:bCs w:val="1"/>
                <w:color w:val="auto"/>
              </w:rPr>
              <w:t>Non-operating income (expenses)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Related party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9,263</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Arial" w:cs="Arial" w:eastAsia="Arial" w:hAnsi="Arial"/>
                <w:sz w:val="16"/>
                <w:szCs w:val="16"/>
                <w:color w:val="auto"/>
              </w:rPr>
              <w:t>Other income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fair value of warrant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Arial" w:cs="Arial" w:eastAsia="Arial" w:hAnsi="Arial"/>
                <w:sz w:val="16"/>
                <w:szCs w:val="16"/>
                <w:color w:val="auto"/>
              </w:rPr>
              <w:t>Loss on debt extinguishment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(39,408)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(15,741)</w:t>
            </w:r>
          </w:p>
        </w:tc>
        <w:tc>
          <w:tcPr>
            <w:tcW w:w="0" w:type="dxa"/>
            <w:vAlign w:val="bottom"/>
          </w:tcPr>
          <w:p>
            <w:pPr>
              <w:spacing w:after="0"/>
              <w:rPr>
                <w:sz w:val="1"/>
                <w:szCs w:val="1"/>
                <w:color w:val="auto"/>
              </w:rPr>
            </w:pPr>
          </w:p>
        </w:tc>
      </w:tr>
      <w:tr>
        <w:trPr>
          <w:trHeight w:val="206"/>
        </w:trPr>
        <w:tc>
          <w:tcPr>
            <w:tcW w:w="5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non-operating income (expenses)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(43,634)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(6,293)</w:t>
            </w:r>
          </w:p>
        </w:tc>
        <w:tc>
          <w:tcPr>
            <w:tcW w:w="0" w:type="dxa"/>
            <w:vAlign w:val="bottom"/>
          </w:tcPr>
          <w:p>
            <w:pPr>
              <w:spacing w:after="0"/>
              <w:rPr>
                <w:sz w:val="1"/>
                <w:szCs w:val="1"/>
                <w:color w:val="auto"/>
              </w:rPr>
            </w:pPr>
          </w:p>
        </w:tc>
      </w:tr>
      <w:tr>
        <w:trPr>
          <w:trHeight w:val="213"/>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(20,889)</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Income tax benefit (expense)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(18,927)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(3,453)</w:t>
            </w:r>
          </w:p>
        </w:tc>
        <w:tc>
          <w:tcPr>
            <w:tcW w:w="0" w:type="dxa"/>
            <w:vAlign w:val="bottom"/>
          </w:tcPr>
          <w:p>
            <w:pPr>
              <w:spacing w:after="0"/>
              <w:rPr>
                <w:sz w:val="1"/>
                <w:szCs w:val="1"/>
                <w:color w:val="auto"/>
              </w:rPr>
            </w:pPr>
          </w:p>
        </w:tc>
      </w:tr>
      <w:tr>
        <w:trPr>
          <w:trHeight w:val="233"/>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(18,022)</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4,023</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(24,342)</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Less: Net income (loss) attributable to non-controlling interests</w:t>
            </w: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(17,624)</w:t>
            </w: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13,444</w:t>
            </w: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86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Perella Weinberg Partners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w w:val="99"/>
              </w:rPr>
              <w:t>Net income (loss) per share attributable to Class A common shareholders (1)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8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(0.66)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shares of Class A common stock outstanding (1)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60" w:type="dxa"/>
            <w:vAlign w:val="bottom"/>
          </w:tcPr>
          <w:p>
            <w:pPr>
              <w:ind w:left="18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42,591,146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42,595,712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92,745,345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92,749,911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80" w:right="360" w:hanging="372"/>
        <w:spacing w:after="0" w:line="293" w:lineRule="auto"/>
        <w:tabs>
          <w:tab w:leader="none" w:pos="376"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the year ended December 31, 2021, net income (loss) per share of Class A common stock and weighted-average shares of Class A common stock outstanding is representative of the period from June 24, 2021 through December 31, 2021, the period following the Business Combination.</w:t>
      </w:r>
    </w:p>
    <w:p>
      <w:pPr>
        <w:spacing w:after="0" w:line="200" w:lineRule="exact"/>
        <w:rPr>
          <w:sz w:val="20"/>
          <w:szCs w:val="20"/>
          <w:color w:val="auto"/>
        </w:rPr>
      </w:pPr>
    </w:p>
    <w:p>
      <w:pPr>
        <w:spacing w:after="0" w:line="360" w:lineRule="exact"/>
        <w:rPr>
          <w:sz w:val="20"/>
          <w:szCs w:val="20"/>
          <w:color w:val="auto"/>
        </w:rPr>
      </w:pPr>
    </w:p>
    <w:p>
      <w:pPr>
        <w:ind w:firstLine="8"/>
        <w:spacing w:after="0" w:line="274" w:lineRule="auto"/>
        <w:tabs>
          <w:tab w:leader="none" w:pos="119"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6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U.S. GAAP Reconciliation of Adjusted Results (Unaudited)</w:t>
      </w: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44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54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84"/>
        </w:trPr>
        <w:tc>
          <w:tcPr>
            <w:tcW w:w="5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compensation and benefits—GAAP</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162,226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151,113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600,694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399,147</w:t>
            </w:r>
          </w:p>
        </w:tc>
      </w:tr>
      <w:tr>
        <w:trPr>
          <w:trHeight w:val="186"/>
        </w:trPr>
        <w:tc>
          <w:tcPr>
            <w:tcW w:w="5600" w:type="dxa"/>
            <w:vAlign w:val="bottom"/>
            <w:gridSpan w:val="2"/>
          </w:tcPr>
          <w:p>
            <w:pPr>
              <w:spacing w:after="0"/>
              <w:rPr>
                <w:sz w:val="20"/>
                <w:szCs w:val="20"/>
                <w:color w:val="auto"/>
              </w:rPr>
            </w:pPr>
            <w:r>
              <w:rPr>
                <w:rFonts w:ascii="Arial" w:cs="Arial" w:eastAsia="Arial" w:hAnsi="Arial"/>
                <w:sz w:val="14"/>
                <w:szCs w:val="14"/>
                <w:color w:val="auto"/>
              </w:rPr>
              <w:t>Equity-based compensation not dilutive to investors in PWP or PWP OpCo (1)</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(21,085)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(6,331)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(51,439)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(24,815)</w:t>
            </w:r>
          </w:p>
        </w:tc>
      </w:tr>
      <w:tr>
        <w:trPr>
          <w:trHeight w:val="192"/>
        </w:trPr>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Public company transaction related incentives (2)</w:t>
            </w: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(22,644)</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(8,714)</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(44,998)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(8,714)</w:t>
            </w:r>
          </w:p>
        </w:tc>
      </w:tr>
      <w:tr>
        <w:trPr>
          <w:trHeight w:val="183"/>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Adjusted total compensation and benefits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118,497</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136,068</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504,257</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365,618</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9"/>
        </w:trPr>
        <w:tc>
          <w:tcPr>
            <w:tcW w:w="5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188"/>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Non-compensation expense—GAAP</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37,306</w:t>
            </w: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29,864</w:t>
            </w:r>
          </w:p>
        </w:tc>
        <w:tc>
          <w:tcPr>
            <w:tcW w:w="8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134,384</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134,435</w:t>
            </w:r>
          </w:p>
        </w:tc>
      </w:tr>
      <w:tr>
        <w:trPr>
          <w:trHeight w:val="190"/>
        </w:trPr>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TPH business combination related expenses (3)</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(6,580)</w:t>
            </w:r>
          </w:p>
        </w:tc>
      </w:tr>
      <w:tr>
        <w:trPr>
          <w:trHeight w:val="186"/>
        </w:trPr>
        <w:tc>
          <w:tcPr>
            <w:tcW w:w="5600" w:type="dxa"/>
            <w:vAlign w:val="bottom"/>
            <w:gridSpan w:val="2"/>
          </w:tcPr>
          <w:p>
            <w:pPr>
              <w:spacing w:after="0"/>
              <w:rPr>
                <w:sz w:val="20"/>
                <w:szCs w:val="20"/>
                <w:color w:val="auto"/>
              </w:rPr>
            </w:pPr>
            <w:r>
              <w:rPr>
                <w:rFonts w:ascii="Arial" w:cs="Arial" w:eastAsia="Arial" w:hAnsi="Arial"/>
                <w:sz w:val="14"/>
                <w:szCs w:val="14"/>
                <w:color w:val="auto"/>
              </w:rPr>
              <w:t>Delayed offering cost expense (4)</w:t>
            </w:r>
          </w:p>
        </w:tc>
        <w:tc>
          <w:tcPr>
            <w:tcW w:w="1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(14,831)</w:t>
            </w:r>
          </w:p>
        </w:tc>
      </w:tr>
      <w:tr>
        <w:trPr>
          <w:trHeight w:val="192"/>
        </w:trPr>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Business Combination transaction expenses (5)</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Adjusted non-compensation expense (6)</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35,382</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28,219</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122,973</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113,024</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9"/>
        </w:trPr>
        <w:tc>
          <w:tcPr>
            <w:tcW w:w="5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188"/>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Operating income (loss)—GAAP</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(619)</w:t>
            </w: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8,168</w:t>
            </w:r>
          </w:p>
        </w:tc>
        <w:tc>
          <w:tcPr>
            <w:tcW w:w="8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66,584</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(14,596)</w:t>
            </w:r>
          </w:p>
        </w:tc>
      </w:tr>
      <w:tr>
        <w:trPr>
          <w:trHeight w:val="190"/>
        </w:trPr>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Equity-based compensation not dilutive to investors in PWP or PWP OpCo (1)</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21,085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6,331</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51,439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24,815</w:t>
            </w:r>
          </w:p>
        </w:tc>
      </w:tr>
      <w:tr>
        <w:trPr>
          <w:trHeight w:val="186"/>
        </w:trPr>
        <w:tc>
          <w:tcPr>
            <w:tcW w:w="5600" w:type="dxa"/>
            <w:vAlign w:val="bottom"/>
            <w:gridSpan w:val="2"/>
          </w:tcPr>
          <w:p>
            <w:pPr>
              <w:spacing w:after="0"/>
              <w:rPr>
                <w:sz w:val="20"/>
                <w:szCs w:val="20"/>
                <w:color w:val="auto"/>
              </w:rPr>
            </w:pPr>
            <w:r>
              <w:rPr>
                <w:rFonts w:ascii="Arial" w:cs="Arial" w:eastAsia="Arial" w:hAnsi="Arial"/>
                <w:sz w:val="14"/>
                <w:szCs w:val="14"/>
                <w:color w:val="auto"/>
              </w:rPr>
              <w:t>Public company transaction related incentives (2)</w:t>
            </w:r>
          </w:p>
        </w:tc>
        <w:tc>
          <w:tcPr>
            <w:tcW w:w="1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22,644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8,714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44,998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8,714</w:t>
            </w:r>
          </w:p>
        </w:tc>
      </w:tr>
      <w:tr>
        <w:trPr>
          <w:trHeight w:val="192"/>
        </w:trPr>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TPH business combination related expenses (3)</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6,580</w:t>
            </w:r>
          </w:p>
        </w:tc>
      </w:tr>
      <w:tr>
        <w:trPr>
          <w:trHeight w:val="186"/>
        </w:trPr>
        <w:tc>
          <w:tcPr>
            <w:tcW w:w="5600" w:type="dxa"/>
            <w:vAlign w:val="bottom"/>
            <w:gridSpan w:val="2"/>
          </w:tcPr>
          <w:p>
            <w:pPr>
              <w:spacing w:after="0"/>
              <w:rPr>
                <w:sz w:val="20"/>
                <w:szCs w:val="20"/>
                <w:color w:val="auto"/>
              </w:rPr>
            </w:pPr>
            <w:r>
              <w:rPr>
                <w:rFonts w:ascii="Arial" w:cs="Arial" w:eastAsia="Arial" w:hAnsi="Arial"/>
                <w:sz w:val="14"/>
                <w:szCs w:val="14"/>
                <w:color w:val="auto"/>
              </w:rPr>
              <w:t>Delayed offering cost expense (4)</w:t>
            </w:r>
          </w:p>
        </w:tc>
        <w:tc>
          <w:tcPr>
            <w:tcW w:w="1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14,831</w:t>
            </w:r>
          </w:p>
        </w:tc>
      </w:tr>
      <w:tr>
        <w:trPr>
          <w:trHeight w:val="192"/>
        </w:trPr>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Business Combination transaction expenses (5)</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Adjusted operating income (loss)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45,034</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24,858</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174,432</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40,344</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9"/>
        </w:trPr>
        <w:tc>
          <w:tcPr>
            <w:tcW w:w="5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188"/>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Non-operating income (expense)—GAAP</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(1,171)</w:t>
            </w: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(4,317)</w:t>
            </w:r>
          </w:p>
        </w:tc>
        <w:tc>
          <w:tcPr>
            <w:tcW w:w="8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(43,634)</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(6,293)</w:t>
            </w:r>
          </w:p>
        </w:tc>
      </w:tr>
      <w:tr>
        <w:trPr>
          <w:trHeight w:val="190"/>
        </w:trPr>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Change in fair value of warrant liabilities (7)</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2,839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600" w:type="dxa"/>
            <w:vAlign w:val="bottom"/>
            <w:gridSpan w:val="2"/>
          </w:tcPr>
          <w:p>
            <w:pPr>
              <w:spacing w:after="0"/>
              <w:rPr>
                <w:sz w:val="20"/>
                <w:szCs w:val="20"/>
                <w:color w:val="auto"/>
              </w:rPr>
            </w:pPr>
            <w:r>
              <w:rPr>
                <w:rFonts w:ascii="Arial" w:cs="Arial" w:eastAsia="Arial" w:hAnsi="Arial"/>
                <w:sz w:val="14"/>
                <w:szCs w:val="14"/>
                <w:color w:val="auto"/>
              </w:rPr>
              <w:t>Loss on debt extinguishment (8)</w:t>
            </w:r>
          </w:p>
        </w:tc>
        <w:tc>
          <w:tcPr>
            <w:tcW w:w="1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39,408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Amortization of debt costs (9)</w:t>
            </w: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1,016</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3,964</w:t>
            </w:r>
          </w:p>
        </w:tc>
      </w:tr>
      <w:tr>
        <w:trPr>
          <w:trHeight w:val="183"/>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Adjusted non-operating income (expense)</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1,706</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(3,301)</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2,758</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(2,329)</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9"/>
        </w:trPr>
        <w:tc>
          <w:tcPr>
            <w:tcW w:w="5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188"/>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Income (loss) before income taxes—GAAP</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(1,790)</w:t>
            </w: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3,851</w:t>
            </w:r>
          </w:p>
        </w:tc>
        <w:tc>
          <w:tcPr>
            <w:tcW w:w="8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22,950</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(20,889)</w:t>
            </w:r>
          </w:p>
        </w:tc>
      </w:tr>
      <w:tr>
        <w:trPr>
          <w:trHeight w:val="190"/>
        </w:trPr>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Equity-based compensation not dilutive to investors in PWP or PWP OpCo (1)</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21,085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6,331</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51,439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24,815</w:t>
            </w:r>
          </w:p>
        </w:tc>
      </w:tr>
      <w:tr>
        <w:trPr>
          <w:trHeight w:val="186"/>
        </w:trPr>
        <w:tc>
          <w:tcPr>
            <w:tcW w:w="5600" w:type="dxa"/>
            <w:vAlign w:val="bottom"/>
            <w:gridSpan w:val="2"/>
          </w:tcPr>
          <w:p>
            <w:pPr>
              <w:spacing w:after="0"/>
              <w:rPr>
                <w:sz w:val="20"/>
                <w:szCs w:val="20"/>
                <w:color w:val="auto"/>
              </w:rPr>
            </w:pPr>
            <w:r>
              <w:rPr>
                <w:rFonts w:ascii="Arial" w:cs="Arial" w:eastAsia="Arial" w:hAnsi="Arial"/>
                <w:sz w:val="14"/>
                <w:szCs w:val="14"/>
                <w:color w:val="auto"/>
              </w:rPr>
              <w:t>Public company transaction related incentives (2)</w:t>
            </w:r>
          </w:p>
        </w:tc>
        <w:tc>
          <w:tcPr>
            <w:tcW w:w="1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22,644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8,714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44,998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8,714</w:t>
            </w:r>
          </w:p>
        </w:tc>
      </w:tr>
      <w:tr>
        <w:trPr>
          <w:trHeight w:val="192"/>
        </w:trPr>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TPH business combination related expenses (3)</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6,580</w:t>
            </w:r>
          </w:p>
        </w:tc>
      </w:tr>
      <w:tr>
        <w:trPr>
          <w:trHeight w:val="186"/>
        </w:trPr>
        <w:tc>
          <w:tcPr>
            <w:tcW w:w="5600" w:type="dxa"/>
            <w:vAlign w:val="bottom"/>
            <w:gridSpan w:val="2"/>
          </w:tcPr>
          <w:p>
            <w:pPr>
              <w:spacing w:after="0"/>
              <w:rPr>
                <w:sz w:val="20"/>
                <w:szCs w:val="20"/>
                <w:color w:val="auto"/>
              </w:rPr>
            </w:pPr>
            <w:r>
              <w:rPr>
                <w:rFonts w:ascii="Arial" w:cs="Arial" w:eastAsia="Arial" w:hAnsi="Arial"/>
                <w:sz w:val="14"/>
                <w:szCs w:val="14"/>
                <w:color w:val="auto"/>
              </w:rPr>
              <w:t>Delayed offering cost expense (4)</w:t>
            </w:r>
          </w:p>
        </w:tc>
        <w:tc>
          <w:tcPr>
            <w:tcW w:w="1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14,831</w:t>
            </w:r>
          </w:p>
        </w:tc>
      </w:tr>
      <w:tr>
        <w:trPr>
          <w:trHeight w:val="192"/>
        </w:trPr>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Business Combination transaction expenses (5)</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600" w:type="dxa"/>
            <w:vAlign w:val="bottom"/>
            <w:gridSpan w:val="2"/>
          </w:tcPr>
          <w:p>
            <w:pPr>
              <w:spacing w:after="0"/>
              <w:rPr>
                <w:sz w:val="20"/>
                <w:szCs w:val="20"/>
                <w:color w:val="auto"/>
              </w:rPr>
            </w:pPr>
            <w:r>
              <w:rPr>
                <w:rFonts w:ascii="Arial" w:cs="Arial" w:eastAsia="Arial" w:hAnsi="Arial"/>
                <w:sz w:val="14"/>
                <w:szCs w:val="14"/>
                <w:color w:val="auto"/>
              </w:rPr>
              <w:t>Change in fair value of warrant liabilities (7)</w:t>
            </w:r>
          </w:p>
        </w:tc>
        <w:tc>
          <w:tcPr>
            <w:tcW w:w="1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2,839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Loss on debt extinguishment (8)</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39,408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Amortization of debt costs (9)</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1,016</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3,964</w:t>
            </w:r>
          </w:p>
        </w:tc>
      </w:tr>
      <w:tr>
        <w:trPr>
          <w:trHeight w:val="211"/>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Adjusted income (loss) before income taxes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46,740</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21,557</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177,190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38,015</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89"/>
        </w:trPr>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Income tax benefit (expense)—GAAP</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(16,232)</w:t>
            </w:r>
          </w:p>
        </w:tc>
        <w:tc>
          <w:tcPr>
            <w:tcW w:w="38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(18,927)</w:t>
            </w:r>
          </w:p>
        </w:tc>
        <w:tc>
          <w:tcPr>
            <w:tcW w:w="4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(3,453)</w:t>
            </w:r>
          </w:p>
        </w:tc>
      </w:tr>
      <w:tr>
        <w:trPr>
          <w:trHeight w:val="186"/>
        </w:trPr>
        <w:tc>
          <w:tcPr>
            <w:tcW w:w="5600" w:type="dxa"/>
            <w:vAlign w:val="bottom"/>
            <w:gridSpan w:val="2"/>
          </w:tcPr>
          <w:p>
            <w:pPr>
              <w:spacing w:after="0"/>
              <w:rPr>
                <w:sz w:val="20"/>
                <w:szCs w:val="20"/>
                <w:color w:val="auto"/>
              </w:rPr>
            </w:pPr>
            <w:r>
              <w:rPr>
                <w:rFonts w:ascii="Arial" w:cs="Arial" w:eastAsia="Arial" w:hAnsi="Arial"/>
                <w:sz w:val="14"/>
                <w:szCs w:val="14"/>
                <w:color w:val="auto"/>
              </w:rPr>
              <w:t>Tax impact at effective non-GAAP tax rate (10)</w:t>
            </w:r>
          </w:p>
        </w:tc>
        <w:tc>
          <w:tcPr>
            <w:tcW w:w="1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7,860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Adjusted income tax benefit (expense)</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(16,654)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(3,453)</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89"/>
        </w:trPr>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(loss)—GAAP</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(18,022)</w:t>
            </w:r>
          </w:p>
        </w:tc>
        <w:tc>
          <w:tcPr>
            <w:tcW w:w="38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4,023</w:t>
            </w:r>
          </w:p>
        </w:tc>
        <w:tc>
          <w:tcPr>
            <w:tcW w:w="4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(24,342)</w:t>
            </w:r>
          </w:p>
        </w:tc>
      </w:tr>
      <w:tr>
        <w:trPr>
          <w:trHeight w:val="186"/>
        </w:trPr>
        <w:tc>
          <w:tcPr>
            <w:tcW w:w="5600" w:type="dxa"/>
            <w:vAlign w:val="bottom"/>
            <w:gridSpan w:val="2"/>
          </w:tcPr>
          <w:p>
            <w:pPr>
              <w:spacing w:after="0"/>
              <w:rPr>
                <w:sz w:val="20"/>
                <w:szCs w:val="20"/>
                <w:color w:val="auto"/>
              </w:rPr>
            </w:pPr>
            <w:r>
              <w:rPr>
                <w:rFonts w:ascii="Arial" w:cs="Arial" w:eastAsia="Arial" w:hAnsi="Arial"/>
                <w:sz w:val="14"/>
                <w:szCs w:val="14"/>
                <w:color w:val="auto"/>
              </w:rPr>
              <w:t>Equity-based compensation not dilutive to investors in PWP or PWP OpCo (1)</w:t>
            </w:r>
          </w:p>
        </w:tc>
        <w:tc>
          <w:tcPr>
            <w:tcW w:w="1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21,085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6,331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51,439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24,815</w:t>
            </w:r>
          </w:p>
        </w:tc>
      </w:tr>
      <w:tr>
        <w:trPr>
          <w:trHeight w:val="192"/>
        </w:trPr>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Public company transaction related incentives (2)</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22,644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8,714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44,998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8,714</w:t>
            </w:r>
          </w:p>
        </w:tc>
      </w:tr>
      <w:tr>
        <w:trPr>
          <w:trHeight w:val="186"/>
        </w:trPr>
        <w:tc>
          <w:tcPr>
            <w:tcW w:w="5600" w:type="dxa"/>
            <w:vAlign w:val="bottom"/>
            <w:gridSpan w:val="2"/>
          </w:tcPr>
          <w:p>
            <w:pPr>
              <w:spacing w:after="0"/>
              <w:rPr>
                <w:sz w:val="20"/>
                <w:szCs w:val="20"/>
                <w:color w:val="auto"/>
              </w:rPr>
            </w:pPr>
            <w:r>
              <w:rPr>
                <w:rFonts w:ascii="Arial" w:cs="Arial" w:eastAsia="Arial" w:hAnsi="Arial"/>
                <w:sz w:val="14"/>
                <w:szCs w:val="14"/>
                <w:color w:val="auto"/>
              </w:rPr>
              <w:t>TPH business combination related expenses (3)</w:t>
            </w:r>
          </w:p>
        </w:tc>
        <w:tc>
          <w:tcPr>
            <w:tcW w:w="1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6,580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6,580</w:t>
            </w:r>
          </w:p>
        </w:tc>
      </w:tr>
      <w:tr>
        <w:trPr>
          <w:trHeight w:val="192"/>
        </w:trPr>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Delayed offering cost expense (4)</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14,831</w:t>
            </w:r>
          </w:p>
        </w:tc>
      </w:tr>
      <w:tr>
        <w:trPr>
          <w:trHeight w:val="186"/>
        </w:trPr>
        <w:tc>
          <w:tcPr>
            <w:tcW w:w="5600" w:type="dxa"/>
            <w:vAlign w:val="bottom"/>
            <w:gridSpan w:val="2"/>
          </w:tcPr>
          <w:p>
            <w:pPr>
              <w:spacing w:after="0"/>
              <w:rPr>
                <w:sz w:val="20"/>
                <w:szCs w:val="20"/>
                <w:color w:val="auto"/>
              </w:rPr>
            </w:pPr>
            <w:r>
              <w:rPr>
                <w:rFonts w:ascii="Arial" w:cs="Arial" w:eastAsia="Arial" w:hAnsi="Arial"/>
                <w:sz w:val="14"/>
                <w:szCs w:val="14"/>
                <w:color w:val="auto"/>
              </w:rPr>
              <w:t>Business Combination transaction expenses (5)</w:t>
            </w:r>
          </w:p>
        </w:tc>
        <w:tc>
          <w:tcPr>
            <w:tcW w:w="1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279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4,831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Change in fair value of warrant liabilities (7)</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2,839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600" w:type="dxa"/>
            <w:vAlign w:val="bottom"/>
            <w:gridSpan w:val="2"/>
          </w:tcPr>
          <w:p>
            <w:pPr>
              <w:spacing w:after="0"/>
              <w:rPr>
                <w:sz w:val="20"/>
                <w:szCs w:val="20"/>
                <w:color w:val="auto"/>
              </w:rPr>
            </w:pPr>
            <w:r>
              <w:rPr>
                <w:rFonts w:ascii="Arial" w:cs="Arial" w:eastAsia="Arial" w:hAnsi="Arial"/>
                <w:sz w:val="14"/>
                <w:szCs w:val="14"/>
                <w:color w:val="auto"/>
              </w:rPr>
              <w:t>Loss on debt extinguishment (8)</w:t>
            </w:r>
          </w:p>
        </w:tc>
        <w:tc>
          <w:tcPr>
            <w:tcW w:w="1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39,408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Amortization of debt costs (9)</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3,964</w:t>
            </w:r>
          </w:p>
        </w:tc>
      </w:tr>
      <w:tr>
        <w:trPr>
          <w:trHeight w:val="186"/>
        </w:trPr>
        <w:tc>
          <w:tcPr>
            <w:tcW w:w="5600" w:type="dxa"/>
            <w:vAlign w:val="bottom"/>
            <w:gridSpan w:val="2"/>
          </w:tcPr>
          <w:p>
            <w:pPr>
              <w:spacing w:after="0"/>
              <w:rPr>
                <w:sz w:val="20"/>
                <w:szCs w:val="20"/>
                <w:color w:val="auto"/>
              </w:rPr>
            </w:pPr>
            <w:r>
              <w:rPr>
                <w:rFonts w:ascii="Arial" w:cs="Arial" w:eastAsia="Arial" w:hAnsi="Arial"/>
                <w:sz w:val="14"/>
                <w:szCs w:val="14"/>
                <w:color w:val="auto"/>
              </w:rPr>
              <w:t>Tax impact at effective non-GAAP tax rate (10)</w:t>
            </w:r>
          </w:p>
        </w:tc>
        <w:tc>
          <w:tcPr>
            <w:tcW w:w="1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7,860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Adjusted net income (loss)</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38,368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20,622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160,536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34,562</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89"/>
        </w:trPr>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Adjusted income tax benefit (expense) (10)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8,372</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ind w:right="228"/>
              <w:spacing w:after="0"/>
              <w:rPr>
                <w:sz w:val="20"/>
                <w:szCs w:val="20"/>
                <w:color w:val="auto"/>
              </w:rPr>
            </w:pPr>
            <w:r>
              <w:rPr>
                <w:rFonts w:ascii="Arial" w:cs="Arial" w:eastAsia="Arial" w:hAnsi="Arial"/>
                <w:sz w:val="14"/>
                <w:szCs w:val="14"/>
                <w:color w:val="auto"/>
              </w:rPr>
              <w:t>NM</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Add: If-converted tax impact (11)</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(15,502)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color w:val="auto"/>
              </w:rPr>
              <w:t>NM</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r>
      <w:tr>
        <w:trPr>
          <w:trHeight w:val="211"/>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Adjusted if-converted net income (loss)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31,238</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center"/>
              <w:ind w:right="228"/>
              <w:spacing w:after="0"/>
              <w:rPr>
                <w:sz w:val="20"/>
                <w:szCs w:val="20"/>
                <w:color w:val="auto"/>
              </w:rPr>
            </w:pPr>
            <w:r>
              <w:rPr>
                <w:rFonts w:ascii="Arial" w:cs="Arial" w:eastAsia="Arial" w:hAnsi="Arial"/>
                <w:sz w:val="14"/>
                <w:szCs w:val="14"/>
                <w:color w:val="auto"/>
              </w:rPr>
              <w:t>NM</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r>
        <w:trPr>
          <w:trHeight w:val="109"/>
        </w:trPr>
        <w:tc>
          <w:tcPr>
            <w:tcW w:w="5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89"/>
        </w:trPr>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Weighted-average adjusted diluted shares of Class A common stock outstanding</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94,293,814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62"/>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net income (loss) per Class A share—diluted, if—converted (12)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0.33</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ind w:right="228"/>
              <w:spacing w:after="0"/>
              <w:rPr>
                <w:sz w:val="20"/>
                <w:szCs w:val="20"/>
                <w:color w:val="auto"/>
              </w:rPr>
            </w:pPr>
            <w:r>
              <w:rPr>
                <w:rFonts w:ascii="Arial" w:cs="Arial" w:eastAsia="Arial" w:hAnsi="Arial"/>
                <w:sz w:val="14"/>
                <w:szCs w:val="14"/>
                <w:color w:val="auto"/>
              </w:rPr>
              <w:t>NM</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bl>
    <w:p>
      <w:pPr>
        <w:spacing w:after="0" w:line="311" w:lineRule="exact"/>
        <w:rPr>
          <w:sz w:val="20"/>
          <w:szCs w:val="20"/>
          <w:color w:val="auto"/>
        </w:rPr>
      </w:pPr>
    </w:p>
    <w:p>
      <w:pPr>
        <w:ind w:firstLine="8"/>
        <w:spacing w:after="0" w:line="274" w:lineRule="auto"/>
        <w:tabs>
          <w:tab w:leader="none" w:pos="119"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ectPr>
          <w:pgSz w:w="11900" w:h="16838" w:orient="portrait"/>
          <w:cols w:equalWidth="0" w:num="1">
            <w:col w:w="11240"/>
          </w:cols>
          <w:pgMar w:left="320" w:top="1404" w:right="339" w:bottom="1440"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404"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Notes to U.S. GAAP Reconciliation of Adjusted Results:</w:t>
      </w:r>
    </w:p>
    <w:p>
      <w:pPr>
        <w:spacing w:after="0" w:line="252" w:lineRule="exact"/>
        <w:rPr>
          <w:sz w:val="20"/>
          <w:szCs w:val="20"/>
          <w:color w:val="auto"/>
        </w:rPr>
      </w:pPr>
    </w:p>
    <w:p>
      <w:pPr>
        <w:jc w:val="both"/>
        <w:ind w:left="500" w:hanging="492"/>
        <w:spacing w:after="0" w:line="256" w:lineRule="auto"/>
        <w:tabs>
          <w:tab w:leader="none" w:pos="496" w:val="left"/>
        </w:tabs>
        <w:numPr>
          <w:ilvl w:val="0"/>
          <w:numId w:val="19"/>
        </w:numPr>
        <w:rPr>
          <w:rFonts w:ascii="Arial" w:cs="Arial" w:eastAsia="Arial" w:hAnsi="Arial"/>
          <w:sz w:val="16"/>
          <w:szCs w:val="16"/>
          <w:color w:val="auto"/>
        </w:rPr>
      </w:pPr>
      <w:r>
        <w:rPr>
          <w:rFonts w:ascii="Arial" w:cs="Arial" w:eastAsia="Arial" w:hAnsi="Arial"/>
          <w:sz w:val="16"/>
          <w:szCs w:val="16"/>
          <w:color w:val="auto"/>
        </w:rPr>
        <w:t>Equity-based compensation not dilutive to investors in PWP or PWP Holdings LP (“PWP OpCo”) includes amortization of legacy awards granted to certain partners prior to the Business Combination and PWP Professional Partners LP (“Professional Partners”) ACU and VCU awards. The vesting of these awards does not dilute PWP shareholders relative to Professional Partners as Professional Partners’ interest in PWP OpCo does not change as a result of granting those equity awards to its working partners.</w:t>
      </w:r>
    </w:p>
    <w:p>
      <w:pPr>
        <w:spacing w:after="0" w:line="213" w:lineRule="exact"/>
        <w:rPr>
          <w:rFonts w:ascii="Arial" w:cs="Arial" w:eastAsia="Arial" w:hAnsi="Arial"/>
          <w:sz w:val="16"/>
          <w:szCs w:val="16"/>
          <w:color w:val="auto"/>
        </w:rPr>
      </w:pPr>
    </w:p>
    <w:p>
      <w:pPr>
        <w:jc w:val="both"/>
        <w:ind w:left="500" w:right="120" w:hanging="492"/>
        <w:spacing w:after="0" w:line="261" w:lineRule="auto"/>
        <w:tabs>
          <w:tab w:leader="none" w:pos="496"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Public company transaction related incentives includes discretionary bonus payments as well as equity-based compensation for transaction-related restricted stock units (“RSUs”) which are directly related to milestone events that were part of the Business Combination process and reorganization. These payments were outside of PWP’s normal and recurring bonus and compensation processes.</w:t>
      </w:r>
    </w:p>
    <w:p>
      <w:pPr>
        <w:spacing w:after="0" w:line="209" w:lineRule="exact"/>
        <w:rPr>
          <w:rFonts w:ascii="Arial" w:cs="Arial" w:eastAsia="Arial" w:hAnsi="Arial"/>
          <w:sz w:val="16"/>
          <w:szCs w:val="16"/>
          <w:color w:val="auto"/>
        </w:rPr>
      </w:pPr>
    </w:p>
    <w:p>
      <w:pPr>
        <w:ind w:left="500" w:right="120" w:hanging="492"/>
        <w:spacing w:after="0" w:line="275" w:lineRule="auto"/>
        <w:tabs>
          <w:tab w:leader="none" w:pos="496"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November 30, 2016, we completed a business combination with Tudor, Pickering, Holt &amp; Co., LLC (TPH), an independent advisory firm focused on the energy industry. TPH business combination related expenses include intangible asset amortization associated with the acquisition.</w:t>
      </w:r>
    </w:p>
    <w:p>
      <w:pPr>
        <w:spacing w:after="0" w:line="199" w:lineRule="exact"/>
        <w:rPr>
          <w:rFonts w:ascii="Arial" w:cs="Arial" w:eastAsia="Arial" w:hAnsi="Arial"/>
          <w:sz w:val="16"/>
          <w:szCs w:val="16"/>
          <w:color w:val="auto"/>
        </w:rPr>
      </w:pPr>
    </w:p>
    <w:p>
      <w:pPr>
        <w:ind w:left="500" w:hanging="492"/>
        <w:spacing w:after="0"/>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Previously deferred offering costs that were expensed due to termination of a public company transaction process in May of 2020.</w:t>
      </w:r>
    </w:p>
    <w:p>
      <w:pPr>
        <w:spacing w:after="0" w:line="248" w:lineRule="exact"/>
        <w:rPr>
          <w:rFonts w:ascii="Arial" w:cs="Arial" w:eastAsia="Arial" w:hAnsi="Arial"/>
          <w:sz w:val="16"/>
          <w:szCs w:val="16"/>
          <w:color w:val="auto"/>
        </w:rPr>
      </w:pPr>
    </w:p>
    <w:p>
      <w:pPr>
        <w:ind w:left="500" w:right="120" w:hanging="492"/>
        <w:spacing w:after="0" w:line="275" w:lineRule="auto"/>
        <w:tabs>
          <w:tab w:leader="none" w:pos="49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Transaction costs that were expensed associated with the Business Combination as well as equity-based vesting for transaction-related RSUs issued to non-employees.</w:t>
      </w:r>
    </w:p>
    <w:p>
      <w:pPr>
        <w:spacing w:after="0" w:line="199" w:lineRule="exact"/>
        <w:rPr>
          <w:rFonts w:ascii="Arial" w:cs="Arial" w:eastAsia="Arial" w:hAnsi="Arial"/>
          <w:sz w:val="16"/>
          <w:szCs w:val="16"/>
          <w:color w:val="auto"/>
        </w:rPr>
      </w:pPr>
    </w:p>
    <w:p>
      <w:pPr>
        <w:ind w:left="500" w:right="120" w:hanging="492"/>
        <w:spacing w:after="0" w:line="275" w:lineRule="auto"/>
        <w:tabs>
          <w:tab w:leader="none" w:pos="496"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See reconciliation below for the components of the consolidated statements of operations included in non-compensation expense—GAAP as well as Adjusted non-compensation expense.</w:t>
      </w:r>
    </w:p>
    <w:p>
      <w:pPr>
        <w:spacing w:after="0" w:line="199" w:lineRule="exact"/>
        <w:rPr>
          <w:rFonts w:ascii="Arial" w:cs="Arial" w:eastAsia="Arial" w:hAnsi="Arial"/>
          <w:sz w:val="16"/>
          <w:szCs w:val="16"/>
          <w:color w:val="auto"/>
        </w:rPr>
      </w:pPr>
    </w:p>
    <w:p>
      <w:pPr>
        <w:ind w:left="500" w:hanging="492"/>
        <w:spacing w:after="0"/>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 in fair value of warrant liabilities is non-cash and we believe not indicative of our core performance.</w:t>
      </w:r>
    </w:p>
    <w:p>
      <w:pPr>
        <w:spacing w:after="0" w:line="248" w:lineRule="exact"/>
        <w:rPr>
          <w:rFonts w:ascii="Arial" w:cs="Arial" w:eastAsia="Arial" w:hAnsi="Arial"/>
          <w:sz w:val="16"/>
          <w:szCs w:val="16"/>
          <w:color w:val="auto"/>
        </w:rPr>
      </w:pPr>
    </w:p>
    <w:p>
      <w:pPr>
        <w:ind w:left="500" w:right="100" w:hanging="492"/>
        <w:spacing w:after="0" w:line="275" w:lineRule="auto"/>
        <w:tabs>
          <w:tab w:leader="none" w:pos="496" w:val="left"/>
        </w:tabs>
        <w:numPr>
          <w:ilvl w:val="0"/>
          <w:numId w:val="19"/>
        </w:numPr>
        <w:rPr>
          <w:rFonts w:ascii="Arial" w:cs="Arial" w:eastAsia="Arial" w:hAnsi="Arial"/>
          <w:sz w:val="16"/>
          <w:szCs w:val="16"/>
          <w:color w:val="auto"/>
        </w:rPr>
      </w:pPr>
      <w:r>
        <w:rPr>
          <w:rFonts w:ascii="Arial" w:cs="Arial" w:eastAsia="Arial" w:hAnsi="Arial"/>
          <w:sz w:val="16"/>
          <w:szCs w:val="16"/>
          <w:color w:val="auto"/>
        </w:rPr>
        <w:t>Loss on debt extinguishment resulted from the payoff of the 7.0% Subordinated Unsecured Convertible Notes due 2026 in conjunction with the Business Combination.</w:t>
      </w:r>
    </w:p>
    <w:p>
      <w:pPr>
        <w:spacing w:after="0" w:line="199" w:lineRule="exact"/>
        <w:rPr>
          <w:rFonts w:ascii="Arial" w:cs="Arial" w:eastAsia="Arial" w:hAnsi="Arial"/>
          <w:sz w:val="16"/>
          <w:szCs w:val="16"/>
          <w:color w:val="auto"/>
        </w:rPr>
      </w:pPr>
    </w:p>
    <w:p>
      <w:pPr>
        <w:ind w:left="500" w:hanging="492"/>
        <w:spacing w:after="0"/>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Amortization of debt costs is composed of the amortization of debt discounts and issuance costs, which is included in interest expense.</w:t>
      </w:r>
    </w:p>
    <w:p>
      <w:pPr>
        <w:spacing w:after="0" w:line="248" w:lineRule="exact"/>
        <w:rPr>
          <w:rFonts w:ascii="Arial" w:cs="Arial" w:eastAsia="Arial" w:hAnsi="Arial"/>
          <w:sz w:val="16"/>
          <w:szCs w:val="16"/>
          <w:color w:val="auto"/>
        </w:rPr>
      </w:pPr>
    </w:p>
    <w:p>
      <w:pPr>
        <w:jc w:val="both"/>
        <w:ind w:left="500" w:right="120" w:hanging="492"/>
        <w:spacing w:after="0" w:line="261" w:lineRule="auto"/>
        <w:tabs>
          <w:tab w:leader="none" w:pos="49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non-GAAP tax rate represents the Company’s calculated tax expense on adjusted non-GAAP income because it excludes the impact on income taxes of certain transaction-related items and other items not reflected in our adjusted non-GAAP results. It does not represent the cash that the Company expects to pay for taxes in the current periods.</w:t>
      </w:r>
    </w:p>
    <w:p>
      <w:pPr>
        <w:spacing w:after="0" w:line="196" w:lineRule="exact"/>
        <w:rPr>
          <w:rFonts w:ascii="Arial" w:cs="Arial" w:eastAsia="Arial" w:hAnsi="Arial"/>
          <w:sz w:val="16"/>
          <w:szCs w:val="16"/>
          <w:color w:val="auto"/>
        </w:rPr>
      </w:pPr>
    </w:p>
    <w:p>
      <w:pPr>
        <w:jc w:val="both"/>
        <w:ind w:left="500" w:hanging="492"/>
        <w:spacing w:after="0" w:line="236" w:lineRule="auto"/>
        <w:tabs>
          <w:tab w:leader="none" w:pos="49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if-converted tax rate of 33.2% for the three months ended December 31, 2021, reflects the tax rate applicable to the Company for all 2021 periods after the Business Combination. No tax adjustment was made for the twelve month period as it is considered not meaningful because it includes a period before the Business Combination. The if-converted tax rate for the three months ended December 31, 2021 includes an adjustment to the non-GAAP tax rate for the assumed exchange of all partnership units for PWP Class A common stock and the impact of federal and state taxes, an additional incremental tax for its foreign operations, as well as the impact of non-deductible compensation.</w:t>
      </w:r>
    </w:p>
    <w:p>
      <w:pPr>
        <w:spacing w:after="0" w:line="229" w:lineRule="exact"/>
        <w:rPr>
          <w:rFonts w:ascii="Arial" w:cs="Arial" w:eastAsia="Arial" w:hAnsi="Arial"/>
          <w:sz w:val="16"/>
          <w:szCs w:val="16"/>
          <w:color w:val="auto"/>
        </w:rPr>
      </w:pPr>
    </w:p>
    <w:p>
      <w:pPr>
        <w:ind w:left="500" w:right="120" w:hanging="492"/>
        <w:spacing w:after="0" w:line="275" w:lineRule="auto"/>
        <w:tabs>
          <w:tab w:leader="none" w:pos="496"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net income (loss) per Class A share—diluted, if-converted for the twelve-month period ended December 31, 2021 is not meaningful or comparative to GAAP diluted earnings per share, as it excludes activity prior to the Business Combination on June 24, 2021.</w:t>
      </w:r>
    </w:p>
    <w:p>
      <w:pPr>
        <w:spacing w:after="0" w:line="200" w:lineRule="exact"/>
        <w:rPr>
          <w:sz w:val="20"/>
          <w:szCs w:val="20"/>
          <w:color w:val="auto"/>
        </w:rPr>
      </w:pPr>
    </w:p>
    <w:p>
      <w:pPr>
        <w:spacing w:after="0" w:line="225" w:lineRule="exact"/>
        <w:rPr>
          <w:sz w:val="20"/>
          <w:szCs w:val="20"/>
          <w:color w:val="auto"/>
        </w:rPr>
      </w:pPr>
    </w:p>
    <w:p>
      <w:pPr>
        <w:ind w:firstLine="8"/>
        <w:spacing w:after="0" w:line="274" w:lineRule="auto"/>
        <w:tabs>
          <w:tab w:leader="none" w:pos="119"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Throughout this release, adjusted figures represent Non-GAAP information. See “Non-GAAP Financial Measures” and the tables at the end of this release for an explanation of the adjustments and reconciliations to the comparable GAAP numbers.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22"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Professional fees</w:t>
      </w:r>
    </w:p>
    <w:p>
      <w:pPr>
        <w:spacing w:after="0" w:line="2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Technology and infrastructure</w:t>
      </w:r>
    </w:p>
    <w:p>
      <w:pPr>
        <w:spacing w:after="0" w:line="2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Rent and occupancy</w:t>
      </w:r>
    </w:p>
    <w:p>
      <w:pPr>
        <w:spacing w:after="0" w:line="2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Travel and related expenses</w:t>
      </w:r>
    </w:p>
    <w:p>
      <w:pPr>
        <w:spacing w:after="0" w:line="28" w:lineRule="exact"/>
        <w:rPr>
          <w:sz w:val="20"/>
          <w:szCs w:val="20"/>
          <w:color w:val="auto"/>
        </w:rPr>
      </w:pPr>
    </w:p>
    <w:p>
      <w:pPr>
        <w:ind w:left="280" w:right="20"/>
        <w:spacing w:after="0" w:line="332" w:lineRule="auto"/>
        <w:rPr>
          <w:sz w:val="20"/>
          <w:szCs w:val="20"/>
          <w:color w:val="auto"/>
        </w:rPr>
      </w:pPr>
      <w:r>
        <w:rPr>
          <w:rFonts w:ascii="Arial" w:cs="Arial" w:eastAsia="Arial" w:hAnsi="Arial"/>
          <w:sz w:val="13"/>
          <w:szCs w:val="13"/>
          <w:color w:val="auto"/>
        </w:rPr>
        <w:t>General, administrative and other expenses Depreciation and amortization</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Non-compensation expense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U.S. GAAP Reconciliation of Adjusted Results (Unaudited)</w:t>
      </w:r>
    </w:p>
    <w:p>
      <w:pPr>
        <w:spacing w:after="0" w:line="10"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(Dollars in Thousands)</w:t>
      </w:r>
    </w:p>
    <w:p>
      <w:pPr>
        <w:spacing w:after="0" w:line="248"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Year Ended December 31, 2021</w:t>
      </w:r>
    </w:p>
    <w:p>
      <w:pPr>
        <w:spacing w:after="0" w:line="25" w:lineRule="exact"/>
        <w:rPr>
          <w:sz w:val="20"/>
          <w:szCs w:val="20"/>
          <w:color w:val="auto"/>
        </w:rPr>
      </w:pPr>
    </w:p>
    <w:tbl>
      <w:tblPr>
        <w:tblLayout w:type="fixed"/>
        <w:tblInd w:w="1700" w:type="dxa"/>
        <w:tblCellMar>
          <w:top w:w="0" w:type="dxa"/>
          <w:left w:w="0" w:type="dxa"/>
          <w:bottom w:w="0" w:type="dxa"/>
          <w:right w:w="0" w:type="dxa"/>
        </w:tblCellMar>
      </w:tblPr>
      <w:tr>
        <w:trPr>
          <w:trHeight w:val="193"/>
        </w:trPr>
        <w:tc>
          <w:tcPr>
            <w:tcW w:w="24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U.S. GAAP</w:t>
            </w:r>
          </w:p>
        </w:tc>
        <w:tc>
          <w:tcPr>
            <w:tcW w:w="24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gridSpan w:val="2"/>
          </w:tcPr>
          <w:p>
            <w:pPr>
              <w:jc w:val="right"/>
              <w:ind w:right="1108"/>
              <w:spacing w:after="0"/>
              <w:rPr>
                <w:sz w:val="20"/>
                <w:szCs w:val="20"/>
                <w:color w:val="auto"/>
              </w:rPr>
            </w:pPr>
            <w:r>
              <w:rPr>
                <w:rFonts w:ascii="Arial" w:cs="Arial" w:eastAsia="Arial" w:hAnsi="Arial"/>
                <w:sz w:val="14"/>
                <w:szCs w:val="14"/>
                <w:b w:val="1"/>
                <w:bCs w:val="1"/>
                <w:color w:val="auto"/>
              </w:rPr>
              <w:t>Adjustments</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Adjusted</w:t>
            </w:r>
          </w:p>
        </w:tc>
      </w:tr>
      <w:tr>
        <w:trPr>
          <w:trHeight w:val="177"/>
        </w:trPr>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41,891</w:t>
            </w:r>
          </w:p>
        </w:tc>
        <w:tc>
          <w:tcPr>
            <w:tcW w:w="32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(4,831)</w:t>
            </w:r>
          </w:p>
        </w:tc>
        <w:tc>
          <w:tcPr>
            <w:tcW w:w="760" w:type="dxa"/>
            <w:vAlign w:val="bottom"/>
          </w:tcPr>
          <w:p>
            <w:pPr>
              <w:jc w:val="right"/>
              <w:ind w:right="508"/>
              <w:spacing w:after="0"/>
              <w:rPr>
                <w:sz w:val="20"/>
                <w:szCs w:val="20"/>
                <w:color w:val="auto"/>
              </w:rPr>
            </w:pPr>
            <w:r>
              <w:rPr>
                <w:rFonts w:ascii="Arial" w:cs="Arial" w:eastAsia="Arial" w:hAnsi="Arial"/>
                <w:sz w:val="14"/>
                <w:szCs w:val="14"/>
                <w:color w:val="auto"/>
                <w:w w:val="93"/>
              </w:rPr>
              <w:t>(1)</w:t>
            </w:r>
          </w:p>
        </w:tc>
        <w:tc>
          <w:tcPr>
            <w:tcW w:w="2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37,060</w:t>
            </w:r>
          </w:p>
        </w:tc>
        <w:tc>
          <w:tcPr>
            <w:tcW w:w="40" w:type="dxa"/>
            <w:vAlign w:val="bottom"/>
            <w:tcBorders>
              <w:top w:val="single" w:sz="8" w:color="auto"/>
            </w:tcBorders>
          </w:tcPr>
          <w:p>
            <w:pPr>
              <w:spacing w:after="0"/>
              <w:rPr>
                <w:sz w:val="15"/>
                <w:szCs w:val="15"/>
                <w:color w:val="auto"/>
              </w:rPr>
            </w:pPr>
          </w:p>
        </w:tc>
      </w:tr>
      <w:tr>
        <w:trPr>
          <w:trHeight w:val="184"/>
        </w:trPr>
        <w:tc>
          <w:tcPr>
            <w:tcW w:w="240" w:type="dxa"/>
            <w:vAlign w:val="bottom"/>
          </w:tcPr>
          <w:p>
            <w:pPr>
              <w:spacing w:after="0"/>
              <w:rPr>
                <w:sz w:val="15"/>
                <w:szCs w:val="15"/>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28,355</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28,355</w:t>
            </w:r>
          </w:p>
        </w:tc>
        <w:tc>
          <w:tcPr>
            <w:tcW w:w="40" w:type="dxa"/>
            <w:vAlign w:val="bottom"/>
          </w:tcPr>
          <w:p>
            <w:pPr>
              <w:spacing w:after="0"/>
              <w:rPr>
                <w:sz w:val="15"/>
                <w:szCs w:val="15"/>
                <w:color w:val="auto"/>
              </w:rPr>
            </w:pPr>
          </w:p>
        </w:tc>
      </w:tr>
      <w:tr>
        <w:trPr>
          <w:trHeight w:val="189"/>
        </w:trPr>
        <w:tc>
          <w:tcPr>
            <w:tcW w:w="24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26,406</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26,406</w:t>
            </w:r>
          </w:p>
        </w:tc>
        <w:tc>
          <w:tcPr>
            <w:tcW w:w="40" w:type="dxa"/>
            <w:vAlign w:val="bottom"/>
          </w:tcPr>
          <w:p>
            <w:pPr>
              <w:spacing w:after="0"/>
              <w:rPr>
                <w:sz w:val="16"/>
                <w:szCs w:val="16"/>
                <w:color w:val="auto"/>
              </w:rPr>
            </w:pPr>
          </w:p>
        </w:tc>
      </w:tr>
      <w:tr>
        <w:trPr>
          <w:trHeight w:val="189"/>
        </w:trPr>
        <w:tc>
          <w:tcPr>
            <w:tcW w:w="24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6,261</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6,261</w:t>
            </w:r>
          </w:p>
        </w:tc>
        <w:tc>
          <w:tcPr>
            <w:tcW w:w="40" w:type="dxa"/>
            <w:vAlign w:val="bottom"/>
          </w:tcPr>
          <w:p>
            <w:pPr>
              <w:spacing w:after="0"/>
              <w:rPr>
                <w:sz w:val="16"/>
                <w:szCs w:val="16"/>
                <w:color w:val="auto"/>
              </w:rPr>
            </w:pPr>
          </w:p>
        </w:tc>
      </w:tr>
      <w:tr>
        <w:trPr>
          <w:trHeight w:val="189"/>
        </w:trPr>
        <w:tc>
          <w:tcPr>
            <w:tcW w:w="24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16,982</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16,982</w:t>
            </w:r>
          </w:p>
        </w:tc>
        <w:tc>
          <w:tcPr>
            <w:tcW w:w="40" w:type="dxa"/>
            <w:vAlign w:val="bottom"/>
          </w:tcPr>
          <w:p>
            <w:pPr>
              <w:spacing w:after="0"/>
              <w:rPr>
                <w:sz w:val="16"/>
                <w:szCs w:val="16"/>
                <w:color w:val="auto"/>
              </w:rPr>
            </w:pPr>
          </w:p>
        </w:tc>
      </w:tr>
      <w:tr>
        <w:trPr>
          <w:trHeight w:val="195"/>
        </w:trPr>
        <w:tc>
          <w:tcPr>
            <w:tcW w:w="24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14,489</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2"/>
          </w:tcPr>
          <w:p>
            <w:pPr>
              <w:jc w:val="right"/>
              <w:ind w:right="508"/>
              <w:spacing w:after="0"/>
              <w:rPr>
                <w:sz w:val="20"/>
                <w:szCs w:val="20"/>
                <w:color w:val="auto"/>
              </w:rPr>
            </w:pPr>
            <w:r>
              <w:rPr>
                <w:rFonts w:ascii="Arial" w:cs="Arial" w:eastAsia="Arial" w:hAnsi="Arial"/>
                <w:sz w:val="14"/>
                <w:szCs w:val="14"/>
                <w:color w:val="auto"/>
              </w:rPr>
              <w:t>(6,580) (2)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7,909</w:t>
            </w:r>
          </w:p>
        </w:tc>
        <w:tc>
          <w:tcPr>
            <w:tcW w:w="40" w:type="dxa"/>
            <w:vAlign w:val="bottom"/>
          </w:tcPr>
          <w:p>
            <w:pPr>
              <w:spacing w:after="0"/>
              <w:rPr>
                <w:sz w:val="16"/>
                <w:szCs w:val="16"/>
                <w:color w:val="auto"/>
              </w:rPr>
            </w:pPr>
          </w:p>
        </w:tc>
      </w:tr>
      <w:tr>
        <w:trPr>
          <w:trHeight w:val="148"/>
        </w:trPr>
        <w:tc>
          <w:tcPr>
            <w:tcW w:w="240" w:type="dxa"/>
            <w:vAlign w:val="bottom"/>
            <w:tcBorders>
              <w:top w:val="single" w:sz="8" w:color="auto"/>
            </w:tcBorders>
          </w:tcPr>
          <w:p>
            <w:pPr>
              <w:jc w:val="right"/>
              <w:ind w:right="88"/>
              <w:spacing w:after="0" w:line="148"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tcPr>
          <w:p>
            <w:pPr>
              <w:jc w:val="right"/>
              <w:ind w:right="8"/>
              <w:spacing w:after="0" w:line="148" w:lineRule="exact"/>
              <w:rPr>
                <w:sz w:val="20"/>
                <w:szCs w:val="20"/>
                <w:color w:val="auto"/>
              </w:rPr>
            </w:pPr>
            <w:r>
              <w:rPr>
                <w:rFonts w:ascii="Arial" w:cs="Arial" w:eastAsia="Arial" w:hAnsi="Arial"/>
                <w:sz w:val="14"/>
                <w:szCs w:val="14"/>
                <w:color w:val="auto"/>
              </w:rPr>
              <w:t>134,384</w:t>
            </w:r>
          </w:p>
        </w:tc>
        <w:tc>
          <w:tcPr>
            <w:tcW w:w="32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8"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4"/>
                <w:szCs w:val="14"/>
                <w:color w:val="auto"/>
              </w:rPr>
              <w:t>(11,411)</w:t>
            </w:r>
          </w:p>
        </w:tc>
        <w:tc>
          <w:tcPr>
            <w:tcW w:w="760" w:type="dxa"/>
            <w:vAlign w:val="bottom"/>
          </w:tcPr>
          <w:p>
            <w:pPr>
              <w:spacing w:after="0"/>
              <w:rPr>
                <w:sz w:val="12"/>
                <w:szCs w:val="12"/>
                <w:color w:val="auto"/>
              </w:rPr>
            </w:pPr>
          </w:p>
        </w:tc>
        <w:tc>
          <w:tcPr>
            <w:tcW w:w="280" w:type="dxa"/>
            <w:vAlign w:val="bottom"/>
            <w:tcBorders>
              <w:top w:val="single" w:sz="8" w:color="auto"/>
            </w:tcBorders>
            <w:gridSpan w:val="2"/>
          </w:tcPr>
          <w:p>
            <w:pPr>
              <w:jc w:val="right"/>
              <w:ind w:right="200"/>
              <w:spacing w:after="0" w:line="148"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gridSpan w:val="2"/>
          </w:tcPr>
          <w:p>
            <w:pPr>
              <w:jc w:val="right"/>
              <w:ind w:right="40"/>
              <w:spacing w:after="0" w:line="148" w:lineRule="exact"/>
              <w:rPr>
                <w:sz w:val="20"/>
                <w:szCs w:val="20"/>
                <w:color w:val="auto"/>
              </w:rPr>
            </w:pPr>
            <w:r>
              <w:rPr>
                <w:rFonts w:ascii="Arial" w:cs="Arial" w:eastAsia="Arial" w:hAnsi="Arial"/>
                <w:sz w:val="14"/>
                <w:szCs w:val="14"/>
                <w:color w:val="auto"/>
              </w:rPr>
              <w:t>122,973</w:t>
            </w:r>
          </w:p>
        </w:tc>
        <w:tc>
          <w:tcPr>
            <w:tcW w:w="40" w:type="dxa"/>
            <w:vAlign w:val="bottom"/>
            <w:tcBorders>
              <w:top w:val="single" w:sz="8" w:color="auto"/>
            </w:tcBorders>
          </w:tcPr>
          <w:p>
            <w:pPr>
              <w:spacing w:after="0"/>
              <w:rPr>
                <w:sz w:val="12"/>
                <w:szCs w:val="1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-890905</wp:posOffset>
            </wp:positionV>
            <wp:extent cx="681482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14820" cy="12890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-642620</wp:posOffset>
            </wp:positionV>
            <wp:extent cx="681482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14820" cy="12001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-401955</wp:posOffset>
            </wp:positionV>
            <wp:extent cx="681482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14820" cy="12001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-162560</wp:posOffset>
            </wp:positionV>
            <wp:extent cx="68148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14820" cy="146050"/>
                    </a:xfrm>
                    <a:prstGeom prst="rect">
                      <a:avLst/>
                    </a:prstGeom>
                    <a:noFill/>
                  </pic:spPr>
                </pic:pic>
              </a:graphicData>
            </a:graphic>
          </wp:anchor>
        </w:drawing>
      </w:r>
    </w:p>
    <w:p>
      <w:pPr>
        <w:spacing w:after="0" w:line="160"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Year Ended December 31, 2020</w:t>
      </w:r>
    </w:p>
    <w:p>
      <w:pPr>
        <w:spacing w:after="0" w:line="25" w:lineRule="exact"/>
        <w:rPr>
          <w:sz w:val="20"/>
          <w:szCs w:val="20"/>
          <w:color w:val="auto"/>
        </w:rPr>
      </w:pPr>
    </w:p>
    <w:p>
      <w:pPr>
        <w:sectPr>
          <w:pgSz w:w="11900" w:h="16838" w:orient="portrait"/>
          <w:cols w:equalWidth="0" w:num="2">
            <w:col w:w="2780" w:space="720"/>
            <w:col w:w="7740"/>
          </w:cols>
          <w:pgMar w:left="320" w:top="1422" w:right="339" w:bottom="1440" w:gutter="0" w:footer="0" w:header="0"/>
        </w:sectPr>
      </w:pPr>
    </w:p>
    <w:tbl>
      <w:tblPr>
        <w:tblLayout w:type="fixed"/>
        <w:tblInd w:w="260" w:type="dxa"/>
        <w:tblCellMar>
          <w:top w:w="0" w:type="dxa"/>
          <w:left w:w="0" w:type="dxa"/>
          <w:bottom w:w="0" w:type="dxa"/>
          <w:right w:w="0" w:type="dxa"/>
        </w:tblCellMar>
      </w:tblPr>
      <w:tr>
        <w:trPr>
          <w:trHeight w:val="193"/>
        </w:trPr>
        <w:tc>
          <w:tcPr>
            <w:tcW w:w="49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U.S. GAAP</w:t>
            </w:r>
          </w:p>
        </w:tc>
        <w:tc>
          <w:tcPr>
            <w:tcW w:w="24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gridSpan w:val="2"/>
          </w:tcPr>
          <w:p>
            <w:pPr>
              <w:jc w:val="right"/>
              <w:ind w:right="1108"/>
              <w:spacing w:after="0"/>
              <w:rPr>
                <w:sz w:val="20"/>
                <w:szCs w:val="20"/>
                <w:color w:val="auto"/>
              </w:rPr>
            </w:pPr>
            <w:r>
              <w:rPr>
                <w:rFonts w:ascii="Arial" w:cs="Arial" w:eastAsia="Arial" w:hAnsi="Arial"/>
                <w:sz w:val="14"/>
                <w:szCs w:val="14"/>
                <w:b w:val="1"/>
                <w:bCs w:val="1"/>
                <w:color w:val="auto"/>
              </w:rPr>
              <w:t>Adjustments</w:t>
            </w: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Adjusted</w:t>
            </w:r>
          </w:p>
        </w:tc>
      </w:tr>
      <w:tr>
        <w:trPr>
          <w:trHeight w:val="184"/>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Professional fees</w:t>
            </w: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42,880</w:t>
            </w:r>
          </w:p>
        </w:tc>
        <w:tc>
          <w:tcPr>
            <w:tcW w:w="3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(14,831)</w:t>
            </w:r>
          </w:p>
        </w:tc>
        <w:tc>
          <w:tcPr>
            <w:tcW w:w="760" w:type="dxa"/>
            <w:vAlign w:val="bottom"/>
            <w:tcBorders>
              <w:top w:val="single" w:sz="8" w:color="CCEEFF"/>
            </w:tcBorders>
            <w:shd w:val="clear" w:color="auto" w:fill="CCEEFF"/>
          </w:tcPr>
          <w:p>
            <w:pPr>
              <w:jc w:val="right"/>
              <w:ind w:right="508"/>
              <w:spacing w:after="0"/>
              <w:rPr>
                <w:sz w:val="20"/>
                <w:szCs w:val="20"/>
                <w:color w:val="auto"/>
              </w:rPr>
            </w:pPr>
            <w:r>
              <w:rPr>
                <w:rFonts w:ascii="Arial" w:cs="Arial" w:eastAsia="Arial" w:hAnsi="Arial"/>
                <w:sz w:val="14"/>
                <w:szCs w:val="14"/>
                <w:color w:val="auto"/>
                <w:w w:val="93"/>
              </w:rPr>
              <w:t>(3)</w:t>
            </w:r>
          </w:p>
        </w:tc>
        <w:tc>
          <w:tcPr>
            <w:tcW w:w="28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28,049</w:t>
            </w:r>
          </w:p>
        </w:tc>
        <w:tc>
          <w:tcPr>
            <w:tcW w:w="40" w:type="dxa"/>
            <w:vAlign w:val="bottom"/>
            <w:tcBorders>
              <w:top w:val="single" w:sz="8" w:color="auto"/>
            </w:tcBorders>
            <w:shd w:val="clear" w:color="auto" w:fill="CCEEFF"/>
          </w:tcPr>
          <w:p>
            <w:pPr>
              <w:spacing w:after="0"/>
              <w:rPr>
                <w:sz w:val="15"/>
                <w:szCs w:val="15"/>
                <w:color w:val="auto"/>
              </w:rPr>
            </w:pPr>
          </w:p>
        </w:tc>
      </w:tr>
      <w:tr>
        <w:trPr>
          <w:trHeight w:val="186"/>
        </w:trPr>
        <w:tc>
          <w:tcPr>
            <w:tcW w:w="494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24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27,281</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27,281</w:t>
            </w:r>
          </w:p>
        </w:tc>
        <w:tc>
          <w:tcPr>
            <w:tcW w:w="40" w:type="dxa"/>
            <w:vAlign w:val="bottom"/>
          </w:tcPr>
          <w:p>
            <w:pPr>
              <w:spacing w:after="0"/>
              <w:rPr>
                <w:sz w:val="16"/>
                <w:szCs w:val="16"/>
                <w:color w:val="auto"/>
              </w:rPr>
            </w:pPr>
          </w:p>
        </w:tc>
      </w:tr>
      <w:tr>
        <w:trPr>
          <w:trHeight w:val="192"/>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 and occupancy</w:t>
            </w: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27,958</w:t>
            </w: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27,958</w:t>
            </w:r>
          </w:p>
        </w:tc>
        <w:tc>
          <w:tcPr>
            <w:tcW w:w="40" w:type="dxa"/>
            <w:vAlign w:val="bottom"/>
            <w:shd w:val="clear" w:color="auto" w:fill="CCEEFF"/>
          </w:tcPr>
          <w:p>
            <w:pPr>
              <w:spacing w:after="0"/>
              <w:rPr>
                <w:sz w:val="16"/>
                <w:szCs w:val="16"/>
                <w:color w:val="auto"/>
              </w:rPr>
            </w:pPr>
          </w:p>
        </w:tc>
      </w:tr>
      <w:tr>
        <w:trPr>
          <w:trHeight w:val="186"/>
        </w:trPr>
        <w:tc>
          <w:tcPr>
            <w:tcW w:w="494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24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5,725</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5,725</w:t>
            </w:r>
          </w:p>
        </w:tc>
        <w:tc>
          <w:tcPr>
            <w:tcW w:w="40" w:type="dxa"/>
            <w:vAlign w:val="bottom"/>
          </w:tcPr>
          <w:p>
            <w:pPr>
              <w:spacing w:after="0"/>
              <w:rPr>
                <w:sz w:val="16"/>
                <w:szCs w:val="16"/>
                <w:color w:val="auto"/>
              </w:rPr>
            </w:pPr>
          </w:p>
        </w:tc>
      </w:tr>
      <w:tr>
        <w:trPr>
          <w:trHeight w:val="192"/>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15,060</w:t>
            </w: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15,060</w:t>
            </w:r>
          </w:p>
        </w:tc>
        <w:tc>
          <w:tcPr>
            <w:tcW w:w="40" w:type="dxa"/>
            <w:vAlign w:val="bottom"/>
            <w:shd w:val="clear" w:color="auto" w:fill="CCEEFF"/>
          </w:tcPr>
          <w:p>
            <w:pPr>
              <w:spacing w:after="0"/>
              <w:rPr>
                <w:sz w:val="16"/>
                <w:szCs w:val="16"/>
                <w:color w:val="auto"/>
              </w:rPr>
            </w:pPr>
          </w:p>
        </w:tc>
      </w:tr>
      <w:tr>
        <w:trPr>
          <w:trHeight w:val="186"/>
        </w:trPr>
        <w:tc>
          <w:tcPr>
            <w:tcW w:w="49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15,531</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2"/>
          </w:tcPr>
          <w:p>
            <w:pPr>
              <w:jc w:val="right"/>
              <w:ind w:right="508"/>
              <w:spacing w:after="0"/>
              <w:rPr>
                <w:sz w:val="20"/>
                <w:szCs w:val="20"/>
                <w:color w:val="auto"/>
              </w:rPr>
            </w:pPr>
            <w:r>
              <w:rPr>
                <w:rFonts w:ascii="Arial" w:cs="Arial" w:eastAsia="Arial" w:hAnsi="Arial"/>
                <w:sz w:val="14"/>
                <w:szCs w:val="14"/>
                <w:color w:val="auto"/>
              </w:rPr>
              <w:t>(6,580) (2)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8,951</w:t>
            </w:r>
          </w:p>
        </w:tc>
        <w:tc>
          <w:tcPr>
            <w:tcW w:w="40" w:type="dxa"/>
            <w:vAlign w:val="bottom"/>
          </w:tcPr>
          <w:p>
            <w:pPr>
              <w:spacing w:after="0"/>
              <w:rPr>
                <w:sz w:val="16"/>
                <w:szCs w:val="16"/>
                <w:color w:val="auto"/>
              </w:rPr>
            </w:pPr>
          </w:p>
        </w:tc>
      </w:tr>
      <w:tr>
        <w:trPr>
          <w:trHeight w:val="211"/>
        </w:trPr>
        <w:tc>
          <w:tcPr>
            <w:tcW w:w="4940" w:type="dxa"/>
            <w:vAlign w:val="bottom"/>
            <w:tcBorders>
              <w:top w:val="single" w:sz="8" w:color="CCEEFF"/>
              <w:bottom w:val="single" w:sz="8" w:color="CCEEFF"/>
            </w:tcBorders>
            <w:shd w:val="clear" w:color="auto" w:fill="CCEEFF"/>
          </w:tcPr>
          <w:p>
            <w:pPr>
              <w:ind w:left="340"/>
              <w:spacing w:after="0" w:line="142" w:lineRule="exact"/>
              <w:rPr>
                <w:sz w:val="20"/>
                <w:szCs w:val="20"/>
                <w:color w:val="auto"/>
              </w:rPr>
            </w:pPr>
            <w:r>
              <w:rPr>
                <w:rFonts w:ascii="Arial" w:cs="Arial" w:eastAsia="Arial" w:hAnsi="Arial"/>
                <w:sz w:val="14"/>
                <w:szCs w:val="14"/>
                <w:b w:val="1"/>
                <w:bCs w:val="1"/>
                <w:color w:val="auto"/>
              </w:rPr>
              <w:t>Non-compensation expense</w:t>
            </w:r>
          </w:p>
        </w:tc>
        <w:tc>
          <w:tcPr>
            <w:tcW w:w="240" w:type="dxa"/>
            <w:vAlign w:val="bottom"/>
            <w:tcBorders>
              <w:top w:val="single" w:sz="8" w:color="auto"/>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134,435</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(21,411)</w:t>
            </w: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86"/>
              </w:rPr>
              <w:t>113,024</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w w:val="95"/>
              </w:rPr>
              <w:t>Three Months Ended December 31, 2021</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r>
      <w:tr>
        <w:trPr>
          <w:trHeight w:val="187"/>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368"/>
              <w:spacing w:after="0"/>
              <w:rPr>
                <w:sz w:val="20"/>
                <w:szCs w:val="20"/>
                <w:color w:val="auto"/>
              </w:rPr>
            </w:pPr>
            <w:r>
              <w:rPr>
                <w:rFonts w:ascii="Arial" w:cs="Arial" w:eastAsia="Arial" w:hAnsi="Arial"/>
                <w:sz w:val="14"/>
                <w:szCs w:val="14"/>
                <w:b w:val="1"/>
                <w:bCs w:val="1"/>
                <w:color w:val="auto"/>
              </w:rPr>
              <w:t>U.S. GAAP</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2"/>
          </w:tcPr>
          <w:p>
            <w:pPr>
              <w:jc w:val="right"/>
              <w:ind w:right="1108"/>
              <w:spacing w:after="0"/>
              <w:rPr>
                <w:sz w:val="20"/>
                <w:szCs w:val="20"/>
                <w:color w:val="auto"/>
              </w:rPr>
            </w:pPr>
            <w:r>
              <w:rPr>
                <w:rFonts w:ascii="Arial" w:cs="Arial" w:eastAsia="Arial" w:hAnsi="Arial"/>
                <w:sz w:val="14"/>
                <w:szCs w:val="14"/>
                <w:b w:val="1"/>
                <w:bCs w:val="1"/>
                <w:color w:val="auto"/>
              </w:rPr>
              <w:t>Adjustments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tcPr>
          <w:p>
            <w:pPr>
              <w:ind w:left="200"/>
              <w:spacing w:after="0"/>
              <w:rPr>
                <w:sz w:val="20"/>
                <w:szCs w:val="20"/>
                <w:color w:val="auto"/>
              </w:rPr>
            </w:pPr>
            <w:r>
              <w:rPr>
                <w:rFonts w:ascii="Arial" w:cs="Arial" w:eastAsia="Arial" w:hAnsi="Arial"/>
                <w:sz w:val="14"/>
                <w:szCs w:val="14"/>
                <w:b w:val="1"/>
                <w:bCs w:val="1"/>
                <w:color w:val="auto"/>
              </w:rPr>
              <w:t>Adjusted</w:t>
            </w:r>
          </w:p>
        </w:tc>
      </w:tr>
      <w:tr>
        <w:trPr>
          <w:trHeight w:val="184"/>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Professional fees</w:t>
            </w: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12,937</w:t>
            </w:r>
          </w:p>
        </w:tc>
        <w:tc>
          <w:tcPr>
            <w:tcW w:w="3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760" w:type="dxa"/>
            <w:vAlign w:val="bottom"/>
            <w:tcBorders>
              <w:top w:val="single" w:sz="8" w:color="CCEEFF"/>
            </w:tcBorders>
            <w:shd w:val="clear" w:color="auto" w:fill="CCEEFF"/>
          </w:tcPr>
          <w:p>
            <w:pPr>
              <w:jc w:val="right"/>
              <w:ind w:right="508"/>
              <w:spacing w:after="0"/>
              <w:rPr>
                <w:sz w:val="20"/>
                <w:szCs w:val="20"/>
                <w:color w:val="auto"/>
              </w:rPr>
            </w:pPr>
            <w:r>
              <w:rPr>
                <w:rFonts w:ascii="Arial" w:cs="Arial" w:eastAsia="Arial" w:hAnsi="Arial"/>
                <w:sz w:val="14"/>
                <w:szCs w:val="14"/>
                <w:color w:val="auto"/>
                <w:w w:val="93"/>
              </w:rPr>
              <w:t>(1)</w:t>
            </w:r>
          </w:p>
        </w:tc>
        <w:tc>
          <w:tcPr>
            <w:tcW w:w="28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12,658</w:t>
            </w:r>
          </w:p>
        </w:tc>
        <w:tc>
          <w:tcPr>
            <w:tcW w:w="40" w:type="dxa"/>
            <w:vAlign w:val="bottom"/>
            <w:tcBorders>
              <w:top w:val="single" w:sz="8" w:color="auto"/>
            </w:tcBorders>
            <w:shd w:val="clear" w:color="auto" w:fill="CCEEFF"/>
          </w:tcPr>
          <w:p>
            <w:pPr>
              <w:spacing w:after="0"/>
              <w:rPr>
                <w:sz w:val="15"/>
                <w:szCs w:val="15"/>
                <w:color w:val="auto"/>
              </w:rPr>
            </w:pPr>
          </w:p>
        </w:tc>
      </w:tr>
      <w:tr>
        <w:trPr>
          <w:trHeight w:val="186"/>
        </w:trPr>
        <w:tc>
          <w:tcPr>
            <w:tcW w:w="494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24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6,890</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6,890</w:t>
            </w:r>
          </w:p>
        </w:tc>
        <w:tc>
          <w:tcPr>
            <w:tcW w:w="40" w:type="dxa"/>
            <w:vAlign w:val="bottom"/>
          </w:tcPr>
          <w:p>
            <w:pPr>
              <w:spacing w:after="0"/>
              <w:rPr>
                <w:sz w:val="16"/>
                <w:szCs w:val="16"/>
                <w:color w:val="auto"/>
              </w:rPr>
            </w:pPr>
          </w:p>
        </w:tc>
      </w:tr>
      <w:tr>
        <w:trPr>
          <w:trHeight w:val="192"/>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 and occupancy</w:t>
            </w: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6,338</w:t>
            </w: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6,338</w:t>
            </w:r>
          </w:p>
        </w:tc>
        <w:tc>
          <w:tcPr>
            <w:tcW w:w="40" w:type="dxa"/>
            <w:vAlign w:val="bottom"/>
            <w:shd w:val="clear" w:color="auto" w:fill="CCEEFF"/>
          </w:tcPr>
          <w:p>
            <w:pPr>
              <w:spacing w:after="0"/>
              <w:rPr>
                <w:sz w:val="16"/>
                <w:szCs w:val="16"/>
                <w:color w:val="auto"/>
              </w:rPr>
            </w:pPr>
          </w:p>
        </w:tc>
      </w:tr>
      <w:tr>
        <w:trPr>
          <w:trHeight w:val="186"/>
        </w:trPr>
        <w:tc>
          <w:tcPr>
            <w:tcW w:w="494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24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2,756</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2,756</w:t>
            </w:r>
          </w:p>
        </w:tc>
        <w:tc>
          <w:tcPr>
            <w:tcW w:w="40" w:type="dxa"/>
            <w:vAlign w:val="bottom"/>
          </w:tcPr>
          <w:p>
            <w:pPr>
              <w:spacing w:after="0"/>
              <w:rPr>
                <w:sz w:val="16"/>
                <w:szCs w:val="16"/>
                <w:color w:val="auto"/>
              </w:rPr>
            </w:pPr>
          </w:p>
        </w:tc>
      </w:tr>
      <w:tr>
        <w:trPr>
          <w:trHeight w:val="192"/>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4,977</w:t>
            </w: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4,977</w:t>
            </w:r>
          </w:p>
        </w:tc>
        <w:tc>
          <w:tcPr>
            <w:tcW w:w="40" w:type="dxa"/>
            <w:vAlign w:val="bottom"/>
            <w:shd w:val="clear" w:color="auto" w:fill="CCEEFF"/>
          </w:tcPr>
          <w:p>
            <w:pPr>
              <w:spacing w:after="0"/>
              <w:rPr>
                <w:sz w:val="16"/>
                <w:szCs w:val="16"/>
                <w:color w:val="auto"/>
              </w:rPr>
            </w:pPr>
          </w:p>
        </w:tc>
      </w:tr>
      <w:tr>
        <w:trPr>
          <w:trHeight w:val="210"/>
        </w:trPr>
        <w:tc>
          <w:tcPr>
            <w:tcW w:w="49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3,408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2"/>
          </w:tcPr>
          <w:p>
            <w:pPr>
              <w:jc w:val="right"/>
              <w:ind w:right="508"/>
              <w:spacing w:after="0"/>
              <w:rPr>
                <w:sz w:val="20"/>
                <w:szCs w:val="20"/>
                <w:color w:val="auto"/>
              </w:rPr>
            </w:pPr>
            <w:r>
              <w:rPr>
                <w:rFonts w:ascii="Arial" w:cs="Arial" w:eastAsia="Arial" w:hAnsi="Arial"/>
                <w:sz w:val="14"/>
                <w:szCs w:val="14"/>
                <w:color w:val="auto"/>
              </w:rPr>
              <w:t>(1,645) (2)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1,763</w:t>
            </w:r>
          </w:p>
        </w:tc>
        <w:tc>
          <w:tcPr>
            <w:tcW w:w="40" w:type="dxa"/>
            <w:vAlign w:val="bottom"/>
          </w:tcPr>
          <w:p>
            <w:pPr>
              <w:spacing w:after="0"/>
              <w:rPr>
                <w:sz w:val="18"/>
                <w:szCs w:val="18"/>
                <w:color w:val="auto"/>
              </w:rPr>
            </w:pPr>
          </w:p>
        </w:tc>
      </w:tr>
      <w:tr>
        <w:trPr>
          <w:trHeight w:val="214"/>
        </w:trPr>
        <w:tc>
          <w:tcPr>
            <w:tcW w:w="4940" w:type="dxa"/>
            <w:vAlign w:val="bottom"/>
            <w:tcBorders>
              <w:top w:val="single" w:sz="8" w:color="CCEEFF"/>
              <w:bottom w:val="single" w:sz="8" w:color="CCEEFF"/>
            </w:tcBorders>
            <w:shd w:val="clear" w:color="auto" w:fill="CCEEFF"/>
          </w:tcPr>
          <w:p>
            <w:pPr>
              <w:ind w:left="340"/>
              <w:spacing w:after="0" w:line="142" w:lineRule="exact"/>
              <w:rPr>
                <w:sz w:val="20"/>
                <w:szCs w:val="20"/>
                <w:color w:val="auto"/>
              </w:rPr>
            </w:pPr>
            <w:r>
              <w:rPr>
                <w:rFonts w:ascii="Arial" w:cs="Arial" w:eastAsia="Arial" w:hAnsi="Arial"/>
                <w:sz w:val="14"/>
                <w:szCs w:val="14"/>
                <w:b w:val="1"/>
                <w:bCs w:val="1"/>
                <w:color w:val="auto"/>
              </w:rPr>
              <w:t>Non-compensation expense</w:t>
            </w:r>
          </w:p>
        </w:tc>
        <w:tc>
          <w:tcPr>
            <w:tcW w:w="240" w:type="dxa"/>
            <w:vAlign w:val="bottom"/>
            <w:tcBorders>
              <w:top w:val="single" w:sz="8" w:color="auto"/>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37,306</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(1,924)</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83"/>
              </w:rPr>
              <w:t>35,382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Three Months Ended December 31, 2020</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r>
      <w:tr>
        <w:trPr>
          <w:trHeight w:val="187"/>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368"/>
              <w:spacing w:after="0"/>
              <w:rPr>
                <w:sz w:val="20"/>
                <w:szCs w:val="20"/>
                <w:color w:val="auto"/>
              </w:rPr>
            </w:pPr>
            <w:r>
              <w:rPr>
                <w:rFonts w:ascii="Arial" w:cs="Arial" w:eastAsia="Arial" w:hAnsi="Arial"/>
                <w:sz w:val="14"/>
                <w:szCs w:val="14"/>
                <w:b w:val="1"/>
                <w:bCs w:val="1"/>
                <w:color w:val="auto"/>
              </w:rPr>
              <w:t>U.S. GAAP</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2"/>
          </w:tcPr>
          <w:p>
            <w:pPr>
              <w:ind w:left="160"/>
              <w:spacing w:after="0"/>
              <w:rPr>
                <w:sz w:val="20"/>
                <w:szCs w:val="20"/>
                <w:color w:val="auto"/>
              </w:rPr>
            </w:pPr>
            <w:r>
              <w:rPr>
                <w:rFonts w:ascii="Arial" w:cs="Arial" w:eastAsia="Arial" w:hAnsi="Arial"/>
                <w:sz w:val="14"/>
                <w:szCs w:val="14"/>
                <w:b w:val="1"/>
                <w:bCs w:val="1"/>
                <w:color w:val="auto"/>
              </w:rPr>
              <w:t>Adjustments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tcPr>
          <w:p>
            <w:pPr>
              <w:ind w:left="200"/>
              <w:spacing w:after="0"/>
              <w:rPr>
                <w:sz w:val="20"/>
                <w:szCs w:val="20"/>
                <w:color w:val="auto"/>
              </w:rPr>
            </w:pPr>
            <w:r>
              <w:rPr>
                <w:rFonts w:ascii="Arial" w:cs="Arial" w:eastAsia="Arial" w:hAnsi="Arial"/>
                <w:sz w:val="14"/>
                <w:szCs w:val="14"/>
                <w:b w:val="1"/>
                <w:bCs w:val="1"/>
                <w:color w:val="auto"/>
              </w:rPr>
              <w:t>Adjusted</w:t>
            </w:r>
          </w:p>
        </w:tc>
      </w:tr>
      <w:tr>
        <w:trPr>
          <w:trHeight w:val="184"/>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Professional fees</w:t>
            </w: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8,401</w:t>
            </w:r>
          </w:p>
        </w:tc>
        <w:tc>
          <w:tcPr>
            <w:tcW w:w="3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center"/>
              <w:ind w:left="988"/>
              <w:spacing w:after="0"/>
              <w:rPr>
                <w:sz w:val="20"/>
                <w:szCs w:val="20"/>
                <w:color w:val="auto"/>
              </w:rPr>
            </w:pPr>
            <w:r>
              <w:rPr>
                <w:rFonts w:ascii="Arial" w:cs="Arial" w:eastAsia="Arial" w:hAnsi="Arial"/>
                <w:sz w:val="14"/>
                <w:szCs w:val="14"/>
                <w:color w:val="auto"/>
                <w:w w:val="99"/>
              </w:rPr>
              <w:t>—</w:t>
            </w:r>
          </w:p>
        </w:tc>
        <w:tc>
          <w:tcPr>
            <w:tcW w:w="7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8,401</w:t>
            </w:r>
          </w:p>
        </w:tc>
        <w:tc>
          <w:tcPr>
            <w:tcW w:w="40" w:type="dxa"/>
            <w:vAlign w:val="bottom"/>
            <w:tcBorders>
              <w:top w:val="single" w:sz="8" w:color="auto"/>
            </w:tcBorders>
            <w:shd w:val="clear" w:color="auto" w:fill="CCEEFF"/>
          </w:tcPr>
          <w:p>
            <w:pPr>
              <w:spacing w:after="0"/>
              <w:rPr>
                <w:sz w:val="15"/>
                <w:szCs w:val="15"/>
                <w:color w:val="auto"/>
              </w:rPr>
            </w:pPr>
          </w:p>
        </w:tc>
      </w:tr>
      <w:tr>
        <w:trPr>
          <w:trHeight w:val="186"/>
        </w:trPr>
        <w:tc>
          <w:tcPr>
            <w:tcW w:w="494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24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7,074</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2"/>
          </w:tcPr>
          <w:p>
            <w:pPr>
              <w:jc w:val="center"/>
              <w:ind w:left="2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7,074</w:t>
            </w:r>
          </w:p>
        </w:tc>
        <w:tc>
          <w:tcPr>
            <w:tcW w:w="40" w:type="dxa"/>
            <w:vAlign w:val="bottom"/>
          </w:tcPr>
          <w:p>
            <w:pPr>
              <w:spacing w:after="0"/>
              <w:rPr>
                <w:sz w:val="16"/>
                <w:szCs w:val="16"/>
                <w:color w:val="auto"/>
              </w:rPr>
            </w:pPr>
          </w:p>
        </w:tc>
      </w:tr>
      <w:tr>
        <w:trPr>
          <w:trHeight w:val="192"/>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 and occupancy</w:t>
            </w: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7,156</w:t>
            </w: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center"/>
              <w:ind w:left="228"/>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7,156</w:t>
            </w:r>
          </w:p>
        </w:tc>
        <w:tc>
          <w:tcPr>
            <w:tcW w:w="40" w:type="dxa"/>
            <w:vAlign w:val="bottom"/>
            <w:shd w:val="clear" w:color="auto" w:fill="CCEEFF"/>
          </w:tcPr>
          <w:p>
            <w:pPr>
              <w:spacing w:after="0"/>
              <w:rPr>
                <w:sz w:val="16"/>
                <w:szCs w:val="16"/>
                <w:color w:val="auto"/>
              </w:rPr>
            </w:pPr>
          </w:p>
        </w:tc>
      </w:tr>
      <w:tr>
        <w:trPr>
          <w:trHeight w:val="186"/>
        </w:trPr>
        <w:tc>
          <w:tcPr>
            <w:tcW w:w="494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24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744</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2"/>
          </w:tcPr>
          <w:p>
            <w:pPr>
              <w:jc w:val="center"/>
              <w:ind w:left="2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744</w:t>
            </w:r>
          </w:p>
        </w:tc>
        <w:tc>
          <w:tcPr>
            <w:tcW w:w="40" w:type="dxa"/>
            <w:vAlign w:val="bottom"/>
          </w:tcPr>
          <w:p>
            <w:pPr>
              <w:spacing w:after="0"/>
              <w:rPr>
                <w:sz w:val="16"/>
                <w:szCs w:val="16"/>
                <w:color w:val="auto"/>
              </w:rPr>
            </w:pPr>
          </w:p>
        </w:tc>
      </w:tr>
      <w:tr>
        <w:trPr>
          <w:trHeight w:val="192"/>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2,603</w:t>
            </w: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center"/>
              <w:ind w:left="228"/>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2,603</w:t>
            </w:r>
          </w:p>
        </w:tc>
        <w:tc>
          <w:tcPr>
            <w:tcW w:w="40" w:type="dxa"/>
            <w:vAlign w:val="bottom"/>
            <w:shd w:val="clear" w:color="auto" w:fill="CCEEFF"/>
          </w:tcPr>
          <w:p>
            <w:pPr>
              <w:spacing w:after="0"/>
              <w:rPr>
                <w:sz w:val="16"/>
                <w:szCs w:val="16"/>
                <w:color w:val="auto"/>
              </w:rPr>
            </w:pPr>
          </w:p>
        </w:tc>
      </w:tr>
      <w:tr>
        <w:trPr>
          <w:trHeight w:val="186"/>
        </w:trPr>
        <w:tc>
          <w:tcPr>
            <w:tcW w:w="49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3,886</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2"/>
          </w:tcPr>
          <w:p>
            <w:pPr>
              <w:jc w:val="center"/>
              <w:ind w:left="248"/>
              <w:spacing w:after="0"/>
              <w:rPr>
                <w:sz w:val="20"/>
                <w:szCs w:val="20"/>
                <w:color w:val="auto"/>
              </w:rPr>
            </w:pPr>
            <w:r>
              <w:rPr>
                <w:rFonts w:ascii="Arial" w:cs="Arial" w:eastAsia="Arial" w:hAnsi="Arial"/>
                <w:sz w:val="14"/>
                <w:szCs w:val="14"/>
                <w:color w:val="auto"/>
                <w:w w:val="97"/>
              </w:rPr>
              <w:t>(1,645) (2)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2,241</w:t>
            </w:r>
          </w:p>
        </w:tc>
        <w:tc>
          <w:tcPr>
            <w:tcW w:w="40" w:type="dxa"/>
            <w:vAlign w:val="bottom"/>
          </w:tcPr>
          <w:p>
            <w:pPr>
              <w:spacing w:after="0"/>
              <w:rPr>
                <w:sz w:val="16"/>
                <w:szCs w:val="16"/>
                <w:color w:val="auto"/>
              </w:rPr>
            </w:pPr>
          </w:p>
        </w:tc>
      </w:tr>
      <w:tr>
        <w:trPr>
          <w:trHeight w:val="211"/>
        </w:trPr>
        <w:tc>
          <w:tcPr>
            <w:tcW w:w="4940" w:type="dxa"/>
            <w:vAlign w:val="bottom"/>
            <w:tcBorders>
              <w:top w:val="single" w:sz="8" w:color="CCEEFF"/>
              <w:bottom w:val="single" w:sz="8" w:color="CCEEFF"/>
            </w:tcBorders>
            <w:shd w:val="clear" w:color="auto" w:fill="CCEEFF"/>
          </w:tcPr>
          <w:p>
            <w:pPr>
              <w:ind w:left="340"/>
              <w:spacing w:after="0" w:line="142" w:lineRule="exact"/>
              <w:rPr>
                <w:sz w:val="20"/>
                <w:szCs w:val="20"/>
                <w:color w:val="auto"/>
              </w:rPr>
            </w:pPr>
            <w:r>
              <w:rPr>
                <w:rFonts w:ascii="Arial" w:cs="Arial" w:eastAsia="Arial" w:hAnsi="Arial"/>
                <w:sz w:val="14"/>
                <w:szCs w:val="14"/>
                <w:b w:val="1"/>
                <w:bCs w:val="1"/>
                <w:color w:val="auto"/>
              </w:rPr>
              <w:t>Non-compensation expense</w:t>
            </w:r>
          </w:p>
        </w:tc>
        <w:tc>
          <w:tcPr>
            <w:tcW w:w="240" w:type="dxa"/>
            <w:vAlign w:val="bottom"/>
            <w:tcBorders>
              <w:top w:val="single" w:sz="8" w:color="auto"/>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29,864</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(1,645)</w:t>
            </w: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83"/>
              </w:rPr>
              <w:t>28,219</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left="400" w:hanging="226"/>
        <w:spacing w:after="0"/>
        <w:tabs>
          <w:tab w:leader="none" w:pos="4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Reflects an adjustment to exclude transaction costs associated with the Business Combination.</w:t>
      </w:r>
    </w:p>
    <w:p>
      <w:pPr>
        <w:spacing w:after="0" w:line="221" w:lineRule="exact"/>
        <w:rPr>
          <w:rFonts w:ascii="Arial" w:cs="Arial" w:eastAsia="Arial" w:hAnsi="Arial"/>
          <w:sz w:val="16"/>
          <w:szCs w:val="16"/>
          <w:color w:val="auto"/>
        </w:rPr>
      </w:pPr>
    </w:p>
    <w:p>
      <w:pPr>
        <w:ind w:left="400" w:hanging="226"/>
        <w:spacing w:after="0"/>
        <w:tabs>
          <w:tab w:leader="none" w:pos="4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Reflects an adjustment to exclude the amortization of intangible assets related to the TPH business combination.</w:t>
      </w:r>
    </w:p>
    <w:p>
      <w:pPr>
        <w:spacing w:after="0" w:line="234" w:lineRule="exact"/>
        <w:rPr>
          <w:rFonts w:ascii="Arial" w:cs="Arial" w:eastAsia="Arial" w:hAnsi="Arial"/>
          <w:sz w:val="16"/>
          <w:szCs w:val="16"/>
          <w:color w:val="auto"/>
        </w:rPr>
      </w:pPr>
    </w:p>
    <w:p>
      <w:pPr>
        <w:ind w:left="240" w:right="460" w:hanging="66"/>
        <w:spacing w:after="0" w:line="293" w:lineRule="auto"/>
        <w:tabs>
          <w:tab w:leader="none" w:pos="412" w:val="left"/>
        </w:tabs>
        <w:numPr>
          <w:ilvl w:val="1"/>
          <w:numId w:val="21"/>
        </w:numPr>
        <w:rPr>
          <w:rFonts w:ascii="Arial" w:cs="Arial" w:eastAsia="Arial" w:hAnsi="Arial"/>
          <w:sz w:val="16"/>
          <w:szCs w:val="16"/>
          <w:color w:val="auto"/>
        </w:rPr>
      </w:pPr>
      <w:r>
        <w:rPr>
          <w:rFonts w:ascii="Arial" w:cs="Arial" w:eastAsia="Arial" w:hAnsi="Arial"/>
          <w:sz w:val="16"/>
          <w:szCs w:val="16"/>
          <w:color w:val="auto"/>
        </w:rPr>
        <w:t>Reflects an adjustment to exclude previously deferred offering costs that were expensed due to termination of the public company transaction process in May of 2020.</w:t>
      </w:r>
    </w:p>
    <w:p>
      <w:pPr>
        <w:spacing w:after="0" w:line="195" w:lineRule="exact"/>
        <w:rPr>
          <w:rFonts w:ascii="Arial" w:cs="Arial" w:eastAsia="Arial" w:hAnsi="Arial"/>
          <w:sz w:val="16"/>
          <w:szCs w:val="16"/>
          <w:color w:val="auto"/>
        </w:rPr>
      </w:pPr>
    </w:p>
    <w:p>
      <w:pPr>
        <w:spacing w:after="0" w:line="274" w:lineRule="auto"/>
        <w:rPr>
          <w:rFonts w:ascii="Arial" w:cs="Arial" w:eastAsia="Arial" w:hAnsi="Arial"/>
          <w:sz w:val="16"/>
          <w:szCs w:val="16"/>
          <w:color w:val="auto"/>
        </w:rPr>
      </w:pPr>
      <w:r>
        <w:rPr>
          <w:rFonts w:ascii="Arial" w:cs="Arial" w:eastAsia="Arial" w:hAnsi="Arial"/>
          <w:sz w:val="15"/>
          <w:szCs w:val="15"/>
          <w:color w:val="auto"/>
        </w:rPr>
        <w:t>* Throughout this release, adjusted figures represent Non-GAAP information. See “Non-GAAP Financial Measures” and the tables at the end of this release for an explanation of the adjustments and reconciliations to the comparable GAAP numbers.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sectPr>
      <w:pgSz w:w="11900" w:h="16838" w:orient="portrait"/>
      <w:cols w:equalWidth="0" w:num="1">
        <w:col w:w="11240"/>
      </w:cols>
      <w:pgMar w:left="320" w:top="142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lvl w:ilvl="1">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855"/>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lvl w:ilvl="1">
      <w:lvlJc w:val="left"/>
      <w:lvlText w:val="•"/>
      <w:numFmt w:val="bullet"/>
      <w:start w:val="1"/>
    </w:lvl>
  </w:abstractNum>
  <w:abstractNum w:abstractNumId="12">
    <w:nsid w:val="25E45D32"/>
    <w:multiLevelType w:val="hybridMultilevel"/>
    <w:lvl w:ilvl="0">
      <w:lvlJc w:val="left"/>
      <w:lvlText w:val="•"/>
      <w:numFmt w:val="bullet"/>
      <w:start w:val="1"/>
    </w:lvl>
    <w:lvl w:ilvl="1">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2022-02-17T15:22:23Z</dcterms:created>
  <dcterms:modified xsi:type="dcterms:W3CDTF">2022-02-17T15:22:23Z</dcterms:modified>
</cp:coreProperties>
</file>