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4890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90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Bednar Andrew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PWP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9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48,528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845,036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24,774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19.31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820,262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Performance-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48,528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 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48,528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1,687,417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-1987550</wp:posOffset>
            </wp:positionV>
            <wp:extent cx="28575" cy="19926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9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deemed disposition of shares of Class A common stock to the Issuer to satisfy tax withholding obligations in connection with the vesting of restricted stock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("PSU") represents a contingent right to receive one share of Class A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/>
        <w:spacing w:after="0" w:line="238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PSUs granted on August 31, 2021 vest based on the achievement of (i) service-based vesting conditions that are satisfied in two equal installments on the third and fifth anniversaries of the grant date, subject to a 50% holdback after the first vesting date, and (ii) performance-based vesting conditions that are satisfied upon the achievement, as measured on the last calendar day of each month, of closing stock prices equal to $15, $20, $25 and $30 (subject to linear interpolation) for 20 out of any 30 consecutive trading days, in each case prior to the fifth anniversary of the grant date.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PSUs vested on September 30, 2024, upon the achievement of certain service-based and performance-based vesting conditions.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Polemeni,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10/02/2024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-21590</wp:posOffset>
            </wp:positionV>
            <wp:extent cx="2978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794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7860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2024-10-02T17:48:57Z</dcterms:created>
  <dcterms:modified xsi:type="dcterms:W3CDTF">2024-10-02T17:48:57Z</dcterms:modified>
</cp:coreProperties>
</file>