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109,705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480,406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November 30, 2024 and December 31, 2024 achievement of certain service-based and performance-based vesting conditions.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2025-01-23T20:16:17Z</dcterms:created>
  <dcterms:modified xsi:type="dcterms:W3CDTF">2025-01-23T20:16:17Z</dcterms:modified>
</cp:coreProperties>
</file>