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585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58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Becker Dietrich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08/31/2024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614,055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1,034,348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09/03/2024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288,606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19.55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745,742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614,055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614,055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1,735,945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-1720850</wp:posOffset>
            </wp:positionV>
            <wp:extent cx="28575" cy="1726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2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August 31, 2024, upon the achievement of certain service-based and performance-based vesting conditions.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3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294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2024-09-04T20:57:59Z</dcterms:created>
  <dcterms:modified xsi:type="dcterms:W3CDTF">2024-09-04T20:57:59Z</dcterms:modified>
</cp:coreProperties>
</file>