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July 7, 2022</w:t>
      </w:r>
    </w:p>
    <w:p>
      <w:pPr>
        <w:spacing w:after="0" w:line="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POST-EFFECTIVE AMENDMENT NO. 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 FORM S-1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ON FORM S-3</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PERELLA WEINBERG PARTNERS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7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Delaware</w:t>
      </w:r>
    </w:p>
    <w:p>
      <w:pPr>
        <w:jc w:val="center"/>
        <w:ind w:right="10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84-1770732</w:t>
      </w:r>
    </w:p>
    <w:p>
      <w:pPr>
        <w:jc w:val="center"/>
        <w:ind w:right="17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7" w:lineRule="exact"/>
        <w:rPr>
          <w:sz w:val="24"/>
          <w:szCs w:val="24"/>
          <w:color w:val="auto"/>
        </w:rPr>
      </w:pPr>
    </w:p>
    <w:p>
      <w:pPr>
        <w:sectPr>
          <w:pgSz w:w="11900" w:h="16838" w:orient="portrait"/>
          <w:cols w:equalWidth="0" w:num="2">
            <w:col w:w="6660" w:space="720"/>
            <w:col w:w="3860"/>
          </w:cols>
          <w:pgMar w:left="320" w:top="71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4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5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Vladimir Shendelman,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45"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6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6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Joseph A. Coco,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J. Schwartz,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Blair T. Thetford,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3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7" w:lineRule="exact"/>
        <w:rPr>
          <w:sz w:val="24"/>
          <w:szCs w:val="24"/>
          <w:color w:val="auto"/>
        </w:rPr>
      </w:pPr>
    </w:p>
    <w:p>
      <w:pPr>
        <w:ind w:right="60"/>
        <w:spacing w:after="0" w:line="18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5" w:lineRule="exact"/>
        <w:rPr>
          <w:sz w:val="24"/>
          <w:szCs w:val="24"/>
          <w:color w:val="auto"/>
        </w:rPr>
      </w:pPr>
    </w:p>
    <w:p>
      <w:pPr>
        <w:ind w:right="380"/>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180"/>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140"/>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5" w:right="339" w:bottom="1440" w:gutter="0" w:footer="0" w:header="0"/>
          <w:type w:val="continuous"/>
        </w:sectPr>
      </w:pPr>
    </w:p>
    <w:p>
      <w:pPr>
        <w:spacing w:after="0" w:line="1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4480"/>
        <w:spacing w:after="0" w:line="15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4920" w:space="720"/>
            <w:col w:w="5600"/>
          </w:cols>
          <w:pgMar w:left="320" w:top="715" w:right="339" w:bottom="1440" w:gutter="0" w:footer="0" w:header="0"/>
          <w:type w:val="continuous"/>
        </w:sectPr>
      </w:pPr>
    </w:p>
    <w:p>
      <w:pPr>
        <w:spacing w:after="0" w:line="1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sectPr>
          <w:pgSz w:w="11900" w:h="16838" w:orient="portrait"/>
          <w:cols w:equalWidth="0" w:num="2">
            <w:col w:w="4920" w:space="720"/>
            <w:col w:w="5600"/>
          </w:cols>
          <w:pgMar w:left="320" w:top="715" w:right="339" w:bottom="1440" w:gutter="0" w:footer="0" w:header="0"/>
          <w:type w:val="continuous"/>
        </w:sect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89"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838" w:orient="portrait"/>
          <w:cols w:equalWidth="0" w:num="1">
            <w:col w:w="11240"/>
          </w:cols>
          <w:pgMar w:left="320" w:top="715" w:right="339" w:bottom="1440" w:gutter="0" w:footer="0" w:header="0"/>
          <w:type w:val="continuous"/>
        </w:sectPr>
      </w:pPr>
    </w:p>
    <w:bookmarkStart w:id="1" w:name="page2"/>
    <w:bookmarkEnd w:id="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S-3 constitutes a post-effective amendment to our registration statement on Form S-1 (Registration No. 333-257924) (the “Registration Statement on Form S-1”). The Registration Statement on Form S-1 was initially filed with the Securities and Exchange Commission (“SEC”) on July 15, 2021 and initially declared effective on July 26, 2021. The Registration Statement on Form S-1 was amended by post-effective amendment no. 1 filed with the SEC on March 11, 2022, which was declared effective on March 22, 2022. We are filing this post-effective amendment no. 2 to the Registration Statement on Form S-1 on Form S-3 for the purpose of converting the Registration Statement on Form S-1 into a registration statement on Form S-3, because we are eligible to use Form S-3, and to update certain information regarding the securities being offered pursuant to the prospectus contained herein. This registration statement on Form S-3 contains an updated prospectus relating to the offering and sale of the securities that were registered on the Registration Statement on Form S-1.</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filing fees payable in connection with the registration of the securities registered by the Registration Statement on Form S-1 were paid by the registrant at the time of the initial filing of such Registration Statement on Form S-1. No additional securities are registered hereby.</w:t>
      </w:r>
    </w:p>
    <w:p>
      <w:pPr>
        <w:sectPr>
          <w:pgSz w:w="11900" w:h="16838" w:orient="portrait"/>
          <w:cols w:equalWidth="0" w:num="1">
            <w:col w:w="11160"/>
          </w:cols>
          <w:pgMar w:left="320" w:top="1440" w:right="419" w:bottom="1440" w:gutter="0" w:footer="0" w:header="0"/>
        </w:sectPr>
      </w:pPr>
    </w:p>
    <w:bookmarkStart w:id="2" w:name="page3"/>
    <w:bookmarkEnd w:id="2"/>
    <w:p>
      <w:pPr>
        <w:ind w:right="40"/>
        <w:spacing w:after="0" w:line="23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Neither we nor the selling security holders may sell or distribute the securities described herein until the registration statement filed with the SEC is effective. This prospectus is not an offer to sell and is not soliciting an offer to buy the securities in any jurisdiction where the offer or sale is not permitted.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July 7,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7,869,975 Shares of Class A Common Stock Issuable Upon Exercise of Warrants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64,738,934 Shares of Class A Common Stock</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203,333 Warrants to Purchase Class A Common Stock</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relates to: (1) the issuance by us of up to 7,869,975 shares of our Class A common stock, par value $0.0001 per share (“Class A common stock”),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“Selling Holders”), or their permitted transferees, of (i) up to 64,738,934 shares of Class A common stock and (ii) up to 203,333 Warrants (as defined below).</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“Plan of Distribution.”</w:t>
      </w:r>
    </w:p>
    <w:p>
      <w:pPr>
        <w:spacing w:after="0" w:line="122"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(the “Nasdaq”) under the symbols “PWP” and “PWPPW,” respectively. On July 5, 2022, the closing price of our Class A common stock on the Nasdaq was $6.09 per share and the closing price of our Warrants on the Nasdaq was $0.73 per Warrant.</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u w:val="single" w:color="auto"/>
          <w:color w:val="0000FF"/>
        </w:rPr>
        <w:t>6</w:t>
      </w:r>
      <w:r>
        <w:rPr>
          <w:rFonts w:ascii="Times New Roman" w:cs="Times New Roman" w:eastAsia="Times New Roman" w:hAnsi="Times New Roman"/>
          <w:sz w:val="18"/>
          <w:szCs w:val="18"/>
          <w:b w:val="1"/>
          <w:bCs w:val="1"/>
          <w:color w:val="auto"/>
        </w:rPr>
        <w:t xml:space="preserve"> OF THIS PROSPECTUS AND IN ANY APPLICABLE PROSPECTUS SUPPLEMENT AND IN THE DOCUMENTS INCORPORATED BY REFERENCE HEREIN AND THEREIN.</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37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240"/>
          </w:cols>
          <w:pgMar w:left="320" w:top="1238" w:right="339" w:bottom="1440" w:gutter="0" w:footer="0" w:header="0"/>
        </w:sectPr>
      </w:pPr>
    </w:p>
    <w:bookmarkStart w:id="3" w:name="page4"/>
    <w:bookmarkEnd w:id="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260" w:type="dxa"/>
            <w:vAlign w:val="bottom"/>
            <w:gridSpan w:val="8"/>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9"/>
            <w:vMerge w:val="continue"/>
          </w:tcPr>
          <w:p>
            <w:pPr>
              <w:spacing w:after="0"/>
              <w:rPr>
                <w:sz w:val="15"/>
                <w:szCs w:val="15"/>
                <w:color w:val="auto"/>
              </w:rPr>
            </w:pPr>
          </w:p>
        </w:tc>
        <w:tc>
          <w:tcPr>
            <w:tcW w:w="8260" w:type="dxa"/>
            <w:vAlign w:val="bottom"/>
            <w:gridSpan w:val="8"/>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0000FF"/>
            </w:tcBorders>
            <w:gridSpan w:val="2"/>
          </w:tcPr>
          <w:p>
            <w:pPr>
              <w:jc w:val="center"/>
              <w:ind w:right="4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SELECTED DEFINITIONS</w:t>
            </w:r>
          </w:p>
        </w:tc>
        <w:tc>
          <w:tcPr>
            <w:tcW w:w="84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9"/>
              </w:rPr>
              <w:t>iii</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20" w:type="dxa"/>
            <w:vAlign w:val="bottom"/>
          </w:tcPr>
          <w:p>
            <w:pPr>
              <w:spacing w:after="0"/>
              <w:rPr>
                <w:sz w:val="18"/>
                <w:szCs w:val="18"/>
                <w:color w:val="auto"/>
              </w:rPr>
            </w:pPr>
          </w:p>
        </w:tc>
        <w:tc>
          <w:tcPr>
            <w:tcW w:w="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0000FF"/>
                <w:w w:val="88"/>
              </w:rPr>
              <w:t>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4240" w:type="dxa"/>
            <w:vAlign w:val="bottom"/>
            <w:gridSpan w:val="7"/>
          </w:tcPr>
          <w:p>
            <w:pPr>
              <w:spacing w:after="0"/>
              <w:rPr>
                <w:sz w:val="18"/>
                <w:szCs w:val="18"/>
                <w:color w:val="auto"/>
              </w:rPr>
            </w:pPr>
          </w:p>
        </w:tc>
        <w:tc>
          <w:tcPr>
            <w:tcW w:w="4160" w:type="dxa"/>
            <w:vAlign w:val="bottom"/>
            <w:gridSpan w:val="2"/>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400" w:type="dxa"/>
            <w:vAlign w:val="bottom"/>
            <w:gridSpan w:val="9"/>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240" w:type="dxa"/>
            <w:vAlign w:val="bottom"/>
            <w:gridSpan w:val="15"/>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3920" w:type="dxa"/>
            <w:vAlign w:val="bottom"/>
          </w:tcPr>
          <w:p>
            <w:pPr>
              <w:spacing w:after="0"/>
              <w:rPr>
                <w:sz w:val="18"/>
                <w:szCs w:val="18"/>
                <w:color w:val="auto"/>
              </w:rPr>
            </w:pP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040" w:type="dxa"/>
            <w:vAlign w:val="bottom"/>
          </w:tcPr>
          <w:p>
            <w:pPr>
              <w:spacing w:after="0"/>
              <w:rPr>
                <w:sz w:val="18"/>
                <w:szCs w:val="18"/>
                <w:color w:val="auto"/>
              </w:rPr>
            </w:pPr>
          </w:p>
        </w:tc>
        <w:tc>
          <w:tcPr>
            <w:tcW w:w="694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SELLING HOLDERS</w:t>
            </w:r>
          </w:p>
        </w:tc>
        <w:tc>
          <w:tcPr>
            <w:tcW w:w="880" w:type="dxa"/>
            <w:vAlign w:val="bottom"/>
            <w:gridSpan w:val="5"/>
          </w:tcPr>
          <w:p>
            <w:pPr>
              <w:spacing w:after="0"/>
              <w:rPr>
                <w:sz w:val="18"/>
                <w:szCs w:val="18"/>
                <w:color w:val="auto"/>
              </w:rPr>
            </w:pPr>
          </w:p>
        </w:tc>
        <w:tc>
          <w:tcPr>
            <w:tcW w:w="798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44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UNITED STATES FEDERAL INCOME TAX CONSIDERATIONS</w:t>
            </w:r>
          </w:p>
        </w:tc>
        <w:tc>
          <w:tcPr>
            <w:tcW w:w="55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5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9040" w:type="dxa"/>
            <w:vAlign w:val="bottom"/>
            <w:gridSpan w:val="1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68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3820" w:type="dxa"/>
            <w:vAlign w:val="bottom"/>
            <w:gridSpan w:val="1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OF CERTAIN DOCUMENTS BY REFERENCE</w:t>
            </w: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7,869,975 shares of Class A common stock upon exercise of the Public Warrants and Private Placement Warrants. The Selling Holders may use the shelf registration statement to sell up to an aggregate of 64,738,934 shares of Class A common stock and up to 203,333 Warrants from time to time through any means described in the section entitled “Plan of Distribution.” More specific terms of any securities that the Selling Holders offer and sell may be provided in a prospectus supplement that describes, among other things, the specific amounts and prices of the Class A common stock and/or Warrants being offered and the terms of the offering.</w:t>
      </w:r>
    </w:p>
    <w:p>
      <w:pPr>
        <w:spacing w:after="0" w:line="12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We may also provide a prospectus supplement or, if appropriate, a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Documents by Reference.”</w:t>
      </w:r>
    </w:p>
    <w:p>
      <w:pPr>
        <w:spacing w:after="0" w:line="11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or incorporated by reference into this prospectus or any accompanying prospectus supplement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or incorporated by reference into this prospectus or any applicable prospectus supplement. This prospectus is not an offer to sell securities, and it is not soliciting an offer to buy securities, in any jurisdiction where the offer or sale is not permitted. The information contained in or incorporated by reference in this prospectus and any accompanying prospectus supplement is current only as of its date. You should not assume that the information contained in or incorporated by reference into this prospectus or any accompanying prospectus supplement is accurate as of any date other than that date or as of any earlier date as of which information is given. Our business, financial condition, results of operations and prospects may have changed since that date.</w:t>
      </w:r>
    </w:p>
    <w:p>
      <w:pPr>
        <w:spacing w:after="0" w:line="13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On June 24, 2021 (the “Closing Date”), Perella Weinberg Partners (formerly known as FinTech Acquisition Corp. IV (“FTIV”)), consummated its business combination pursuant to that certain Business Combination Agreement, dated as of December 29, 2020 (the “Business Combination Agreement”),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w:t>
      </w:r>
    </w:p>
    <w:p>
      <w:pPr>
        <w:spacing w:after="0" w:line="127" w:lineRule="exact"/>
        <w:rPr>
          <w:sz w:val="20"/>
          <w:szCs w:val="20"/>
          <w:color w:val="auto"/>
        </w:rPr>
      </w:pPr>
    </w:p>
    <w:p>
      <w:pPr>
        <w:jc w:val="both"/>
        <w:ind w:right="460"/>
        <w:spacing w:after="0" w:line="24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stated in this prospectus or the context otherwise requires, references to:</w:t>
      </w:r>
    </w:p>
    <w:p>
      <w:pPr>
        <w:spacing w:after="0" w:line="175" w:lineRule="exact"/>
        <w:rPr>
          <w:sz w:val="20"/>
          <w:szCs w:val="20"/>
          <w:color w:val="auto"/>
        </w:rPr>
      </w:pPr>
    </w:p>
    <w:p>
      <w:pPr>
        <w:ind w:left="660" w:right="14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Condition” are to the condition that Professional Partners or its limited partners as of the Closing Date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are to the consummation of the transactions contemplated by the Business Combination;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9"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Shares” are to shares of Class A common stock issued or issuable in exchange for PWP OpCo Class A partnership units and shares of our Class B common stock, par value $0.0001 per share (“Class B common stock”) pursuant to the Amended and Restated Agreement of Limited Partnership of PWP OpCo, dated as of June 24, 2021 (as amended, restated, modified or supplemented from time to time, the “PWP OpCo LPA”);</w:t>
      </w:r>
    </w:p>
    <w:p>
      <w:pPr>
        <w:spacing w:after="0" w:line="103" w:lineRule="exact"/>
        <w:rPr>
          <w:rFonts w:ascii="Times New Roman" w:cs="Times New Roman" w:eastAsia="Times New Roman" w:hAnsi="Times New Roman"/>
          <w:sz w:val="17"/>
          <w:szCs w:val="17"/>
          <w:color w:val="auto"/>
        </w:rPr>
      </w:pPr>
    </w:p>
    <w:p>
      <w:pPr>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“ILPs” are to certain existing investor limited partners of PWP OpCo who hold interests in PWP OpCo, alongside Professional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are to FTIV’s initial public offering on September 29, 2020 in which it sold 23,000,000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2022 Offering” are to the underwritten public offering of 3,502,033 shares of our Class A common stock completed on January 21, 2022;</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Partners” are to former working Limited Partners whose tenure was terminated prior to November 1, 2020;</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Shares” are to the 12,500,000 shares of Class A common stock issued to the PIPE Investors pursuant to the Subscription Agreements (as defined below);</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Shares”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are to the redeemable warrants underlying the units that were initially offered and sold by FTIV in its IPO;</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(i) prior to the Business Combination are to PWP OpCo and its consolidated subsidiaries and (ii) following the consummation of the Business Combination are to Perella Weinberg Partners and its consolidated subsidiaries;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Class A partnership unit” are to a Class A common unit of PWP Holdings LP, a Delaware limited partnership, that is issued by PWP Holdings LP pursuant to the PWP OpCo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ind w:left="328" w:right="16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“RRA Parties” are to the Sponsor, Professional Partners, the ILPs and others party to the Amended and Restated Registration Rights Agreement, dated June 24, 2021 (the “Amended and Restated Registration Rights Agreement”), including certain parties affiliated with the Sponsor who became a party to the Amended and Restated Registration Rights Agreement in connection with the Sponsor Distribution;</w:t>
      </w:r>
    </w:p>
    <w:p>
      <w:pPr>
        <w:spacing w:after="0" w:line="121" w:lineRule="exact"/>
        <w:rPr>
          <w:rFonts w:ascii="Times New Roman" w:cs="Times New Roman" w:eastAsia="Times New Roman" w:hAnsi="Times New Roman"/>
          <w:sz w:val="18"/>
          <w:szCs w:val="18"/>
          <w:color w:val="auto"/>
        </w:rPr>
      </w:pPr>
    </w:p>
    <w:p>
      <w:pPr>
        <w:ind w:left="328" w:right="260" w:hanging="328"/>
        <w:spacing w:after="0" w:line="261"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Class B Condition”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5"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Share Surrender and Share Restriction Agreement” are to the Sponsor Share Surrender and Share Restriction Agreement, dated December 29, 2020, among the Sponsor, the Company, PWP OpCo and the other parties to that certain letter agreement, dated as of September 24, 2020, by and among the Sponsor, FTIV and such other parties, and as amended on May 4, 2021;</w:t>
      </w:r>
    </w:p>
    <w:p>
      <w:pPr>
        <w:spacing w:after="0" w:line="121"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“PIPE Investment”);</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to Public Warrants and Private Placement Warrants;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Partners”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88"/>
          </w:cols>
          <w:pgMar w:left="652" w:top="1440" w:right="359" w:bottom="1440" w:gutter="0" w:footer="0" w:header="0"/>
        </w:sectPr>
      </w:pPr>
    </w:p>
    <w:bookmarkStart w:id="7" w:name="page8"/>
    <w:bookmarkEnd w:id="7"/>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included or incorporated by reference in this prospectus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60"/>
          </w:cols>
          <w:pgMar w:left="320" w:top="1440" w:right="419" w:bottom="1440" w:gutter="0" w:footer="0" w:header="0"/>
        </w:sectPr>
      </w:pPr>
    </w:p>
    <w:bookmarkStart w:id="8" w:name="page9"/>
    <w:bookmarkEnd w:id="8"/>
    <w:p>
      <w:pPr>
        <w:spacing w:after="0" w:line="140" w:lineRule="exact"/>
        <w:rPr>
          <w:sz w:val="20"/>
          <w:szCs w:val="20"/>
          <w:color w:val="auto"/>
        </w:rPr>
      </w:pPr>
    </w:p>
    <w:p>
      <w:pPr>
        <w:ind w:left="1300" w:right="440" w:hanging="320"/>
        <w:spacing w:after="0" w:line="282"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relating to the Company’s operations, financial results, financial condition, business prospects, growth strategy and liquidity;</w:t>
      </w:r>
    </w:p>
    <w:p>
      <w:pPr>
        <w:spacing w:after="0" w:line="182" w:lineRule="exact"/>
        <w:rPr>
          <w:rFonts w:ascii="Times New Roman" w:cs="Times New Roman" w:eastAsia="Times New Roman" w:hAnsi="Times New Roman"/>
          <w:sz w:val="17"/>
          <w:szCs w:val="17"/>
          <w:color w:val="auto"/>
        </w:rPr>
      </w:pPr>
    </w:p>
    <w:p>
      <w:pPr>
        <w:ind w:left="1300" w:right="140" w:hanging="320"/>
        <w:spacing w:after="0" w:line="312" w:lineRule="auto"/>
        <w:tabs>
          <w:tab w:leader="none" w:pos="12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5" w:lineRule="exact"/>
        <w:rPr>
          <w:rFonts w:ascii="Times New Roman" w:cs="Times New Roman" w:eastAsia="Times New Roman" w:hAnsi="Times New Roman"/>
          <w:sz w:val="17"/>
          <w:szCs w:val="17"/>
          <w:color w:val="auto"/>
        </w:rPr>
      </w:pPr>
    </w:p>
    <w:p>
      <w:pPr>
        <w:ind w:left="1300" w:right="80" w:hanging="320"/>
        <w:spacing w:after="0" w:line="266"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44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Because it is a summary, it may not contain all of the information that may be important to you. To understand this offering fully, you should read this entire prospectus carefully, including the information set forth under the heading “Risk Factors” and our financial statements and related notes incorporated by reference into this prospectus, any applicable prospectus supplement and the documents to which we have referred to in the “Incorporation of Certain Documents by Reference” section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execution, shareholder and defense advisory, capital raising, and liability management and restructuring, as well as specialized underwriting and research services primarily for the energy and related industries.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an independent advisory firm, focused on the energy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70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80"/>
          </w:cols>
          <w:pgMar w:left="1000" w:top="1440" w:right="10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and (ii) up to 203,333 Warrants. Any investment in the securities offered hereby is speculative and involves a high degree of risk. You should carefully consider the information set forth under “Risk Factors” on page </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of this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information is as of June 27, 2022 and does not give effect to issuances of our Class A common stock or Warrants after such date, the exercise of Warrants or settlement of restricted stock units after such date or the exchange of PWP OpCo Class A partnership units or shares of Class B common stock.</w:t>
      </w:r>
    </w:p>
    <w:p>
      <w:pPr>
        <w:sectPr>
          <w:pgSz w:w="11900" w:h="16838" w:orient="portrait"/>
          <w:cols w:equalWidth="0" w:num="1">
            <w:col w:w="9860"/>
          </w:cols>
          <w:pgMar w:left="1000" w:top="1440" w:right="1039" w:bottom="1440" w:gutter="0" w:footer="0" w:header="0"/>
        </w:sectPr>
      </w:pPr>
    </w:p>
    <w:p>
      <w:pPr>
        <w:spacing w:after="0" w:line="162" w:lineRule="exact"/>
        <w:rPr>
          <w:sz w:val="20"/>
          <w:szCs w:val="20"/>
          <w:color w:val="auto"/>
        </w:rPr>
      </w:pPr>
    </w:p>
    <w:p>
      <w:pPr>
        <w:ind w:left="180" w:right="160" w:hanging="161"/>
        <w:spacing w:after="0" w:line="250" w:lineRule="auto"/>
        <w:rPr>
          <w:sz w:val="20"/>
          <w:szCs w:val="20"/>
          <w:color w:val="auto"/>
        </w:rPr>
      </w:pPr>
      <w:r>
        <w:rPr>
          <w:rFonts w:ascii="Times New Roman" w:cs="Times New Roman" w:eastAsia="Times New Roman" w:hAnsi="Times New Roman"/>
          <w:sz w:val="18"/>
          <w:szCs w:val="18"/>
          <w:color w:val="auto"/>
        </w:rPr>
        <w:t>Shares of our Class A common stock to be issued upon exercise of all Public Warrants and Private Placement Warrants</w:t>
      </w:r>
    </w:p>
    <w:p>
      <w:pPr>
        <w:spacing w:after="0" w:line="4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Shares of our Class A common stock outstanding prior to exercise of all Public Warrants and Private Placement Warrants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7,869,975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41,867,059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receive up to an aggregate of approximately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$90,504,712.50 from the exercise of all Public Warrants and Private Placement Warrants assuming the exercise in full of all such Warrants for cash. Unless we inform you otherwise in</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 prospectus supplement, to the extent we elect the exercise of such Warrants for cash, we intend to use the net proceeds from such exercise for general corporate purposes. To the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extent the Warrants are exercised on a “cashless” basis, we will receive no proceeds.</w:t>
      </w:r>
    </w:p>
    <w:p>
      <w:pPr>
        <w:spacing w:after="0" w:line="200" w:lineRule="exact"/>
        <w:rPr>
          <w:sz w:val="20"/>
          <w:szCs w:val="20"/>
          <w:color w:val="auto"/>
        </w:rPr>
      </w:pPr>
    </w:p>
    <w:p>
      <w:pPr>
        <w:sectPr>
          <w:pgSz w:w="11900" w:h="16838" w:orient="portrait"/>
          <w:cols w:equalWidth="0" w:num="2">
            <w:col w:w="5200" w:space="180"/>
            <w:col w:w="4480"/>
          </w:cols>
          <w:pgMar w:left="1000" w:top="1440" w:right="10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229" w:lineRule="exact"/>
        <w:rPr>
          <w:sz w:val="20"/>
          <w:szCs w:val="20"/>
          <w:color w:val="auto"/>
        </w:rPr>
      </w:pPr>
    </w:p>
    <w:p>
      <w:pPr>
        <w:ind w:left="180" w:right="4680" w:hanging="161"/>
        <w:spacing w:after="0" w:line="270" w:lineRule="auto"/>
        <w:rPr>
          <w:sz w:val="20"/>
          <w:szCs w:val="20"/>
          <w:color w:val="auto"/>
        </w:rPr>
      </w:pPr>
      <w:r>
        <w:rPr>
          <w:rFonts w:ascii="Times New Roman" w:cs="Times New Roman" w:eastAsia="Times New Roman" w:hAnsi="Times New Roman"/>
          <w:sz w:val="17"/>
          <w:szCs w:val="17"/>
          <w:color w:val="auto"/>
        </w:rPr>
        <w:t>Shares of Class A common stock offered by the Selling Holders (including 203,333 shares of Class A common stock that may be issued upon exercise of the Private Placement Warrants, 5,846,667 Founder Shares, 610,000 Placement Shares, 12,500,000 PIPE Shares,</w:t>
      </w:r>
    </w:p>
    <w:p>
      <w:pPr>
        <w:ind w:left="180"/>
        <w:spacing w:after="0" w:line="192" w:lineRule="auto"/>
        <w:rPr>
          <w:sz w:val="20"/>
          <w:szCs w:val="20"/>
          <w:color w:val="auto"/>
        </w:rPr>
      </w:pPr>
      <w:r>
        <w:rPr>
          <w:rFonts w:ascii="Times New Roman" w:cs="Times New Roman" w:eastAsia="Times New Roman" w:hAnsi="Times New Roman"/>
          <w:sz w:val="18"/>
          <w:szCs w:val="18"/>
          <w:color w:val="auto"/>
        </w:rPr>
        <w:t>and 45,578,934 Exchange Shares)</w:t>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64,738,934 shares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offered by the Selling Holders</w:t>
      </w:r>
    </w:p>
    <w:p>
      <w:pPr>
        <w:ind w:left="5340"/>
        <w:spacing w:after="0"/>
        <w:rPr>
          <w:sz w:val="20"/>
          <w:szCs w:val="20"/>
          <w:color w:val="auto"/>
        </w:rPr>
      </w:pPr>
      <w:r>
        <w:rPr>
          <w:rFonts w:ascii="Times New Roman" w:cs="Times New Roman" w:eastAsia="Times New Roman" w:hAnsi="Times New Roman"/>
          <w:sz w:val="18"/>
          <w:szCs w:val="18"/>
          <w:color w:val="auto"/>
        </w:rPr>
        <w:t>203,333 Warrants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ind w:left="5340"/>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97"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7"/>
          <w:szCs w:val="17"/>
          <w:color w:val="auto"/>
        </w:rPr>
        <w:t>Redemption</w:t>
      </w:r>
      <w:r>
        <w:rPr>
          <w:sz w:val="20"/>
          <w:szCs w:val="20"/>
          <w:color w:val="auto"/>
        </w:rPr>
        <w:tab/>
      </w:r>
      <w:r>
        <w:rPr>
          <w:rFonts w:ascii="Times New Roman" w:cs="Times New Roman" w:eastAsia="Times New Roman" w:hAnsi="Times New Roman"/>
          <w:sz w:val="17"/>
          <w:szCs w:val="17"/>
          <w:color w:val="auto"/>
        </w:rPr>
        <w:t>The Warrants are redeemable in certain circumstances. See</w:t>
      </w:r>
    </w:p>
    <w:p>
      <w:pPr>
        <w:spacing w:after="0" w:line="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“Description of Securities—Warrants—Private Placement</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Warrants” for further discussion.</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60"/>
          </w:cols>
          <w:pgMar w:left="1000" w:top="1440" w:right="10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the Class A common stock and Warrants to be offered by the Selling Holders. With respect to shares of Class A common stock underlying the Warrants, we will not receive any proceeds from such shares except with respect to amounts received by us upon exercise of such Warrants to the extent such Warrants are exercised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-1421765</wp:posOffset>
            </wp:positionV>
            <wp:extent cx="7136130" cy="537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4600" w:space="720"/>
            <w:col w:w="4520"/>
          </w:cols>
          <w:pgMar w:left="1020" w:top="1440" w:right="10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Lock-ups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Pursuant to the Sponsor Share Surrender and Share Restriction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Founder Shares and Placement Shares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Sponsor were subject to transfer restrictions for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following the closing of the Business Combination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of the Founder Shares held by the Sponsor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Business Combination were or are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restrictions based on certain closing share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thresholds of our Class A common stock for 20 out of any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consecutive trading days. On January 7, 2022, the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5,456,667 shares of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 and Placement Shares) and 203,333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to its members, pursuant to its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under the limited liability company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Distribution”), after which the Sponsor 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 of our Class A common stock and no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The 1,000,000 shares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retained by the Sponsor continue to be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restrictions until the $15 Threshold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is met. 1,738,680 of the shares of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distributed in the Sponsor Distribution remain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transfer restrictions until either the $15 Threshold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Threshold (each as defined herein) is met.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Securities” for further discussion.</w:t>
      </w:r>
    </w:p>
    <w:p>
      <w:pPr>
        <w:spacing w:after="0" w:line="200" w:lineRule="exact"/>
        <w:rPr>
          <w:sz w:val="20"/>
          <w:szCs w:val="20"/>
          <w:color w:val="auto"/>
        </w:rPr>
      </w:pPr>
    </w:p>
    <w:p>
      <w:pPr>
        <w:sectPr>
          <w:pgSz w:w="11900" w:h="16838" w:orient="portrait"/>
          <w:cols w:equalWidth="0" w:num="2">
            <w:col w:w="4600" w:space="720"/>
            <w:col w:w="452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40"/>
          </w:cols>
          <w:pgMar w:left="102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384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38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In addition, the PWP OpCo LPA contains restrictions on the</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ability to exchange PWP OpCo Class A partnership units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Exchange Shares or cash from an offering of shares of Class A</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common stock, for the following periods: (i) PWP OpCo Class</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 partnership units held by Professional Partners will be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subject to a restriction for time periods that are fully back-to-</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back with the lock-up periods contemplated in the amended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and restated limited partnership agreement of Professional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Partners (generally speaking, such lock-up periods (a)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Legacy Partners, the lock-up period expired on December 24,</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2021; and (b) for Working Partners, will be between three to</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five years after the closing of the Business Combination, (ii)</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the restriction on PWP OpCo Class A partnership units held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ILPs existing at the time of the Business Combination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expired on December 24, 2021, and (iii) any other outstanding</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PWP OpCo Class A partnership units not previously covered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clauses (i) and (ii) above will be subject to such restriction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for a period of at least twelve months following the date 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which such PWP OpCo Class A partnership units were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acquired). PWP GP may waive the foregoing restrictions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any single holder with respect to all or a portion of such</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holder’s units, with no obligation to do so for any other holder.</w:t>
      </w:r>
    </w:p>
    <w:p>
      <w:pPr>
        <w:spacing w:after="0" w:line="110"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Nasdaq Ticker Symbols</w:t>
      </w:r>
      <w:r>
        <w:rPr>
          <w:sz w:val="20"/>
          <w:szCs w:val="20"/>
          <w:color w:val="auto"/>
        </w:rPr>
        <w:tab/>
      </w:r>
      <w:r>
        <w:rPr>
          <w:rFonts w:ascii="Times New Roman" w:cs="Times New Roman" w:eastAsia="Times New Roman" w:hAnsi="Times New Roman"/>
          <w:sz w:val="17"/>
          <w:szCs w:val="17"/>
          <w:color w:val="auto"/>
        </w:rPr>
        <w:t>Class A common stock: “PWP” Warrants: “PWPPW”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840"/>
          </w:cols>
          <w:pgMar w:left="1020" w:top="1440" w:right="103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review the risk factors contained under the heading “Risk Factors” in our most recent Annual Report on Form 10-K, as amended by any amendments thereto, and in our Quarterly Reports on Form 10-Q or Current Reports on Form 8-K filed subsequently to the Annual Report on Form 10-K, which risk factors are incorporated by reference in this prospectus, the information contained under the heading “Cautionary Statement Regarding Forward-Looking Statements” in this prospectus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or any applicable prospectus supplement before making an investment decision. The risks and uncertainties described in our SEC filings are not the only ones facing us. Additional risks and uncertainties not presently known to us, or that we currently see as immaterial, may also harm our business. If any such risks and uncertainties actually occur, our business, financial condition, results of operations, cash flows and prospects could be materially and adversely affected, the market price of our securities could decline and you could lose all or part of your investment. See “Incorporation of Certain Documents by Reference” and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6" w:name="page17"/>
    <w:bookmarkEnd w:id="1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sets forth the unaudited pro forma condensed combined statements of operations for (i) the year ended December 31, 2021 after giving effect to the Business Combination, the January 2022 Offering and related adjustments as if they had been consummated on January 1, 2021 and (ii) the three months ended March 31, 2022 after only giving effect to the January 2022 Offering as if it had been consummated on January 1, 2021 since the Business Combination is already reflected in PWP’s historical unaudited condensed consolidated financial statements for the three months ended March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w:t>
      </w:r>
    </w:p>
    <w:p>
      <w:pPr>
        <w:spacing w:after="0" w:line="107"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PWP for the year ended December 31, 2021 included in Amendment No. 1 to the Company’s Annual Report on Form 10-K/A for the year ended December 31, 2021, which is incorporated by reference in this prospectus; and</w:t>
      </w:r>
    </w:p>
    <w:p>
      <w:pPr>
        <w:spacing w:after="0" w:line="85" w:lineRule="exact"/>
        <w:rPr>
          <w:rFonts w:ascii="Times New Roman" w:cs="Times New Roman" w:eastAsia="Times New Roman" w:hAnsi="Times New Roman"/>
          <w:sz w:val="17"/>
          <w:szCs w:val="17"/>
          <w:color w:val="auto"/>
        </w:rPr>
      </w:pPr>
    </w:p>
    <w:p>
      <w:pPr>
        <w:ind w:left="660" w:right="32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unaudited condensed consolidated financial statements of PWP for the three months ended March 31, 2022 included in the Company’s Quarterly Report on Form 10-Q for the three months ended March 31, 2022, which is incorporated by reference in this prospectus.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that would actually have occurred had the Business Combination and the January 2022 Offering been consummated on January 1, 2021 or to project our consolidated results of operations for any future date or period.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“Risk Factors” herein, as well as the sections titled “Risk Factors” and “Management’s Discussion and Analysis of Financial Condition and Results of Operations” and our consolidated financial statements and related notes, all of which are included in Amendment No. 1 to the Company’s Annual Report on Form 10-K/A for the year ended December 31, 2021 and the Company’s Quarterly Report on Form 10-Q for the three months ended March 31, 2022, each of which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80" w:hanging="332"/>
        <w:spacing w:after="0" w:line="261" w:lineRule="auto"/>
        <w:tabs>
          <w:tab w:leader="none" w:pos="30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280" w:hanging="332"/>
        <w:spacing w:after="0" w:line="263"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80" w:hanging="332"/>
        <w:spacing w:after="0" w:line="261" w:lineRule="auto"/>
        <w:tabs>
          <w:tab w:leader="none" w:pos="30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280" w:hanging="332"/>
        <w:spacing w:after="0" w:line="263" w:lineRule="auto"/>
        <w:tabs>
          <w:tab w:leader="none" w:pos="3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59"/>
        <w:spacing w:after="0" w:line="226" w:lineRule="auto"/>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January 2022</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FTIV</w:t>
            </w:r>
          </w:p>
        </w:tc>
        <w:tc>
          <w:tcPr>
            <w:tcW w:w="2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PWP</w:t>
            </w:r>
          </w:p>
        </w:tc>
        <w:tc>
          <w:tcPr>
            <w:tcW w:w="100" w:type="dxa"/>
            <w:vAlign w:val="bottom"/>
          </w:tcPr>
          <w:p>
            <w:pPr>
              <w:spacing w:after="0"/>
              <w:rPr>
                <w:sz w:val="12"/>
                <w:szCs w:val="12"/>
                <w:color w:val="auto"/>
              </w:rPr>
            </w:pPr>
          </w:p>
        </w:tc>
        <w:tc>
          <w:tcPr>
            <w:tcW w:w="9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 and occupancy</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799,099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income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(10) (k)</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3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(41,571)</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(53,520)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(10,698) (e)</w:t>
            </w:r>
          </w:p>
        </w:tc>
        <w:tc>
          <w:tcPr>
            <w:tcW w:w="100" w:type="dxa"/>
            <w:vAlign w:val="bottom"/>
          </w:tcPr>
          <w:p>
            <w:pPr>
              <w:spacing w:after="0"/>
              <w:rPr>
                <w:sz w:val="18"/>
                <w:szCs w:val="18"/>
                <w:color w:val="auto"/>
              </w:rPr>
            </w:pP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rPr>
              <w:t>(1,696) (j)</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(64,218)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40" w:type="dxa"/>
            <w:vAlign w:val="bottom"/>
            <w:tcBorders>
              <w:top w:val="single" w:sz="8" w:color="CCEEFF"/>
            </w:tcBorders>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(35,195)</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(29,501) (c)</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(12,741) (i)</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(0.11) (g)</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(0.71) (g)</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46,899,646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93,556,111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914" w:right="3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PWP</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260" w:type="dxa"/>
            <w:vAlign w:val="bottom"/>
          </w:tcPr>
          <w:p>
            <w:pPr>
              <w:spacing w:after="0"/>
              <w:rPr>
                <w:sz w:val="16"/>
                <w:szCs w:val="16"/>
                <w:color w:val="auto"/>
              </w:rPr>
            </w:pPr>
          </w:p>
        </w:tc>
        <w:tc>
          <w:tcPr>
            <w:tcW w:w="13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Offering Adjustments</w:t>
            </w:r>
          </w:p>
        </w:tc>
        <w:tc>
          <w:tcPr>
            <w:tcW w:w="2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color w:val="auto"/>
              </w:rPr>
              <w:t>(l)</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(m)</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48,828,952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95,364,897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420" w:type="dxa"/>
            <w:vAlign w:val="bottom"/>
          </w:tcPr>
          <w:p>
            <w:pPr>
              <w:spacing w:after="0"/>
              <w:rPr>
                <w:sz w:val="24"/>
                <w:szCs w:val="24"/>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14" w:right="359" w:bottom="1440" w:gutter="0" w:footer="0" w:header="0"/>
        </w:sectPr>
      </w:pPr>
    </w:p>
    <w:bookmarkStart w:id="22" w:name="page23"/>
    <w:bookmarkEnd w:id="22"/>
    <w:p>
      <w:pPr>
        <w:spacing w:after="0" w:line="13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 forma adjustments have been prepared as if the January 2022 Offering and the Business Combination had been consummated on January 1, 2021, the beginning of the earliest period presented, in the case of the unaudited pro forma condensed combined statements of operations.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Adjustments and Assumptions to the Unaudited Pro Forma Condensed Combined Statement of Operations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right="440" w:hanging="328"/>
        <w:spacing w:after="0" w:line="282"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ind w:left="660" w:hanging="328"/>
        <w:spacing w:after="0" w:line="258" w:lineRule="auto"/>
        <w:tabs>
          <w:tab w:leader="none" w:pos="6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Transaction RSUs during the year ended December 31, 2021. Historical equity-based compensation amounts and the expense related to ACUs and VCUs discussed in adjustment (c) have been allocated to non-controlling interests as the vesting of ACUs and VCUs do not impact the Company as there is no additional dilution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1440" w:right="399" w:bottom="1440" w:gutter="0" w:footer="0" w:header="0"/>
        </w:sectPr>
      </w:pPr>
    </w:p>
    <w:bookmarkStart w:id="23" w:name="page24"/>
    <w:bookmarkEnd w:id="23"/>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shareholders and no impact to the allocation of distributions from PWP OpCo to each of its investors (including the Company).</w:t>
      </w:r>
    </w:p>
    <w:p>
      <w:pPr>
        <w:spacing w:after="0" w:line="171" w:lineRule="exact"/>
        <w:rPr>
          <w:sz w:val="20"/>
          <w:szCs w:val="20"/>
          <w:color w:val="auto"/>
        </w:rPr>
      </w:pPr>
    </w:p>
    <w:p>
      <w:pPr>
        <w:ind w:left="328" w:right="260" w:hanging="328"/>
        <w:spacing w:after="0" w:line="261" w:lineRule="auto"/>
        <w:tabs>
          <w:tab w:leader="none" w:pos="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328"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8"/>
          </w:cols>
          <w:pgMar w:left="652" w:top="1440" w:right="379" w:bottom="1440" w:gutter="0" w:footer="0" w:header="0"/>
        </w:sectPr>
      </w:pPr>
    </w:p>
    <w:p>
      <w:pPr>
        <w:spacing w:after="0" w:line="3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-125095</wp:posOffset>
            </wp:positionV>
            <wp:extent cx="618934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348" w:right="2022"/>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-167005</wp:posOffset>
            </wp:positionV>
            <wp:extent cx="618934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348" w:right="1422"/>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-245110</wp:posOffset>
            </wp:positionV>
            <wp:extent cx="618934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46,899,646</w:t>
      </w:r>
    </w:p>
    <w:p>
      <w:pPr>
        <w:spacing w:after="0" w:line="27"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8"/>
          <w:szCs w:val="18"/>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57" w:lineRule="exact"/>
        <w:rPr>
          <w:sz w:val="20"/>
          <w:szCs w:val="20"/>
          <w:color w:val="auto"/>
        </w:rPr>
      </w:pPr>
    </w:p>
    <w:p>
      <w:pPr>
        <w:ind w:left="1018" w:hanging="1018"/>
        <w:spacing w:after="0"/>
        <w:tabs>
          <w:tab w:leader="none" w:pos="10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7870" w:space="720"/>
            <w:col w:w="2278"/>
          </w:cols>
          <w:pgMar w:left="652" w:top="1440" w:right="379" w:bottom="1440" w:gutter="0" w:footer="0" w:header="0"/>
          <w:type w:val="continuous"/>
        </w:sectPr>
      </w:pPr>
    </w:p>
    <w:p>
      <w:pPr>
        <w:jc w:val="center"/>
        <w:ind w:right="-27"/>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ind w:left="328" w:right="880" w:hanging="328"/>
        <w:spacing w:after="0" w:line="282"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interest expense assuming the paydown of all outstanding debt from the proceeds of the Business Combination as if it occurred on January 1, 2021.</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 (h) and (k) based on the aggregate Professional Partners and ILPs ownership as depicted in the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8"/>
          </w:cols>
          <w:pgMar w:left="652" w:top="1440" w:right="379" w:bottom="1440" w:gutter="0" w:footer="0" w:header="0"/>
          <w:type w:val="continuous"/>
        </w:sectPr>
      </w:pPr>
    </w:p>
    <w:bookmarkStart w:id="24" w:name="page25"/>
    <w:bookmarkEnd w:id="24"/>
    <w:p>
      <w:pPr>
        <w:spacing w:after="0" w:line="136" w:lineRule="exact"/>
        <w:rPr>
          <w:sz w:val="20"/>
          <w:szCs w:val="20"/>
          <w:color w:val="auto"/>
        </w:rPr>
      </w:pPr>
    </w:p>
    <w:p>
      <w:pPr>
        <w:ind w:left="340" w:hanging="332"/>
        <w:spacing w:after="0" w:line="286" w:lineRule="auto"/>
        <w:tabs>
          <w:tab w:leader="none" w:pos="3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3,502,033 shares related to the January 2022 Offering and 2,132,788 additional shares related to Transaction RSUs subject to a time-based vesting schedule were outstanding for the whole period presented.</w:t>
      </w:r>
    </w:p>
    <w:p>
      <w:pPr>
        <w:spacing w:after="0" w:line="125"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-125095</wp:posOffset>
            </wp:positionV>
            <wp:extent cx="618934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680" w:right="2020"/>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-167005</wp:posOffset>
            </wp:positionV>
            <wp:extent cx="618934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680" w:right="1420"/>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-245110</wp:posOffset>
            </wp:positionV>
            <wp:extent cx="618934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48,828,952</w:t>
      </w:r>
    </w:p>
    <w:p>
      <w:pPr>
        <w:spacing w:after="0" w:line="27"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46,535,945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951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95,364,897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951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57" w:lineRule="exact"/>
        <w:rPr>
          <w:sz w:val="20"/>
          <w:szCs w:val="20"/>
          <w:color w:val="auto"/>
        </w:rPr>
      </w:pPr>
    </w:p>
    <w:p>
      <w:pPr>
        <w:ind w:left="1100" w:hanging="109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951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8200" w:space="720"/>
            <w:col w:w="2300"/>
          </w:cols>
          <w:pgMar w:left="320" w:top="1440" w:right="3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type w:val="continuous"/>
        </w:sectPr>
      </w:pPr>
    </w:p>
    <w:bookmarkStart w:id="25" w:name="page26"/>
    <w:bookmarkEnd w:id="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for (i) the year ended December 31, 2021 after giving effect to the Business Combination and the January 2022 Offering as if they had occurred on January 1, 2021 and (ii) the three months ended March 31, 2022 after giving effect to the January 2022 Offering as if it had occurred on January 1, 2021.</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“Management’s Discussion and Analysis of Financial Condition and Results of Operations” and the audited and unaudited historical financial statements and the related notes of PWP included in Amendment No. 1 to the Company’s Annual Report on Form 10-K/A for the year ended December 31, 2021 and 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consolidated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January 2022 Offering nor the book value per share for any future date or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PWP</w:t>
            </w:r>
          </w:p>
        </w:tc>
        <w:tc>
          <w:tcPr>
            <w:tcW w:w="28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80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48,828,952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95,364,897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46,899,646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93,556,111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80" w:hanging="332"/>
        <w:spacing w:after="0" w:line="278"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historical total equity of $285.6 million as of March 31, 2022 divided by historical or pro forma combined weighted average shares of Class A common stock outstanding—diluted,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Delaware General Corporation Law (the “DGCL”),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27, 2022, our issued and outstanding share capital consisted of: (i) 41,867,059 shares of Class A common stock, (ii) 43,725,944 shares of Class B-1 common stock, (iii) 1,964,044 shares of Class B-2 common stock, (iv) no shares of preferred stock and (v) 7,869,975 Warrants, consisting of 7,666,642 Public Warrants and 203,333 Private Placement Warrants. Such numbers do not include DTC participants or beneficial owners holding shares through nominee names.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as amended, the Sponsor, concurrently with the Closing,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6" w:lineRule="exact"/>
        <w:rPr>
          <w:sz w:val="20"/>
          <w:szCs w:val="20"/>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85" w:lineRule="exact"/>
        <w:rPr>
          <w:rFonts w:ascii="Times New Roman" w:cs="Times New Roman" w:eastAsia="Times New Roman" w:hAnsi="Times New Roman"/>
          <w:sz w:val="17"/>
          <w:szCs w:val="17"/>
          <w:color w:val="auto"/>
        </w:rPr>
      </w:pPr>
    </w:p>
    <w:p>
      <w:pPr>
        <w:jc w:val="both"/>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distributed 5,456,667 shares of Class A common stock to its members, all of which are offered pursuant to this prospectus, after which the Sponsor owns 1,000,000 shares of our Class A common stock.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repurchase up to 1,000,000 Founder Shares, in aggregate, per Trigger Date for a purchase price of $12.00 per share or $15.00 per share, respectively, by providing written notice of such repurchase election to the holder, and such repurchase shall be consummated within five business days after the date of such written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60" w:right="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0" w:lineRule="exact"/>
        <w:rPr>
          <w:sz w:val="20"/>
          <w:szCs w:val="20"/>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440" w:right="399" w:bottom="1440" w:gutter="0" w:footer="0" w:header="0"/>
        </w:sectPr>
      </w:pPr>
    </w:p>
    <w:bookmarkStart w:id="31" w:name="page32"/>
    <w:bookmarkEnd w:id="31"/>
    <w:p>
      <w:pPr>
        <w:spacing w:after="0" w:line="140"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w:t>
      </w:r>
    </w:p>
    <w:p>
      <w:pPr>
        <w:spacing w:after="0" w:line="2" w:lineRule="exact"/>
        <w:rPr>
          <w:sz w:val="20"/>
          <w:szCs w:val="20"/>
          <w:color w:val="auto"/>
        </w:rPr>
      </w:pPr>
    </w:p>
    <w:p>
      <w:pPr>
        <w:ind w:firstLine="8"/>
        <w:spacing w:after="0" w:line="250"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w:t>
      </w:r>
    </w:p>
    <w:p>
      <w:pPr>
        <w:spacing w:after="0" w:line="2"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were not transferable, assignable or salable until July 24, 2021, 30 days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32" w:name="page33"/>
    <w:bookmarkEnd w:id="32"/>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board of directors will be divided into three classes that will be, as nearly as may be possible, of equal size. The initial term of the Class I directors expired at the 2022 annual meeting of our stockholders, at which the Class I directors were renominated and reelected to serve a three-year term. The initial terms of the Class II 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1440" w:right="419" w:bottom="1440" w:gutter="0" w:footer="0" w:header="0"/>
        </w:sectPr>
      </w:pPr>
    </w:p>
    <w:bookmarkStart w:id="36" w:name="page37"/>
    <w:bookmarkEnd w:id="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possible offer and resale by the Selling Holders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the IPO, the Sponsor acquired Founder Shares, 7,870,000 of which were held by the Sponsor prior to the Business Combination. Simultaneously with the consummation of the IPO, the Sponsor purchased 610,000 placement units, which consisted of 610,000 Placement Shares and 203,333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In August 2021, we repurchased 1,000,000 Founder Shares from the Sponsor pursuant to the Sponsor Share Surrender and Share Restriction Agreement. In January 2022, the Sponsor completed the Sponsor Distribution, pursuant to which it distributed an aggregate of 5,456,667 Founder Shares and Placement Shares and 203,333 Private Placement Warrants to its members.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shares of Class A common stock and Warrants set forth below pursuant to this prospectus or any accompanying prospectus supplement.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42,278,973 shares of Class A common stock and 7,869,975 Warrants outstanding, in each case, as of June 17, 2022.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Class A common stock or Warrants. In addition, the Selling Holders may have sold or transferred some or all of the shares of Class A common stock or Warrants indicated below with respect to such Selling Holder and may in the future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beneficial owner listed in the tables below is c/o Perella Weinberg Partners, 767 5th Ave, New York, NY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Class A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960" w:type="dxa"/>
            <w:vAlign w:val="bottom"/>
            <w:gridSpan w:val="3"/>
            <w:vMerge w:val="restart"/>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Shares to be Sold 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left="533"/>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880" w:type="dxa"/>
            <w:vAlign w:val="bottom"/>
            <w:gridSpan w:val="3"/>
          </w:tcPr>
          <w:p>
            <w:pPr>
              <w:jc w:val="center"/>
              <w:ind w:right="50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9"/>
                <w:szCs w:val="9"/>
                <w:b w:val="1"/>
                <w:bCs w:val="1"/>
                <w:color w:val="auto"/>
                <w:w w:val="82"/>
              </w:rPr>
              <w:t>(1)</w:t>
            </w:r>
          </w:p>
        </w:tc>
        <w:tc>
          <w:tcPr>
            <w:tcW w:w="100" w:type="dxa"/>
            <w:vAlign w:val="bottom"/>
          </w:tcPr>
          <w:p>
            <w:pPr>
              <w:spacing w:after="0"/>
              <w:rPr>
                <w:sz w:val="11"/>
                <w:szCs w:val="11"/>
                <w:color w:val="auto"/>
              </w:rPr>
            </w:pPr>
          </w:p>
        </w:tc>
        <w:tc>
          <w:tcPr>
            <w:tcW w:w="1960" w:type="dxa"/>
            <w:vAlign w:val="bottom"/>
            <w:gridSpan w:val="3"/>
          </w:tcPr>
          <w:p>
            <w:pPr>
              <w:jc w:val="center"/>
              <w:ind w:right="4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vMerge w:val="restart"/>
          </w:tcPr>
          <w:p>
            <w:pPr>
              <w:jc w:val="right"/>
              <w:ind w:right="312"/>
              <w:spacing w:after="0"/>
              <w:rPr>
                <w:sz w:val="20"/>
                <w:szCs w:val="20"/>
                <w:color w:val="auto"/>
              </w:rPr>
            </w:pPr>
            <w:r>
              <w:rPr>
                <w:rFonts w:ascii="Times New Roman" w:cs="Times New Roman" w:eastAsia="Times New Roman" w:hAnsi="Times New Roman"/>
                <w:sz w:val="28"/>
                <w:szCs w:val="28"/>
                <w:b w:val="1"/>
                <w:bCs w:val="1"/>
                <w:color w:val="auto"/>
                <w:w w:val="95"/>
                <w:vertAlign w:val="subscript"/>
              </w:rPr>
              <w:t>%</w:t>
            </w:r>
            <w:r>
              <w:rPr>
                <w:rFonts w:ascii="Times New Roman" w:cs="Times New Roman" w:eastAsia="Times New Roman" w:hAnsi="Times New Roman"/>
                <w:sz w:val="9"/>
                <w:szCs w:val="9"/>
                <w:b w:val="1"/>
                <w:bCs w:val="1"/>
                <w:color w:val="auto"/>
                <w:w w:val="95"/>
              </w:rPr>
              <w:t>(1)</w:t>
            </w:r>
          </w:p>
        </w:tc>
        <w:tc>
          <w:tcPr>
            <w:tcW w:w="100" w:type="dxa"/>
            <w:vAlign w:val="bottom"/>
          </w:tcPr>
          <w:p>
            <w:pPr>
              <w:spacing w:after="0"/>
              <w:rPr>
                <w:sz w:val="11"/>
                <w:szCs w:val="11"/>
                <w:color w:val="auto"/>
              </w:rPr>
            </w:pPr>
          </w:p>
        </w:tc>
        <w:tc>
          <w:tcPr>
            <w:tcW w:w="1700" w:type="dxa"/>
            <w:vAlign w:val="bottom"/>
            <w:gridSpan w:val="3"/>
          </w:tcPr>
          <w:p>
            <w:pPr>
              <w:jc w:val="center"/>
              <w:ind w:right="40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vMerge w:val="restart"/>
          </w:tcPr>
          <w:p>
            <w:pPr>
              <w:jc w:val="right"/>
              <w:ind w:right="252"/>
              <w:spacing w:after="0"/>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9"/>
                <w:szCs w:val="9"/>
                <w:b w:val="1"/>
                <w:bCs w:val="1"/>
                <w:color w:val="auto"/>
                <w:w w:val="88"/>
              </w:rPr>
              <w:t>(1)</w:t>
            </w:r>
          </w:p>
        </w:tc>
        <w:tc>
          <w:tcPr>
            <w:tcW w:w="0" w:type="dxa"/>
            <w:vAlign w:val="bottom"/>
          </w:tcPr>
          <w:p>
            <w:pPr>
              <w:spacing w:after="0"/>
              <w:rPr>
                <w:sz w:val="1"/>
                <w:szCs w:val="1"/>
                <w:color w:val="auto"/>
              </w:rPr>
            </w:pPr>
          </w:p>
        </w:tc>
      </w:tr>
      <w:tr>
        <w:trPr>
          <w:trHeight w:val="200"/>
        </w:trPr>
        <w:tc>
          <w:tcPr>
            <w:tcW w:w="3500" w:type="dxa"/>
            <w:vAlign w:val="bottom"/>
            <w:gridSpan w:val="2"/>
            <w:vMerge w:val="continue"/>
          </w:tcPr>
          <w:p>
            <w:pPr>
              <w:spacing w:after="0"/>
              <w:rPr>
                <w:sz w:val="17"/>
                <w:szCs w:val="17"/>
                <w:color w:val="auto"/>
              </w:rPr>
            </w:pPr>
          </w:p>
        </w:tc>
        <w:tc>
          <w:tcPr>
            <w:tcW w:w="18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FinTech Masala, LLC</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1,942,593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Securities Fund: Fidelity Small Cap</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Growth Fund</w:t>
            </w:r>
            <w:r>
              <w:rPr>
                <w:rFonts w:ascii="Times New Roman" w:cs="Times New Roman" w:eastAsia="Times New Roman" w:hAnsi="Times New Roman"/>
                <w:sz w:val="23"/>
                <w:szCs w:val="23"/>
                <w:color w:val="auto"/>
                <w:vertAlign w:val="superscript"/>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Securities Fund: Fidelity Small Cap</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Growth K6 Fund</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Capital Trust: Fidelity Flex Small</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Cap Fund - Small Cap Growth</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0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8"/>
                <w:szCs w:val="18"/>
                <w:color w:val="auto"/>
              </w:rPr>
              <w:t>Subportfolio</w:t>
            </w:r>
            <w:r>
              <w:rPr>
                <w:rFonts w:ascii="Times New Roman" w:cs="Times New Roman" w:eastAsia="Times New Roman" w:hAnsi="Times New Roman"/>
                <w:sz w:val="23"/>
                <w:szCs w:val="23"/>
                <w:color w:val="auto"/>
                <w:vertAlign w:val="superscript"/>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Adage Capital Partners, L.P.</w:t>
            </w:r>
            <w:r>
              <w:rPr>
                <w:rFonts w:ascii="Times New Roman" w:cs="Times New Roman" w:eastAsia="Times New Roman" w:hAnsi="Times New Roman"/>
                <w:sz w:val="23"/>
                <w:szCs w:val="23"/>
                <w:color w:val="auto"/>
                <w:vertAlign w:val="superscript"/>
              </w:rPr>
              <w:t>(4)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Citadel Multi-Strategy Equities Master Fund</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3"/>
                <w:szCs w:val="23"/>
                <w:color w:val="auto"/>
                <w:vertAlign w:val="superscript"/>
              </w:rPr>
              <w:t>(5)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Korea Investment &amp; Securities Co., Ltd.</w:t>
            </w:r>
            <w:r>
              <w:rPr>
                <w:rFonts w:ascii="Times New Roman" w:cs="Times New Roman" w:eastAsia="Times New Roman" w:hAnsi="Times New Roman"/>
                <w:sz w:val="23"/>
                <w:szCs w:val="23"/>
                <w:color w:val="auto"/>
                <w:vertAlign w:val="superscript"/>
              </w:rPr>
              <w:t>(6)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Integrated Core Strategies (US) LLC</w:t>
            </w:r>
            <w:r>
              <w:rPr>
                <w:rFonts w:ascii="Times New Roman" w:cs="Times New Roman" w:eastAsia="Times New Roman" w:hAnsi="Times New Roman"/>
                <w:sz w:val="23"/>
                <w:szCs w:val="23"/>
                <w:color w:val="auto"/>
                <w:vertAlign w:val="superscript"/>
              </w:rPr>
              <w:t>(7)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Riverview Group LLC</w:t>
            </w:r>
            <w:r>
              <w:rPr>
                <w:rFonts w:ascii="Times New Roman" w:cs="Times New Roman" w:eastAsia="Times New Roman" w:hAnsi="Times New Roman"/>
                <w:sz w:val="23"/>
                <w:szCs w:val="23"/>
                <w:color w:val="auto"/>
                <w:vertAlign w:val="superscript"/>
              </w:rPr>
              <w:t>(7)</w:t>
            </w:r>
          </w:p>
        </w:tc>
        <w:tc>
          <w:tcPr>
            <w:tcW w:w="14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1,308,580</w:t>
            </w:r>
            <w:r>
              <w:rPr>
                <w:rFonts w:ascii="Times New Roman" w:cs="Times New Roman" w:eastAsia="Times New Roman" w:hAnsi="Times New Roman"/>
                <w:sz w:val="23"/>
                <w:szCs w:val="23"/>
                <w:color w:val="auto"/>
                <w:vertAlign w:val="superscript"/>
              </w:rPr>
              <w:t>(8)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Ghisallo Master Fund LP</w:t>
            </w:r>
            <w:r>
              <w:rPr>
                <w:rFonts w:ascii="Times New Roman" w:cs="Times New Roman" w:eastAsia="Times New Roman" w:hAnsi="Times New Roman"/>
                <w:sz w:val="23"/>
                <w:szCs w:val="23"/>
                <w:color w:val="auto"/>
                <w:vertAlign w:val="superscript"/>
              </w:rPr>
              <w:t>(9)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Bay Pond Partners, L.P.</w:t>
            </w:r>
            <w:r>
              <w:rPr>
                <w:rFonts w:ascii="Times New Roman" w:cs="Times New Roman" w:eastAsia="Times New Roman" w:hAnsi="Times New Roman"/>
                <w:sz w:val="23"/>
                <w:szCs w:val="23"/>
                <w:color w:val="auto"/>
                <w:vertAlign w:val="superscript"/>
              </w:rPr>
              <w:t>(10)</w:t>
            </w:r>
          </w:p>
        </w:tc>
        <w:tc>
          <w:tcPr>
            <w:tcW w:w="14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2,419,407</w:t>
            </w:r>
            <w:r>
              <w:rPr>
                <w:rFonts w:ascii="Times New Roman" w:cs="Times New Roman" w:eastAsia="Times New Roman" w:hAnsi="Times New Roman"/>
                <w:sz w:val="23"/>
                <w:szCs w:val="23"/>
                <w:color w:val="auto"/>
                <w:vertAlign w:val="superscript"/>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Ithan Creek Master Investors (Cayman) L.P.</w:t>
            </w:r>
            <w:r>
              <w:rPr>
                <w:rFonts w:ascii="Times New Roman" w:cs="Times New Roman" w:eastAsia="Times New Roman" w:hAnsi="Times New Roman"/>
                <w:sz w:val="23"/>
                <w:szCs w:val="23"/>
                <w:color w:val="auto"/>
                <w:vertAlign w:val="superscript"/>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Bay Pond Investors (Bermuda) L.P.</w:t>
            </w:r>
            <w:r>
              <w:rPr>
                <w:rFonts w:ascii="Times New Roman" w:cs="Times New Roman" w:eastAsia="Times New Roman" w:hAnsi="Times New Roman"/>
                <w:sz w:val="23"/>
                <w:szCs w:val="23"/>
                <w:color w:val="auto"/>
                <w:vertAlign w:val="superscript"/>
              </w:rPr>
              <w:t>(10)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PSAM Worldarb Master Fund Ltd</w:t>
            </w:r>
            <w:r>
              <w:rPr>
                <w:rFonts w:ascii="Times New Roman" w:cs="Times New Roman" w:eastAsia="Times New Roman" w:hAnsi="Times New Roman"/>
                <w:sz w:val="23"/>
                <w:szCs w:val="23"/>
                <w:color w:val="auto"/>
                <w:vertAlign w:val="superscript"/>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Nantahala Capital Partners SI, LP</w:t>
            </w:r>
            <w:r>
              <w:rPr>
                <w:rFonts w:ascii="Times New Roman" w:cs="Times New Roman" w:eastAsia="Times New Roman" w:hAnsi="Times New Roman"/>
                <w:sz w:val="23"/>
                <w:szCs w:val="23"/>
                <w:color w:val="auto"/>
                <w:vertAlign w:val="superscript"/>
              </w:rPr>
              <w:t>(13)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NCP RFM LP</w:t>
            </w:r>
            <w:r>
              <w:rPr>
                <w:rFonts w:ascii="Times New Roman" w:cs="Times New Roman" w:eastAsia="Times New Roman" w:hAnsi="Times New Roman"/>
                <w:sz w:val="23"/>
                <w:szCs w:val="23"/>
                <w:color w:val="auto"/>
                <w:vertAlign w:val="superscript"/>
              </w:rPr>
              <w:t>(13)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FinTech Masala Advisors IV, LLC</w:t>
            </w:r>
            <w:r>
              <w:rPr>
                <w:rFonts w:ascii="Times New Roman" w:cs="Times New Roman" w:eastAsia="Times New Roman" w:hAnsi="Times New Roman"/>
                <w:sz w:val="23"/>
                <w:szCs w:val="23"/>
                <w:color w:val="auto"/>
                <w:vertAlign w:val="superscript"/>
              </w:rPr>
              <w:t>(14)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members of FinTech Masala Advisors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IV, LLC</w:t>
            </w:r>
            <w:r>
              <w:rPr>
                <w:rFonts w:ascii="Times New Roman" w:cs="Times New Roman" w:eastAsia="Times New Roman" w:hAnsi="Times New Roman"/>
                <w:sz w:val="23"/>
                <w:szCs w:val="23"/>
                <w:color w:val="auto"/>
                <w:vertAlign w:val="superscript"/>
              </w:rPr>
              <w:t>(15)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1,090,425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FinTech Investor Holdings IV, LLC</w:t>
            </w:r>
            <w:r>
              <w:rPr>
                <w:rFonts w:ascii="Times New Roman" w:cs="Times New Roman" w:eastAsia="Times New Roman" w:hAnsi="Times New Roman"/>
                <w:sz w:val="23"/>
                <w:szCs w:val="23"/>
                <w:color w:val="auto"/>
                <w:vertAlign w:val="superscript"/>
              </w:rPr>
              <w:t>(14)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members of FinTech Investor</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IV, LLC</w:t>
            </w:r>
            <w:r>
              <w:rPr>
                <w:rFonts w:ascii="Times New Roman" w:cs="Times New Roman" w:eastAsia="Times New Roman" w:hAnsi="Times New Roman"/>
                <w:sz w:val="23"/>
                <w:szCs w:val="23"/>
                <w:color w:val="auto"/>
                <w:vertAlign w:val="superscript"/>
              </w:rPr>
              <w:t>(16)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Linden Capital L.P.</w:t>
            </w:r>
            <w:r>
              <w:rPr>
                <w:rFonts w:ascii="Times New Roman" w:cs="Times New Roman" w:eastAsia="Times New Roman" w:hAnsi="Times New Roman"/>
                <w:sz w:val="23"/>
                <w:szCs w:val="23"/>
                <w:color w:val="auto"/>
                <w:vertAlign w:val="superscript"/>
              </w:rPr>
              <w:t>(17)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ERISA Opportunity Fund, Ltd.</w:t>
            </w:r>
            <w:r>
              <w:rPr>
                <w:rFonts w:ascii="Times New Roman" w:cs="Times New Roman" w:eastAsia="Times New Roman" w:hAnsi="Times New Roman"/>
                <w:sz w:val="23"/>
                <w:szCs w:val="23"/>
                <w:color w:val="auto"/>
                <w:vertAlign w:val="superscript"/>
              </w:rPr>
              <w:t>(18)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Opportunity Fund, L.P.</w:t>
            </w:r>
            <w:r>
              <w:rPr>
                <w:rFonts w:ascii="Times New Roman" w:cs="Times New Roman" w:eastAsia="Times New Roman" w:hAnsi="Times New Roman"/>
                <w:sz w:val="23"/>
                <w:szCs w:val="23"/>
                <w:color w:val="auto"/>
                <w:vertAlign w:val="superscript"/>
              </w:rPr>
              <w:t>(18)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3"/>
                <w:szCs w:val="23"/>
                <w:color w:val="auto"/>
                <w:vertAlign w:val="superscript"/>
              </w:rPr>
              <w:t>(19)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MMCAP International Inc. SPC</w:t>
            </w:r>
            <w:r>
              <w:rPr>
                <w:rFonts w:ascii="Times New Roman" w:cs="Times New Roman" w:eastAsia="Times New Roman" w:hAnsi="Times New Roman"/>
                <w:sz w:val="23"/>
                <w:szCs w:val="23"/>
                <w:color w:val="auto"/>
                <w:vertAlign w:val="superscript"/>
              </w:rPr>
              <w:t>(20)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Atalaya Special Purpose Investment Fund</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Samlyn Offshore Master Fund, Ltd.</w:t>
            </w:r>
            <w:r>
              <w:rPr>
                <w:rFonts w:ascii="Times New Roman" w:cs="Times New Roman" w:eastAsia="Times New Roman" w:hAnsi="Times New Roman"/>
                <w:sz w:val="23"/>
                <w:szCs w:val="23"/>
                <w:color w:val="auto"/>
                <w:vertAlign w:val="superscript"/>
              </w:rPr>
              <w:t>(22)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Samlyn Net Neutral Master Fund, Ltd.</w:t>
            </w:r>
            <w:r>
              <w:rPr>
                <w:rFonts w:ascii="Times New Roman" w:cs="Times New Roman" w:eastAsia="Times New Roman" w:hAnsi="Times New Roman"/>
                <w:sz w:val="23"/>
                <w:szCs w:val="23"/>
                <w:color w:val="auto"/>
                <w:vertAlign w:val="superscript"/>
              </w:rPr>
              <w:t>(22)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1,233,877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Samlyn Long Alpha Master Fund, Ltd.</w:t>
            </w:r>
            <w:r>
              <w:rPr>
                <w:rFonts w:ascii="Times New Roman" w:cs="Times New Roman" w:eastAsia="Times New Roman" w:hAnsi="Times New Roman"/>
                <w:sz w:val="23"/>
                <w:szCs w:val="23"/>
                <w:color w:val="auto"/>
                <w:vertAlign w:val="superscript"/>
              </w:rPr>
              <w:t>(22)</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37,367</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5,550</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31,817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Samlyn Onshore Fund, LP</w:t>
            </w:r>
            <w:r>
              <w:rPr>
                <w:rFonts w:ascii="Times New Roman" w:cs="Times New Roman" w:eastAsia="Times New Roman" w:hAnsi="Times New Roman"/>
                <w:sz w:val="23"/>
                <w:szCs w:val="23"/>
                <w:color w:val="auto"/>
                <w:vertAlign w:val="superscript"/>
              </w:rPr>
              <w:t>(23)</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604,225</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81,750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522,475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FM PWP PIPE Sponsor, LLC</w:t>
            </w:r>
            <w:r>
              <w:rPr>
                <w:rFonts w:ascii="Times New Roman" w:cs="Times New Roman" w:eastAsia="Times New Roman" w:hAnsi="Times New Roman"/>
                <w:sz w:val="23"/>
                <w:szCs w:val="23"/>
                <w:color w:val="auto"/>
                <w:vertAlign w:val="superscript"/>
              </w:rPr>
              <w:t>(24)</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150,000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 Opportunities LLC</w:t>
            </w:r>
            <w:r>
              <w:rPr>
                <w:rFonts w:ascii="Times New Roman" w:cs="Times New Roman" w:eastAsia="Times New Roman" w:hAnsi="Times New Roman"/>
                <w:sz w:val="23"/>
                <w:szCs w:val="23"/>
                <w:color w:val="auto"/>
                <w:vertAlign w:val="superscript"/>
              </w:rPr>
              <w:t>(25)</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Fisher Perella Partners LLC</w:t>
            </w:r>
            <w:r>
              <w:rPr>
                <w:rFonts w:ascii="Times New Roman" w:cs="Times New Roman" w:eastAsia="Times New Roman" w:hAnsi="Times New Roman"/>
                <w:sz w:val="23"/>
                <w:szCs w:val="23"/>
                <w:color w:val="auto"/>
                <w:vertAlign w:val="superscript"/>
              </w:rPr>
              <w:t>(26)</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337,048</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337,048</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PWP Professional Partners LP</w:t>
            </w:r>
            <w:r>
              <w:rPr>
                <w:rFonts w:ascii="Times New Roman" w:cs="Times New Roman" w:eastAsia="Times New Roman" w:hAnsi="Times New Roman"/>
                <w:sz w:val="23"/>
                <w:szCs w:val="23"/>
                <w:color w:val="auto"/>
                <w:vertAlign w:val="superscript"/>
              </w:rPr>
              <w:t>(27)</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43,769,673</w:t>
            </w:r>
            <w:r>
              <w:rPr>
                <w:rFonts w:ascii="Times New Roman" w:cs="Times New Roman" w:eastAsia="Times New Roman" w:hAnsi="Times New Roman"/>
                <w:sz w:val="23"/>
                <w:szCs w:val="23"/>
                <w:color w:val="auto"/>
                <w:vertAlign w:val="superscript"/>
              </w:rPr>
              <w:t>(28)</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50.9%</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 Hook Capital, LLC</w:t>
            </w:r>
            <w:r>
              <w:rPr>
                <w:rFonts w:ascii="Times New Roman" w:cs="Times New Roman" w:eastAsia="Times New Roman" w:hAnsi="Times New Roman"/>
                <w:sz w:val="23"/>
                <w:szCs w:val="23"/>
                <w:color w:val="auto"/>
                <w:vertAlign w:val="superscript"/>
              </w:rPr>
              <w:t>(29)</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842,622</w:t>
            </w:r>
            <w:r>
              <w:rPr>
                <w:rFonts w:ascii="Times New Roman" w:cs="Times New Roman" w:eastAsia="Times New Roman" w:hAnsi="Times New Roman"/>
                <w:sz w:val="23"/>
                <w:szCs w:val="23"/>
                <w:color w:val="auto"/>
                <w:vertAlign w:val="superscript"/>
              </w:rPr>
              <w:t>(28)</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42,278,973 shares of Class A common stock outstanding as of June 17, 2022.</w:t>
      </w:r>
    </w:p>
    <w:p>
      <w:pPr>
        <w:spacing w:after="0" w:line="14"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1" w:lineRule="exact"/>
        <w:rPr>
          <w:rFonts w:ascii="Times New Roman" w:cs="Times New Roman" w:eastAsia="Times New Roman" w:hAnsi="Times New Roman"/>
          <w:sz w:val="14"/>
          <w:szCs w:val="14"/>
          <w:color w:val="auto"/>
        </w:rPr>
      </w:pPr>
    </w:p>
    <w:p>
      <w:pPr>
        <w:ind w:left="340" w:right="40" w:hanging="332"/>
        <w:spacing w:after="0" w:line="258"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accounts are managed by direct or indirect subsidiaries of FMR LLC. FMR LLC may be deemed to beneficially own 3,750,439 shares of the Company’s Class A common stock, including on behalf of entities and accounts not listed above as Selling Holders, based on the Schedule 13G filed by FMR LLC with the SEC on February 9, 2022.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4" w:lineRule="exact"/>
        <w:rPr>
          <w:rFonts w:ascii="Times New Roman" w:cs="Times New Roman" w:eastAsia="Times New Roman" w:hAnsi="Times New Roman"/>
          <w:sz w:val="14"/>
          <w:szCs w:val="14"/>
          <w:color w:val="auto"/>
        </w:rPr>
      </w:pPr>
    </w:p>
    <w:p>
      <w:pPr>
        <w:ind w:left="340" w:right="160" w:hanging="332"/>
        <w:spacing w:after="0" w:line="255"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shares of the Company’s Class A common stock beneficially owned by Adage Capital Partners, L.P., a Delaware limited partnership (the “Fund”) is based on a Schedule 13G/A filed by the Fund, ACPGP, AC Advisors, Robert Atchinson and Phillip Gross with the SEC on February 10, 2022. The securities to which this filing relates are held directly by the Fund. ACPGP serves as the general partner of the Fund and as such has discretion over the portfolio securities beneficially owned by the Fund. AC Advisors is the managing member of ACPGP and directs ACPGP’s operations. Robert Atchinson and Phillip Gross are the managing members of ACPGP and AC Advisors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spacing w:after="0" w:line="2" w:lineRule="exact"/>
        <w:rPr>
          <w:rFonts w:ascii="Times New Roman" w:cs="Times New Roman" w:eastAsia="Times New Roman" w:hAnsi="Times New Roman"/>
          <w:sz w:val="14"/>
          <w:szCs w:val="14"/>
          <w:color w:val="auto"/>
        </w:rPr>
      </w:pPr>
    </w:p>
    <w:p>
      <w:pPr>
        <w:ind w:left="340" w:right="40" w:hanging="332"/>
        <w:spacing w:after="0" w:line="257"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Advisers Act of 1940 (“CAL”), holds the voting and dispositive power with respect to the shares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2" w:lineRule="exact"/>
        <w:rPr>
          <w:rFonts w:ascii="Times New Roman" w:cs="Times New Roman" w:eastAsia="Times New Roman" w:hAnsi="Times New Roman"/>
          <w:sz w:val="14"/>
          <w:szCs w:val="14"/>
          <w:color w:val="auto"/>
        </w:rPr>
      </w:pPr>
    </w:p>
    <w:p>
      <w:pPr>
        <w:ind w:left="340" w:right="320" w:hanging="332"/>
        <w:spacing w:after="0" w:line="259"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ind w:left="340" w:hanging="332"/>
        <w:spacing w:after="0" w:line="259"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40,096 shares of the Company’s Class A common stock beneficially owned by ICS Opportunities, Ltd., an exempted company organized under the laws of the Cayman Islands (“ICS Opportunities”) and 800 shares of the Company’s Class A common stock beneficially owned by Integrated Assets, Ltd. (“Integrated Assets”) based on the Millennium 13G (as defined below). Millennium International Management LP, a Delaware limited partnership (“Millennium International Management”), is the investment manager to ICS Opportunities and Integrated Assets and may be deemed to have shared voting control and investment discretion over securities owned by ICS Opportunities and Integrated Assets. Millennium Management LLC, a Delaware limited liability company (“Millennium Management”), is the general partner of the managing member of Integrated Core Strategies (US) LLC, a Delaware limited liability company (“Integrated Core Strategies”) and Riverview Group LLC, a Delaware limited liability company (“Riverview Group”) and may be deemed to have shared voting control and investment discretion over securities owned by Integrated Core Strategies and Riverview Group. Millennium Management is also the general partner of the 100% owner of ICS Opportunities and Integrated Assets and may also be deemed to have shared voting control and investment discretion over securities owned by ICS Opportunities and Integrated Assets.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ind w:left="332" w:right="20"/>
        <w:spacing w:after="0" w:line="261" w:lineRule="auto"/>
        <w:rPr>
          <w:sz w:val="20"/>
          <w:szCs w:val="20"/>
          <w:color w:val="auto"/>
        </w:rPr>
      </w:pPr>
      <w:r>
        <w:rPr>
          <w:rFonts w:ascii="Times New Roman" w:cs="Times New Roman" w:eastAsia="Times New Roman" w:hAnsi="Times New Roman"/>
          <w:sz w:val="14"/>
          <w:szCs w:val="14"/>
          <w:color w:val="auto"/>
        </w:rPr>
        <w:t>Management and may also be deemed to have shared voting control and investment discretion over securities owned by ICS Opportunities and Integrated Assets.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Integrated Assets. The address for Integrated Core Strategies and Riverview Group is c/o Millennium Management LLC, 399 Park Avenue, New York, NY 10022.</w:t>
      </w:r>
    </w:p>
    <w:p>
      <w:pPr>
        <w:spacing w:after="0" w:line="1" w:lineRule="exact"/>
        <w:rPr>
          <w:sz w:val="20"/>
          <w:szCs w:val="20"/>
          <w:color w:val="auto"/>
        </w:rPr>
      </w:pPr>
    </w:p>
    <w:p>
      <w:pPr>
        <w:ind w:left="332" w:right="120" w:hanging="332"/>
        <w:spacing w:after="0" w:line="26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Integrated Core Strategies, Riverview Group, ICS Opportunities, Integrated Assets, Millennium International Management, Millennium Management, Millennium Group Management and Mr. Englander with the SEC on February 11, 2022 (the “Millennium 13G”).</w:t>
      </w:r>
    </w:p>
    <w:p>
      <w:pPr>
        <w:ind w:left="332" w:right="80" w:hanging="332"/>
        <w:spacing w:after="0" w:line="254"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ind w:left="332" w:right="60" w:hanging="332"/>
        <w:spacing w:after="0" w:line="257"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Management Company LLP, a subsidiary of Wellington Management Group LLP, is the investment manager of Bay Pond Partners, L.P., Ithan Creek Master Investors (Cayman) L.P. and Bay Pond Investors (Bermuda) L.P. (the “Wellington Clients”), and has voting and investment power over the securities held by the Wellington Clients. Wellington Management Group LLP may be deemed to beneficially own 8,375,405 shares of the Company’s Class A common stock, including on behalf of entities and accounts not listed above as Selling Holders, based on a Schedule 13G/A filed with the SEC on May 9, 2022. The address for the Wellington Clients is c/o Wellington Management Company LLP, 280 Congress Street, Boston, MA 02210, Attention: Private Investment Services.</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Bay Pond Partners, L.P. filed with the SEC on January 31, 2022.</w:t>
      </w:r>
    </w:p>
    <w:p>
      <w:pPr>
        <w:spacing w:after="0" w:line="11" w:lineRule="exact"/>
        <w:rPr>
          <w:rFonts w:ascii="Times New Roman" w:cs="Times New Roman" w:eastAsia="Times New Roman" w:hAnsi="Times New Roman"/>
          <w:sz w:val="14"/>
          <w:szCs w:val="14"/>
          <w:color w:val="auto"/>
        </w:rPr>
      </w:pPr>
    </w:p>
    <w:p>
      <w:pPr>
        <w:ind w:left="332" w:right="20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 Schoenfeld Asset Management LP (“PSAM”), is the investment manager of PSAM WorldArb Master Fund, Ltd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spacing w:after="0" w:line="1" w:lineRule="exact"/>
        <w:rPr>
          <w:rFonts w:ascii="Times New Roman" w:cs="Times New Roman" w:eastAsia="Times New Roman" w:hAnsi="Times New Roman"/>
          <w:sz w:val="14"/>
          <w:szCs w:val="14"/>
          <w:color w:val="auto"/>
        </w:rPr>
      </w:pPr>
    </w:p>
    <w:p>
      <w:pPr>
        <w:ind w:left="332" w:right="120" w:hanging="332"/>
        <w:spacing w:after="0" w:line="255"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 of such securities. Nantahala Capital Management, LLC may be deemed to beneficially own 1,340,020 shares of Class A common stock in the Company, including on behalf of managed funds and accounts not listed above as Selling Holders, based on a Schedule 13G/A filed with the SEC on February 14, 2022. The above shall not be deemed to be an admission by the record owners or the selling stockholder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stockholder.</w:t>
      </w:r>
    </w:p>
    <w:p>
      <w:pPr>
        <w:spacing w:after="0" w:line="2" w:lineRule="exact"/>
        <w:rPr>
          <w:rFonts w:ascii="Times New Roman" w:cs="Times New Roman" w:eastAsia="Times New Roman" w:hAnsi="Times New Roman"/>
          <w:sz w:val="14"/>
          <w:szCs w:val="14"/>
          <w:color w:val="auto"/>
        </w:rPr>
      </w:pPr>
    </w:p>
    <w:p>
      <w:pPr>
        <w:ind w:left="332" w:right="80" w:hanging="332"/>
        <w:spacing w:after="0" w:line="257"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Cohen Sponsor Interests IV, LLC is the manager of FinTech Masala Advisors IV, LLC and FinTech Investor Holdings IV, LLC.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FinTech Masala Advisors IV, LLC and FinTech Investor Holdings IV, LLC. The address for the Selling Holder is 2929 Arch Street, Suite 1703, Philadelphia, PA 19104.</w:t>
      </w:r>
    </w:p>
    <w:p>
      <w:pPr>
        <w:spacing w:after="0" w:line="2" w:lineRule="exact"/>
        <w:rPr>
          <w:rFonts w:ascii="Times New Roman" w:cs="Times New Roman" w:eastAsia="Times New Roman" w:hAnsi="Times New Roman"/>
          <w:sz w:val="14"/>
          <w:szCs w:val="14"/>
          <w:color w:val="auto"/>
        </w:rPr>
      </w:pPr>
    </w:p>
    <w:p>
      <w:pPr>
        <w:ind w:left="332" w:right="200" w:hanging="332"/>
        <w:spacing w:after="0" w:line="259"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22 members of FinTech Masala Advisors IV, LLC who are selling shares of Class A common stock in this offering and excludes certain members of FinTech Masala Advisors IV, LLC who are separately shown in this table.</w:t>
      </w:r>
    </w:p>
    <w:p>
      <w:pPr>
        <w:ind w:left="332" w:right="14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12 members of FinTech Investor Holdings IV, LLC who are selling shares of Class A common stock in this offering and excludes certain members of FinTech Investor Holdings IV, LLC who are separately shown in this table.</w:t>
      </w:r>
    </w:p>
    <w:p>
      <w:pPr>
        <w:ind w:left="332" w:hanging="332"/>
        <w:spacing w:after="0" w:line="256"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Times New Roman" w:cs="Times New Roman" w:eastAsia="Times New Roman" w:hAnsi="Times New Roman"/>
          <w:sz w:val="14"/>
          <w:szCs w:val="14"/>
          <w:color w:val="auto"/>
        </w:rPr>
      </w:pPr>
    </w:p>
    <w:p>
      <w:pPr>
        <w:ind w:left="332" w:right="80" w:hanging="332"/>
        <w:spacing w:after="0" w:line="254"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31st Floor, New York, NY 10022.</w:t>
      </w:r>
    </w:p>
    <w:p>
      <w:pPr>
        <w:spacing w:after="0" w:line="1" w:lineRule="exact"/>
        <w:rPr>
          <w:rFonts w:ascii="Times New Roman" w:cs="Times New Roman" w:eastAsia="Times New Roman" w:hAnsi="Times New Roman"/>
          <w:sz w:val="14"/>
          <w:szCs w:val="14"/>
          <w:color w:val="auto"/>
        </w:rPr>
      </w:pPr>
    </w:p>
    <w:p>
      <w:pPr>
        <w:ind w:left="332" w:right="140" w:hanging="332"/>
        <w:spacing w:after="0" w:line="256"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1" w:lineRule="exact"/>
        <w:rPr>
          <w:rFonts w:ascii="Times New Roman" w:cs="Times New Roman" w:eastAsia="Times New Roman" w:hAnsi="Times New Roman"/>
          <w:sz w:val="14"/>
          <w:szCs w:val="14"/>
          <w:color w:val="auto"/>
        </w:rPr>
      </w:pPr>
    </w:p>
    <w:p>
      <w:pPr>
        <w:ind w:left="332" w:right="2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1" w:lineRule="exact"/>
        <w:rPr>
          <w:rFonts w:ascii="Times New Roman" w:cs="Times New Roman" w:eastAsia="Times New Roman" w:hAnsi="Times New Roman"/>
          <w:sz w:val="14"/>
          <w:szCs w:val="14"/>
          <w:color w:val="auto"/>
        </w:rPr>
      </w:pPr>
    </w:p>
    <w:p>
      <w:pPr>
        <w:ind w:left="332" w:right="240" w:hanging="332"/>
        <w:spacing w:after="0" w:line="25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Ivan Zinn exercises voting or dispositive power over the securities held by Atalaya Special Purpose Investment Fund LP. The address for Atalaya Special Purpose Investment Fund LP is One Rockefeller Center, New York, NY 10020.</w:t>
      </w:r>
    </w:p>
    <w:p>
      <w:pPr>
        <w:ind w:left="332" w:right="100" w:hanging="332"/>
        <w:spacing w:after="0" w:line="268"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securities are directly owned by Samlyn Offshore Master Fund, Ltd., Samlyn Net Neutral Master Fund, Ltd. or Samlyn Long Alpha Master Fund, Ltd., as applicable, and may be deemed to be indirectly beneficially owned by Samlyn Capital, as the investment manager of Samlyn Offshore Master Fund, Samlyn Net Neutral Master Fund and Samlyn Long Alpha Master Fund (“Samlyn Funds”), respectively. Samlyn Capital may be deemed to beneficially own 2,993,365 shares of the Company’s Class A common stock, including on behalf of funds and entities not listed above as Selling Holders, based on a Schedule 13G filed by Samlyn Capital, Samlyn, LP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32"/>
          </w:cols>
          <w:pgMar w:left="328" w:top="1440" w:right="339" w:bottom="1440" w:gutter="0" w:footer="0" w:header="0"/>
        </w:sectPr>
      </w:pPr>
    </w:p>
    <w:bookmarkStart w:id="40" w:name="page41"/>
    <w:bookmarkEnd w:id="40"/>
    <w:p>
      <w:pPr>
        <w:spacing w:after="0" w:line="135"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4"/>
          <w:szCs w:val="14"/>
          <w:color w:val="auto"/>
        </w:rPr>
        <w:t>Pohly with the SEC on February 14, 2022 (the “Samlyn 13G”). 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prospectus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1" w:lineRule="exact"/>
        <w:rPr>
          <w:sz w:val="20"/>
          <w:szCs w:val="20"/>
          <w:color w:val="auto"/>
        </w:rPr>
      </w:pPr>
    </w:p>
    <w:p>
      <w:pPr>
        <w:ind w:left="340" w:right="20" w:hanging="332"/>
        <w:spacing w:after="0" w:line="258"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securities are directly owned by Samlyn Onshore Fund, LP, and may be deemed to be indirectly beneficially owned by (i) Samlyn Capital, LLC, as the investment manager of Samlyn Onshore Fund, and (ii) Samlyn Partners, LLC (“Samlyn Partners”), as the general partner of Samlyn Onshore Fund. Samlyn Capital may be deemed to beneficially own 2,993,365 shares of the Company’s Class A common stock, including on behalf of funds and entities not listed above as Selling Holders, based on the Samlyn 13G. The reported securities may also be deemed to be indirectly beneficially owned by Robert Pohly as the principal of Samlyn Capital and Managing Member of Samlyn Partners. Samlyn Capital, Samlyn Partners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3"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jc w:val="both"/>
        <w:ind w:left="340" w:right="20" w:hanging="332"/>
        <w:spacing w:after="0" w:line="260"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30th Floor, New York, NY 10017.</w:t>
      </w:r>
    </w:p>
    <w:p>
      <w:pPr>
        <w:ind w:left="340" w:right="26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ind w:left="340" w:right="120" w:hanging="332"/>
        <w:spacing w:after="0" w:line="260"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1" w:lineRule="exact"/>
        <w:rPr>
          <w:rFonts w:ascii="Times New Roman" w:cs="Times New Roman" w:eastAsia="Times New Roman" w:hAnsi="Times New Roman"/>
          <w:sz w:val="14"/>
          <w:szCs w:val="14"/>
          <w:color w:val="auto"/>
        </w:rPr>
      </w:pPr>
    </w:p>
    <w:p>
      <w:pPr>
        <w:ind w:left="340" w:right="100" w:hanging="332"/>
        <w:spacing w:after="0" w:line="257"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spacing w:after="0" w:line="2" w:lineRule="exact"/>
        <w:rPr>
          <w:rFonts w:ascii="Times New Roman" w:cs="Times New Roman" w:eastAsia="Times New Roman" w:hAnsi="Times New Roman"/>
          <w:sz w:val="14"/>
          <w:szCs w:val="14"/>
          <w:color w:val="auto"/>
        </w:rPr>
      </w:pPr>
    </w:p>
    <w:p>
      <w:pPr>
        <w:ind w:left="340" w:right="160" w:hanging="332"/>
        <w:spacing w:after="0" w:line="263"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A. Weinberg has shared voting and dispositive power over the securities held by Red Hook Capital, LLC through his shared control over Rosedale Partners LLC, the sole member of Red Hook Capital,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vMerge w:val="restart"/>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4"/>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Securities to be Sold in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00" w:type="dxa"/>
            <w:vAlign w:val="bottom"/>
            <w:vMerge w:val="restart"/>
          </w:tcPr>
          <w:p>
            <w:pPr>
              <w:spacing w:after="0"/>
              <w:rPr>
                <w:sz w:val="11"/>
                <w:szCs w:val="11"/>
                <w:color w:val="auto"/>
              </w:rPr>
            </w:pPr>
          </w:p>
        </w:tc>
        <w:tc>
          <w:tcPr>
            <w:tcW w:w="1280" w:type="dxa"/>
            <w:vAlign w:val="bottom"/>
            <w:gridSpan w:val="2"/>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ind w:left="28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vMerge w:val="restart"/>
          </w:tcPr>
          <w:p>
            <w:pPr>
              <w:jc w:val="right"/>
              <w:ind w:right="13"/>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48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ind w:right="388"/>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Certain members of FinTech Investor Holdings IV,</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3"/>
                <w:szCs w:val="13"/>
                <w:color w:val="auto"/>
              </w:rPr>
            </w:pPr>
          </w:p>
        </w:tc>
        <w:tc>
          <w:tcPr>
            <w:tcW w:w="1680" w:type="dxa"/>
            <w:vAlign w:val="bottom"/>
            <w:gridSpan w:val="3"/>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bscript"/>
              </w:rPr>
              <w:t>LLC</w:t>
            </w:r>
            <w:r>
              <w:rPr>
                <w:rFonts w:ascii="Times New Roman" w:cs="Times New Roman" w:eastAsia="Times New Roman" w:hAnsi="Times New Roman"/>
                <w:sz w:val="9"/>
                <w:szCs w:val="9"/>
                <w:color w:val="auto"/>
              </w:rPr>
              <w:t>(2)</w:t>
            </w: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FinTech Masala, LLC</w:t>
            </w:r>
            <w:r>
              <w:rPr>
                <w:rFonts w:ascii="Times New Roman" w:cs="Times New Roman" w:eastAsia="Times New Roman" w:hAnsi="Times New Roman"/>
                <w:sz w:val="21"/>
                <w:szCs w:val="21"/>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PSAM WorldArb Master Fund Ltd.</w:t>
            </w:r>
            <w:r>
              <w:rPr>
                <w:rFonts w:ascii="Times New Roman" w:cs="Times New Roman" w:eastAsia="Times New Roman" w:hAnsi="Times New Roman"/>
                <w:sz w:val="21"/>
                <w:szCs w:val="21"/>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7,869,975 Warrants outstanding as of June 17, 2022.</w:t>
      </w:r>
    </w:p>
    <w:p>
      <w:pPr>
        <w:spacing w:after="0" w:line="11" w:lineRule="exact"/>
        <w:rPr>
          <w:rFonts w:ascii="Times New Roman" w:cs="Times New Roman" w:eastAsia="Times New Roman" w:hAnsi="Times New Roman"/>
          <w:sz w:val="14"/>
          <w:szCs w:val="14"/>
          <w:color w:val="auto"/>
        </w:rPr>
      </w:pPr>
    </w:p>
    <w:p>
      <w:pPr>
        <w:ind w:left="340" w:right="420" w:hanging="332"/>
        <w:spacing w:after="0" w:line="261"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10 members of FinTech Investor Holdings IV, LLC who are selling Private Placement Warrants in this offering and excludes certain members of FinTech Investor Holdings IV, LLC who are separately shown in this table.</w:t>
      </w:r>
    </w:p>
    <w:p>
      <w:pPr>
        <w:ind w:left="340" w:right="40" w:hanging="332"/>
        <w:spacing w:after="0" w:line="256"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1" w:lineRule="exact"/>
        <w:rPr>
          <w:rFonts w:ascii="Times New Roman" w:cs="Times New Roman" w:eastAsia="Times New Roman" w:hAnsi="Times New Roman"/>
          <w:sz w:val="14"/>
          <w:szCs w:val="14"/>
          <w:color w:val="auto"/>
        </w:rPr>
      </w:pPr>
    </w:p>
    <w:p>
      <w:pPr>
        <w:ind w:left="340" w:right="380" w:hanging="332"/>
        <w:spacing w:after="0" w:line="272"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PSAM is the investment manager of WAM. Peter Schoenfeld is the CEO of PSAM. PSAM and Peter Schoenfeld have voting and investment power over the securities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Holders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Peter A. Weinberg, our Chairman and Chief Executive Officer, exercises shared control over Rosedale Partners LLC, the sole member of Red Hook Capital, LLC.</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 description of our other relationships with the Selling Holders and their affiliates see the sections entitled “Directors, Executive Officers and Corporate Governance,” “Certain Relationships and Related Transactions, and Director Independence” and “Executive Compensation” in Amendment No. 1 to our Annual Report on Form 10-K/A and other documents we file with the SEC from time to time that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2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(including put or call options), whether the options are listed on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12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12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2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Transfer or Exchange Restrictions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contractual transfer or exchange restrictions with respect to their securities. See “The Offering—Lock-ups.”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1440" w:right="399" w:bottom="1440" w:gutter="0" w:footer="0" w:header="0"/>
        </w:sectPr>
      </w:pPr>
    </w:p>
    <w:bookmarkStart w:id="44" w:name="page45"/>
    <w:bookmarkEnd w:id="4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“Code”). No ruling from the Internal Revenue Service (“IRS”) has been or will be sought regarding any matter discussed herein. No assurance can be given that the IRS would not assert, or that a court would not sustain a position contrary to any of the tax aspects set forth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holder of securities who or that, for U.S. federal income tax purposes is:</w:t>
      </w:r>
    </w:p>
    <w:p>
      <w:pPr>
        <w:spacing w:after="0" w:line="1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United States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is a beneficial holder of securities who or that is neither a U.S. Holder nor a partnership for U.S. federal income tax purposes.</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none of the foregoing tests is satisfied, the redemption will be treated as a corporate distribution, the tax consequences of which are described under “U.S. Holders—Taxation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a Warrant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3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Redemption or Expiration of a Warrant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U.S. Holder should generally not recognize any gain or loss on a redemption of Warrants for Class A common stock described in this prospectus under “Description of Securities—Warrants—Public Warrants.”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320" w:top="1440" w:right="399" w:bottom="1440" w:gutter="0" w:footer="0" w:header="0"/>
        </w:sectPr>
      </w:pPr>
    </w:p>
    <w:bookmarkStart w:id="46" w:name="page47"/>
    <w:bookmarkEnd w:id="46"/>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section of this prospectus captioned “Description of Securities—Warrants—Public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Stock and Warrants” below. In addition, if we determine that we are classified as a “United States real property holding corporation” (see “Non-U.S. Holders—Gain on Sale, Taxable Exchange or Other Taxable Disposition of Class A Common Stock and Warrants” below), we will withhold 15% of any distribution that exceeds our current and accumulated earnings and profits.</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a Warrant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generally will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Warrants for Class A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non-U.S. Holder should generally not recognize any gain or loss on the redemption of Warrants for shares of our Class A common stock described in this prospectus under “Description of Securities—Warrants—Public Warrants.” Accordingly, a non-U.S. Holder should not recognize any gain. Such holder’s aggregate tax basis in the shares of Class A common stock received in the redemption should equal their aggregate tax basis in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redeemed, and such holder’s holding period for the shares of Class A common stock received in redemption of the Warrants should include the holding period for the surrendered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Class A Common Stock and Warrants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108" w:lineRule="exact"/>
        <w:rPr>
          <w:sz w:val="20"/>
          <w:szCs w:val="20"/>
          <w:color w:val="auto"/>
        </w:rPr>
      </w:pPr>
    </w:p>
    <w:p>
      <w:pPr>
        <w:ind w:left="660" w:right="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Securities—Warrants—Public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Class A Common Stock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“U.S. Holders—Redemption of Class A Common Stock” above, and the consequences of the redemption to the non-U.S. Holder will be as described above under “Non-U.S. Holders— Taxation of Distributions” and “Non-U.S. Holders—Gain on Sale, Exchange or Other Taxable Disposition of Class A Common Stock and Warrants,”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including the documents incorporated by reference therein,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3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 xml:space="preserve">We are subject to the reporting requirements of the Exchange Act, and its rules and regulations. The Exchange Act requires us to file reports, proxy statements and other information with the SEC. The SEC maintains a web 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our Annual Reports on Form 10-K, Quarterly Reports on Form 10-Q, Current Reports on Form 8-K, proxy statements and amendments to these reports filed or furnished pursuant to Section 13(a), 14 or 15(d) of the Exchange Act, as soon as reasonably practicable after we electronically file these documents with, or furnish them to, the SEC. These documents are posted on our website at </w:t>
      </w:r>
      <w:r>
        <w:rPr>
          <w:rFonts w:ascii="Times New Roman" w:cs="Times New Roman" w:eastAsia="Times New Roman" w:hAnsi="Times New Roman"/>
          <w:sz w:val="18"/>
          <w:szCs w:val="18"/>
          <w:i w:val="1"/>
          <w:iCs w:val="1"/>
          <w:color w:val="auto"/>
        </w:rPr>
        <w:t>https://pwpartners.com/</w:t>
      </w:r>
      <w:r>
        <w:rPr>
          <w:rFonts w:ascii="Times New Roman" w:cs="Times New Roman" w:eastAsia="Times New Roman" w:hAnsi="Times New Roman"/>
          <w:sz w:val="18"/>
          <w:szCs w:val="18"/>
          <w:color w:val="auto"/>
        </w:rPr>
        <w:t>. Any references in this prospectus to our website are inactive textual references only, and the information contained on or that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accessed through our website (except for the SEC filings expressly incorporated by reference herein) is not incorporated in, and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the SEC in other documents. This means that we can disclose important information to you by referring to another document we filed with the SEC. The information relating to us contained in this prospectus should be read together with the information in the documents incorporated by reference.</w:t>
      </w:r>
    </w:p>
    <w:p>
      <w:pPr>
        <w:spacing w:after="0" w:line="12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spacing w:after="0" w:line="8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Annual Report on Form </w:t>
      </w:r>
      <w:hyperlink r:id="rId28">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July 7,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w:t>
      </w:r>
      <w:hyperlink r:id="rId29">
        <w:r>
          <w:rPr>
            <w:rFonts w:ascii="Times New Roman" w:cs="Times New Roman" w:eastAsia="Times New Roman" w:hAnsi="Times New Roman"/>
            <w:sz w:val="18"/>
            <w:szCs w:val="18"/>
            <w:u w:val="single" w:color="auto"/>
            <w:color w:val="0000FF"/>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2022, filed with the SEC on May 5, 2022;</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Schedule 14A for our 2022 Annual Meeting of Stockholders specifically incorporated by reference into Amendment No. 1 our Annual Report on Form 10-K/A for the year ended December 31, 2021, filed with the SEC on </w:t>
      </w:r>
      <w:hyperlink r:id="rId30">
        <w:r>
          <w:rPr>
            <w:rFonts w:ascii="Times New Roman" w:cs="Times New Roman" w:eastAsia="Times New Roman" w:hAnsi="Times New Roman"/>
            <w:sz w:val="18"/>
            <w:szCs w:val="18"/>
            <w:u w:val="single" w:color="auto"/>
            <w:color w:val="0000FF"/>
          </w:rPr>
          <w:t>April 13,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as supplemented on </w:t>
      </w:r>
      <w:hyperlink r:id="rId31">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2">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w:t>
      </w:r>
      <w:hyperlink r:id="rId33">
        <w:r>
          <w:rPr>
            <w:rFonts w:ascii="Times New Roman" w:cs="Times New Roman" w:eastAsia="Times New Roman" w:hAnsi="Times New Roman"/>
            <w:sz w:val="18"/>
            <w:szCs w:val="18"/>
            <w:u w:val="single" w:color="auto"/>
            <w:color w:val="0000FF"/>
          </w:rPr>
          <w:t>May 25,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contained in </w:t>
      </w:r>
      <w:hyperlink r:id="rId35">
        <w:r>
          <w:rPr>
            <w:rFonts w:ascii="Times New Roman" w:cs="Times New Roman" w:eastAsia="Times New Roman" w:hAnsi="Times New Roman"/>
            <w:sz w:val="17"/>
            <w:szCs w:val="17"/>
            <w:u w:val="single" w:color="auto"/>
            <w:color w:val="0000FF"/>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Amendment No.1 to our Annual Report on Form 10-K/A for the fiscal year ended December 31, 2021, filed with the SEC on July 7, 2022, including any amendments or reports filed for the purpose of updating such description.</w:t>
      </w:r>
    </w:p>
    <w:p>
      <w:pPr>
        <w:spacing w:after="0" w:line="86"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documents subsequently filed by the registrant pursuant to Sections 13(a), 13(c), 14 or 15(d) of the Exchange Act prior to the termination of the offering (including those documents filed after the date of the initial registration statement and prior to effectiveness of the registration statement shall be deemed to be incorporated by reference), other than any document or portion of any document furnished or deemed furnished and not filed in accordance with SEC rules, including Items 2.02 and 7.01 on Form 8-K and Item 9.01 related thereto.</w:t>
      </w:r>
    </w:p>
    <w:p>
      <w:pPr>
        <w:spacing w:after="0" w:line="126" w:lineRule="exact"/>
        <w:rPr>
          <w:rFonts w:ascii="Times New Roman" w:cs="Times New Roman" w:eastAsia="Times New Roman" w:hAnsi="Times New Roman"/>
          <w:sz w:val="18"/>
          <w:szCs w:val="18"/>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and information that we file later with the SEC and incorporate by reference in this prospectus will automatically update and supersede this previously filed information, as applicable, including information in previously filed documents or reports that have been incorporated by reference into this prospectus. Any statement so modified or superseded will not be deemed, except as so modified or superseded, to constitute a part of this prospectus.</w:t>
      </w:r>
    </w:p>
    <w:p>
      <w:pPr>
        <w:spacing w:after="0" w:line="126" w:lineRule="exact"/>
        <w:rPr>
          <w:rFonts w:ascii="Times New Roman" w:cs="Times New Roman" w:eastAsia="Times New Roman" w:hAnsi="Times New Roman"/>
          <w:sz w:val="18"/>
          <w:szCs w:val="18"/>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(212) 287-3200, or by sending a written request to Perella Weinberg Partners, 767 Fifth Avenue, New York, New York 10153, Attention: General Counsel.</w:t>
      </w:r>
    </w:p>
    <w:p>
      <w:pPr>
        <w:spacing w:after="0" w:line="126"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 or as of any earlier date as of which such information is given.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1271905</wp:posOffset>
            </wp:positionV>
            <wp:extent cx="1714500"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7,869,975 Shares of Class A Common Stock Issuable Upon Exercise of Warrants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64,738,934 Shares of Class A Common Stock</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203,333 Warrants to Purchase Class A Common Stock</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320" w:top="1440" w:right="399" w:bottom="1440" w:gutter="0" w:footer="0" w:header="0"/>
        </w:sectPr>
      </w:pPr>
    </w:p>
    <w:bookmarkStart w:id="52" w:name="page53"/>
    <w:bookmarkEnd w:id="52"/>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107,675.90**</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9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Registrar and transfer agent fees</w:t>
            </w:r>
          </w:p>
        </w:tc>
        <w:tc>
          <w:tcPr>
            <w:tcW w:w="39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9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3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9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   Estimates not presently known.</w:t>
            </w:r>
          </w:p>
        </w:tc>
        <w:tc>
          <w:tcPr>
            <w:tcW w:w="398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300" w:hanging="292"/>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registration fees were paid at the time of the original filing of the Registration Statement on Form S-1 on July 15, 2021.</w:t>
      </w:r>
    </w:p>
    <w:p>
      <w:pPr>
        <w:spacing w:after="0" w:line="1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Holders, however, will bear all underwriting commissions and discounts, if any, attributable to their sale of the securities. All amounts are estimates except the SEC registration fee.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34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8"/>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94"/>
        </w:trPr>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20" w:type="dxa"/>
            <w:vAlign w:val="bottom"/>
            <w:gridSpan w:val="12"/>
          </w:tcPr>
          <w:p>
            <w:pPr>
              <w:spacing w:after="0" w:line="194"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Business Combination Agreement, dated as of December 29, 2020, by and among FinTech Acquisition Corp. IV, FinTech Investor</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Holdings IV, LLC, FinTech Masala Advisors, LLC, PWP Holdings LP, PWP GP LLC, PWP Professional Partners LP and Perella</w:t>
              </w:r>
            </w:hyperlink>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12"/>
          </w:tcPr>
          <w:p>
            <w:pPr>
              <w:spacing w:after="0" w:line="169"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Weinberg Partners LLC (incorporated by reference to Exhibit 2.1 to FinTech Acquisition Corp. IV’s Current Report on Form 8-K/A,</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filed with the SEC on December 31, 2020).</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the Company’s Registration Statement on Form S-1 (File No. 333-261785), filed with the SEC on January 13, 2022).</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Amended and Restated Bylaws of Perella Weinberg Partners (incorporated by reference to Exhibit 3.2 to the Company’s Current</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Report on Form 8-K, filed with the SEC on June 30, 2021).</w:t>
              </w:r>
            </w:hyperlink>
          </w:p>
        </w:tc>
        <w:tc>
          <w:tcPr>
            <w:tcW w:w="49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Specimen Class A Common Stock Certificate (incorporated by reference to Exhibit 4.1 to the Company’s Current Report on Form 8-</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K, filed with the SEC on June 30, 2021).</w:t>
              </w:r>
            </w:hyperlink>
          </w:p>
        </w:tc>
        <w:tc>
          <w:tcPr>
            <w:tcW w:w="66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Warrant Agreement, dated September 24, 2020, by and between FinTech Acquisition Corp. IV and Continental Stock Transfer &amp;</w:t>
              </w:r>
            </w:hyperlink>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80" w:type="dxa"/>
            <w:vAlign w:val="bottom"/>
            <w:gridSpan w:val="6"/>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12"/>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Trust Company (incorporated by reference to Exhibit 4.1 to FinTech Acquisition Corp. IV’s Current Report on Form 8-K, filed with</w:t>
              </w:r>
            </w:hyperlink>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1620"/>
        <w:spacing w:after="0"/>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the SEC on September 30, 2020).</w:t>
        </w:r>
      </w:hyperlink>
    </w:p>
    <w:p>
      <w:pPr>
        <w:ind w:left="640"/>
        <w:spacing w:after="0"/>
        <w:tabs>
          <w:tab w:leader="none" w:pos="1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42">
        <w:r>
          <w:rPr>
            <w:rFonts w:ascii="Times New Roman" w:cs="Times New Roman" w:eastAsia="Times New Roman" w:hAnsi="Times New Roman"/>
            <w:sz w:val="17"/>
            <w:szCs w:val="17"/>
            <w:u w:val="single" w:color="auto"/>
            <w:color w:val="0000FF"/>
          </w:rPr>
          <w:t>Amendment to Warrant Agreement, dated November 10, 2021, by and among Perella Weinberg Partners, Continental Stock Transfer</w:t>
        </w:r>
      </w:hyperlink>
    </w:p>
    <w:p>
      <w:pPr>
        <w:ind w:left="1620" w:right="120" w:hanging="1"/>
        <w:spacing w:after="0" w:line="233" w:lineRule="auto"/>
        <w:tabs>
          <w:tab w:leader="none" w:pos="1805" w:val="left"/>
        </w:tabs>
        <w:numPr>
          <w:ilvl w:val="0"/>
          <w:numId w:val="42"/>
        </w:numPr>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Trust Company and American Stock Transfer &amp; Trust Company, LLC (incorporated by reference to Exhibit 4.3 to the Company's</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Registration Statement on Form S-1 (File No. 333-261785) filed with the SEC on December 21, 2021).</w:t>
        </w:r>
      </w:hyperlink>
    </w:p>
    <w:tbl>
      <w:tblPr>
        <w:tblLayout w:type="fixed"/>
        <w:tblInd w:w="500" w:type="dxa"/>
        <w:tblCellMar>
          <w:top w:w="0" w:type="dxa"/>
          <w:left w:w="0" w:type="dxa"/>
          <w:bottom w:w="0" w:type="dxa"/>
          <w:right w:w="0" w:type="dxa"/>
        </w:tblCellMar>
      </w:tblPr>
      <w:tr>
        <w:trPr>
          <w:trHeight w:val="190"/>
        </w:trPr>
        <w:tc>
          <w:tcPr>
            <w:tcW w:w="1120" w:type="dxa"/>
            <w:vAlign w:val="bottom"/>
          </w:tcPr>
          <w:p>
            <w:pPr>
              <w:jc w:val="center"/>
              <w:ind w:right="530"/>
              <w:spacing w:after="0" w:line="190" w:lineRule="exact"/>
              <w:rPr>
                <w:sz w:val="20"/>
                <w:szCs w:val="20"/>
                <w:color w:val="auto"/>
              </w:rPr>
            </w:pPr>
            <w:r>
              <w:rPr>
                <w:rFonts w:ascii="Times New Roman" w:cs="Times New Roman" w:eastAsia="Times New Roman" w:hAnsi="Times New Roman"/>
                <w:sz w:val="18"/>
                <w:szCs w:val="18"/>
                <w:color w:val="auto"/>
                <w:w w:val="97"/>
              </w:rPr>
              <w:t>5.1</w:t>
            </w:r>
          </w:p>
        </w:tc>
        <w:tc>
          <w:tcPr>
            <w:tcW w:w="9280" w:type="dxa"/>
            <w:vAlign w:val="bottom"/>
            <w:gridSpan w:val="4"/>
          </w:tcPr>
          <w:p>
            <w:pPr>
              <w:spacing w:after="0" w:line="190"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 xml:space="preserve">Opinion of Skadden, Arps, Slate, Meagher &amp; Flom LLP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Exhibit 5.1 of the Company’s Registration</w:t>
            </w:r>
          </w:p>
        </w:tc>
      </w:tr>
      <w:tr>
        <w:trPr>
          <w:trHeight w:val="205"/>
        </w:trPr>
        <w:tc>
          <w:tcPr>
            <w:tcW w:w="1120" w:type="dxa"/>
            <w:vAlign w:val="bottom"/>
          </w:tcPr>
          <w:p>
            <w:pPr>
              <w:spacing w:after="0"/>
              <w:rPr>
                <w:sz w:val="17"/>
                <w:szCs w:val="17"/>
                <w:color w:val="auto"/>
              </w:rPr>
            </w:pPr>
          </w:p>
        </w:tc>
        <w:tc>
          <w:tcPr>
            <w:tcW w:w="404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Statement on Form S-1 filed with the SEC on July 15,</w:t>
            </w:r>
          </w:p>
        </w:tc>
        <w:tc>
          <w:tcPr>
            <w:tcW w:w="1180" w:type="dxa"/>
            <w:vAlign w:val="bottom"/>
          </w:tcPr>
          <w:p>
            <w:pPr>
              <w:jc w:val="right"/>
              <w:ind w:right="730"/>
              <w:spacing w:after="0" w:line="205" w:lineRule="exact"/>
              <w:rPr>
                <w:sz w:val="20"/>
                <w:szCs w:val="20"/>
                <w:color w:val="auto"/>
              </w:rPr>
            </w:pPr>
            <w:r>
              <w:rPr>
                <w:rFonts w:ascii="Times New Roman" w:cs="Times New Roman" w:eastAsia="Times New Roman" w:hAnsi="Times New Roman"/>
                <w:sz w:val="18"/>
                <w:szCs w:val="18"/>
                <w:color w:val="auto"/>
                <w:w w:val="73"/>
              </w:rPr>
              <w:t>2021).</w:t>
            </w:r>
          </w:p>
        </w:tc>
        <w:tc>
          <w:tcPr>
            <w:tcW w:w="4060" w:type="dxa"/>
            <w:vAlign w:val="bottom"/>
          </w:tcPr>
          <w:p>
            <w:pPr>
              <w:spacing w:after="0"/>
              <w:rPr>
                <w:sz w:val="17"/>
                <w:szCs w:val="17"/>
                <w:color w:val="auto"/>
              </w:rPr>
            </w:pPr>
          </w:p>
        </w:tc>
      </w:tr>
      <w:tr>
        <w:trPr>
          <w:trHeight w:val="194"/>
        </w:trPr>
        <w:tc>
          <w:tcPr>
            <w:tcW w:w="1120" w:type="dxa"/>
            <w:vAlign w:val="bottom"/>
          </w:tcPr>
          <w:p>
            <w:pPr>
              <w:jc w:val="center"/>
              <w:ind w:right="530"/>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522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Consent of Ernst &amp; Young LLP, independent registered accounting firm.</w:t>
            </w:r>
          </w:p>
        </w:tc>
        <w:tc>
          <w:tcPr>
            <w:tcW w:w="4060" w:type="dxa"/>
            <w:vAlign w:val="bottom"/>
          </w:tcPr>
          <w:p>
            <w:pPr>
              <w:spacing w:after="0"/>
              <w:rPr>
                <w:sz w:val="16"/>
                <w:szCs w:val="16"/>
                <w:color w:val="auto"/>
              </w:rPr>
            </w:pPr>
          </w:p>
        </w:tc>
      </w:tr>
      <w:tr>
        <w:trPr>
          <w:trHeight w:val="209"/>
        </w:trPr>
        <w:tc>
          <w:tcPr>
            <w:tcW w:w="11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23.2</w:t>
            </w:r>
          </w:p>
        </w:tc>
        <w:tc>
          <w:tcPr>
            <w:tcW w:w="9280" w:type="dxa"/>
            <w:vAlign w:val="bottom"/>
            <w:gridSpan w:val="4"/>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Consent of Skadden, Arps, Slate, Meagher &amp; Flom LLP </w:t>
              </w:r>
            </w:hyperlink>
            <w:r>
              <w:rPr>
                <w:rFonts w:ascii="Times New Roman" w:cs="Times New Roman" w:eastAsia="Times New Roman" w:hAnsi="Times New Roman"/>
                <w:sz w:val="18"/>
                <w:szCs w:val="18"/>
                <w:color w:val="000000"/>
              </w:rPr>
              <w:t>(included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Exhibit 5.1).</w:t>
            </w:r>
          </w:p>
        </w:tc>
      </w:tr>
      <w:tr>
        <w:trPr>
          <w:trHeight w:val="20"/>
        </w:trPr>
        <w:tc>
          <w:tcPr>
            <w:tcW w:w="1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24.1**</w:t>
            </w: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Power of Attorney </w:t>
            </w:r>
            <w:r>
              <w:rPr>
                <w:rFonts w:ascii="Times New Roman" w:cs="Times New Roman" w:eastAsia="Times New Roman" w:hAnsi="Times New Roman"/>
                <w:sz w:val="18"/>
                <w:szCs w:val="18"/>
                <w:color w:val="000000"/>
              </w:rPr>
              <w:t>(incorporated by reference to the signature page hereto).</w:t>
            </w:r>
          </w:p>
        </w:tc>
      </w:tr>
      <w:tr>
        <w:trPr>
          <w:trHeight w:val="20"/>
        </w:trPr>
        <w:tc>
          <w:tcPr>
            <w:tcW w:w="1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9" w:lineRule="auto"/>
        <w:tabs>
          <w:tab w:leader="none" w:pos="24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ind w:left="340" w:right="40" w:hanging="332"/>
        <w:spacing w:after="0" w:line="261" w:lineRule="auto"/>
        <w:tabs>
          <w:tab w:leader="none" w:pos="22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 w:lineRule="exact"/>
        <w:rPr>
          <w:sz w:val="20"/>
          <w:szCs w:val="20"/>
          <w:color w:val="auto"/>
        </w:rPr>
      </w:pPr>
    </w:p>
    <w:p>
      <w:pPr>
        <w:ind w:left="300" w:hanging="292"/>
        <w:spacing w:after="0"/>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left="644" w:right="200" w:hanging="320"/>
        <w:spacing w:after="0" w:line="282" w:lineRule="auto"/>
        <w:tabs>
          <w:tab w:leader="none" w:pos="6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5" w:lineRule="exact"/>
        <w:rPr>
          <w:rFonts w:ascii="Times New Roman" w:cs="Times New Roman" w:eastAsia="Times New Roman" w:hAnsi="Times New Roman"/>
          <w:sz w:val="18"/>
          <w:szCs w:val="18"/>
          <w:color w:val="auto"/>
        </w:rPr>
      </w:pPr>
    </w:p>
    <w:p>
      <w:pPr>
        <w:ind w:left="6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(a)(1)(ii) and (a)(1)(iii) of this section do not apply if the information required to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7" w:lineRule="exact"/>
        <w:rPr>
          <w:rFonts w:ascii="Times New Roman" w:cs="Times New Roman" w:eastAsia="Times New Roman" w:hAnsi="Times New Roman"/>
          <w:sz w:val="18"/>
          <w:szCs w:val="18"/>
          <w:color w:val="auto"/>
        </w:rPr>
      </w:pPr>
    </w:p>
    <w:p>
      <w:pPr>
        <w:ind w:left="324" w:right="120" w:hanging="324"/>
        <w:spacing w:after="0" w:line="266" w:lineRule="auto"/>
        <w:tabs>
          <w:tab w:leader="none" w:pos="3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324" w:right="580" w:hanging="324"/>
        <w:spacing w:after="0" w:line="282" w:lineRule="auto"/>
        <w:tabs>
          <w:tab w:leader="none" w:pos="3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644" w:right="220" w:hanging="320"/>
        <w:spacing w:after="0" w:line="282" w:lineRule="auto"/>
        <w:tabs>
          <w:tab w:leader="none" w:pos="63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644" w:hanging="320"/>
        <w:spacing w:after="0" w:line="253" w:lineRule="auto"/>
        <w:tabs>
          <w:tab w:leader="none" w:pos="6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5" w:lineRule="exact"/>
        <w:rPr>
          <w:rFonts w:ascii="Times New Roman" w:cs="Times New Roman" w:eastAsia="Times New Roman" w:hAnsi="Times New Roman"/>
          <w:sz w:val="18"/>
          <w:szCs w:val="18"/>
          <w:color w:val="auto"/>
        </w:rPr>
      </w:pPr>
    </w:p>
    <w:p>
      <w:pPr>
        <w:ind w:left="324" w:right="600" w:hanging="324"/>
        <w:spacing w:after="0" w:line="282" w:lineRule="auto"/>
        <w:tabs>
          <w:tab w:leader="none" w:pos="3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07" w:lineRule="exact"/>
        <w:rPr>
          <w:rFonts w:ascii="Times New Roman" w:cs="Times New Roman" w:eastAsia="Times New Roman" w:hAnsi="Times New Roman"/>
          <w:sz w:val="18"/>
          <w:szCs w:val="18"/>
          <w:color w:val="auto"/>
        </w:rPr>
      </w:pPr>
    </w:p>
    <w:p>
      <w:pPr>
        <w:ind w:left="324" w:righ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644" w:right="300" w:hanging="320"/>
        <w:spacing w:after="0" w:line="282" w:lineRule="auto"/>
        <w:tabs>
          <w:tab w:leader="none" w:pos="6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584"/>
          </w:cols>
          <w:pgMar w:left="976" w:top="1440" w:right="339" w:bottom="1440" w:gutter="0" w:footer="0" w:header="0"/>
        </w:sectPr>
      </w:pPr>
    </w:p>
    <w:bookmarkStart w:id="55" w:name="page56"/>
    <w:bookmarkEnd w:id="55"/>
    <w:p>
      <w:pPr>
        <w:spacing w:after="0" w:line="140" w:lineRule="exact"/>
        <w:rPr>
          <w:sz w:val="20"/>
          <w:szCs w:val="20"/>
          <w:color w:val="auto"/>
        </w:rPr>
      </w:pPr>
    </w:p>
    <w:p>
      <w:pPr>
        <w:ind w:left="968" w:right="80" w:hanging="320"/>
        <w:spacing w:after="0" w:line="282" w:lineRule="auto"/>
        <w:tabs>
          <w:tab w:leader="none" w:pos="96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w:t>
      </w:r>
    </w:p>
    <w:p>
      <w:pPr>
        <w:spacing w:after="0" w:line="171" w:lineRule="exact"/>
        <w:rPr>
          <w:rFonts w:ascii="Times New Roman" w:cs="Times New Roman" w:eastAsia="Times New Roman" w:hAnsi="Times New Roman"/>
          <w:sz w:val="18"/>
          <w:szCs w:val="18"/>
          <w:color w:val="auto"/>
        </w:rPr>
      </w:pPr>
    </w:p>
    <w:p>
      <w:pPr>
        <w:ind w:left="648" w:hanging="324"/>
        <w:spacing w:after="0" w:line="261" w:lineRule="auto"/>
        <w:tabs>
          <w:tab w:leader="none" w:pos="6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8"/>
          <w:szCs w:val="18"/>
          <w:color w:val="auto"/>
        </w:rPr>
      </w:pPr>
    </w:p>
    <w:p>
      <w:pPr>
        <w:ind w:left="648" w:right="60" w:hanging="324"/>
        <w:spacing w:after="0" w:line="254" w:lineRule="auto"/>
        <w:tabs>
          <w:tab w:leader="none" w:pos="6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868"/>
          </w:cols>
          <w:pgMar w:left="652" w:top="1440" w:right="379" w:bottom="1440" w:gutter="0" w:footer="0" w:header="0"/>
        </w:sectPr>
      </w:pPr>
    </w:p>
    <w:bookmarkStart w:id="56" w:name="page57"/>
    <w:bookmarkEnd w:id="5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New York, New York, on July 7, 2022.</w:t>
      </w:r>
    </w:p>
    <w:p>
      <w:pPr>
        <w:spacing w:after="0" w:line="15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97" w:lineRule="exact"/>
        <w:rPr>
          <w:sz w:val="20"/>
          <w:szCs w:val="20"/>
          <w:color w:val="auto"/>
        </w:rPr>
      </w:pPr>
    </w:p>
    <w:tbl>
      <w:tblPr>
        <w:tblLayout w:type="fixed"/>
        <w:tblInd w:w="690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Weinberg</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Peter A. Weinberg, Gary S. Barancik and Vladimir Shendelman and each or any one of them, his, her or their true and lawful attorney-in-fact and agent, with full power of substitution and resubstitution, for him, her or them and in his, her or their name, place and stead, in any and all capacities, to sign any and all amendments to this registration statement, and to sign any registration statement relating to the offering covered by this registration statement and filed pursuant to Rule 462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she or they might or could do in person, hereby ratifying and confirming all that each of said attorneys-in-fact and agents, or his, her or their substitute or substitutes may lawfully do or cause to be done by virtue hereof.</w:t>
      </w:r>
    </w:p>
    <w:p>
      <w:pPr>
        <w:spacing w:after="0" w:line="1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180"/>
          </w:cols>
          <w:pgMar w:left="320" w:top="1440" w:right="399" w:bottom="1440" w:gutter="0" w:footer="0" w:header="0"/>
        </w:sectPr>
      </w:pPr>
    </w:p>
    <w:p>
      <w:pPr>
        <w:spacing w:after="0" w:line="14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271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0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Peter A. Weinberg</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Gary S. Barancik</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Alexandra Gottschalk</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Joseph R.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Joseph R. Perella</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Robert K.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Robert K. Steel</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Dietrich Becker</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Andrew Bednar</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Jorma Ollila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Jorma Ollila</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Ivan G. Seidenberg</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Jane C. Sherburne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Jane C. Sherburne</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Daniel G. Cohen</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 Elizabeth C. Fascitelli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713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Elizabeth C. Fascitelli</w:t>
      </w:r>
    </w:p>
    <w:p>
      <w:pPr>
        <w:spacing w:after="0" w:line="11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Kristin W. Mugford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Kristin W. Mugford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33655</wp:posOffset>
            </wp:positionV>
            <wp:extent cx="3317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2"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Chairman and Chief Executive Officer</w:t>
      </w:r>
    </w:p>
    <w:p>
      <w:pPr>
        <w:jc w:val="center"/>
        <w:ind w:right="1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Chief Accounting Officer,</w:t>
      </w:r>
    </w:p>
    <w:p>
      <w:pPr>
        <w:ind w:left="3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59"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Chairman Emeritus</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Vice Chairman</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33655</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7, 2022</w:t>
      </w:r>
    </w:p>
    <w:p>
      <w:pPr>
        <w:spacing w:after="0" w:line="427" w:lineRule="exact"/>
        <w:rPr>
          <w:sz w:val="20"/>
          <w:szCs w:val="20"/>
          <w:color w:val="auto"/>
        </w:rPr>
      </w:pPr>
    </w:p>
    <w:p>
      <w:pPr>
        <w:sectPr>
          <w:pgSz w:w="11900" w:h="16838" w:orient="portrait"/>
          <w:cols w:equalWidth="0" w:num="3">
            <w:col w:w="4180" w:space="720"/>
            <w:col w:w="4060" w:space="720"/>
            <w:col w:w="150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80"/>
          </w:cols>
          <w:pgMar w:left="320" w:top="1440" w:right="39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333333"/>
        </w:rPr>
        <w:t xml:space="preserve">We consent to the reference to our firm under the caption "Experts" in </w:t>
      </w:r>
      <w:r>
        <w:rPr>
          <w:rFonts w:ascii="Times New Roman" w:cs="Times New Roman" w:eastAsia="Times New Roman" w:hAnsi="Times New Roman"/>
          <w:sz w:val="18"/>
          <w:szCs w:val="18"/>
          <w:color w:val="000000"/>
        </w:rPr>
        <w:t>this Registration Statement on Form S-3 which constitutes Post-Effective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Amendment No. 2 to the Registration Statement on Form S-1 (No. 333-257924) </w:t>
      </w:r>
      <w:r>
        <w:rPr>
          <w:rFonts w:ascii="Times New Roman" w:cs="Times New Roman" w:eastAsia="Times New Roman" w:hAnsi="Times New Roman"/>
          <w:sz w:val="18"/>
          <w:szCs w:val="18"/>
          <w:color w:val="333333"/>
        </w:rPr>
        <w:t>and related Prospectus</w:t>
      </w:r>
      <w:r>
        <w:rPr>
          <w:rFonts w:ascii="Times New Roman" w:cs="Times New Roman" w:eastAsia="Times New Roman" w:hAnsi="Times New Roman"/>
          <w:sz w:val="18"/>
          <w:szCs w:val="18"/>
          <w:color w:val="000000"/>
        </w:rPr>
        <w:t xml:space="preserve"> of Perella Weinberg Partners </w:t>
      </w:r>
      <w:r>
        <w:rPr>
          <w:rFonts w:ascii="Times New Roman" w:cs="Times New Roman" w:eastAsia="Times New Roman" w:hAnsi="Times New Roman"/>
          <w:sz w:val="18"/>
          <w:szCs w:val="18"/>
          <w:color w:val="333333"/>
        </w:rPr>
        <w:t>for the registration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up to 7,869,975 shares of its Class A common stock issuable upon exercise of warrants and the offer and sale by the selling holders, or their permitted transferees, of up to 64,738,934 shares of Class A common stock and up to 203,333 warrants to purchase Class A common stock and to the incorporation by reference therein of our report dated March 11, 2022, with respect to the consolidated financial statements of Perella Weinberg Partners included in its Amendment No. 1 to the Annual Report (Form 10-K/A) for the year ended December 31, 2021, filed with the Securities and Exchange Commission.</w:t>
      </w:r>
    </w:p>
    <w:p>
      <w:pPr>
        <w:spacing w:after="0" w:line="234"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7, 2022</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1)"/>
      <w:numFmt w:val="lowerRoman"/>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7"/>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Letter"/>
      <w:start w:val="8"/>
    </w:lvl>
  </w:abstractNum>
  <w:abstractNum w:abstractNumId="19">
    <w:nsid w:val="5577F8E1"/>
    <w:multiLevelType w:val="hybridMultilevel"/>
    <w:lvl w:ilvl="0">
      <w:lvlJc w:val="left"/>
      <w:lvlText w:val="%1."/>
      <w:numFmt w:val="decimal"/>
      <w:start w:val="3"/>
    </w:lvl>
  </w:abstractNum>
  <w:abstractNum w:abstractNumId="20">
    <w:nsid w:val="440BADFC"/>
    <w:multiLevelType w:val="hybridMultilevel"/>
    <w:lvl w:ilvl="0">
      <w:lvlJc w:val="left"/>
      <w:lvlText w:val="(%1)"/>
      <w:numFmt w:val="lowerLetter"/>
      <w:start w:val="12"/>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24"/>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8"/>
    </w:lvl>
  </w:abstractNum>
  <w:abstractNum w:abstractNumId="33">
    <w:nsid w:val="70A64E2A"/>
    <w:multiLevelType w:val="hybridMultilevel"/>
    <w:lvl w:ilvl="0">
      <w:lvlJc w:val="left"/>
      <w:lvlText w:val="(%1)"/>
      <w:numFmt w:val="decimal"/>
      <w:start w:val="23"/>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amp;"/>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
    <w:nsid w:val="32FFF902"/>
    <w:multiLevelType w:val="hybridMultilevel"/>
    <w:lvl w:ilvl="0">
      <w:lvlJc w:val="left"/>
      <w:lvlText w:val="%1"/>
      <w:numFmt w:val="decimal"/>
      <w:start w:val="1"/>
    </w:lvl>
    <w:lvl w:ilvl="1">
      <w:lvlJc w:val="left"/>
      <w:lvlText w:val="(%2)"/>
      <w:numFmt w:val="lowerRoman"/>
      <w:start w:val="3"/>
    </w:lvl>
  </w:abstractNum>
  <w:abstractNum w:abstractNumId="47">
    <w:nsid w:val="684A481A"/>
    <w:multiLevelType w:val="hybridMultilevel"/>
    <w:lvl w:ilvl="0">
      <w:lvlJc w:val="left"/>
      <w:lvlText w:val="(%1)"/>
      <w:numFmt w:val="decimal"/>
      <w:start w:val="2"/>
    </w:lvl>
    <w:lvl w:ilvl="1">
      <w:lvlJc w:val="left"/>
      <w:lvlText w:val="(%2)"/>
      <w:numFmt w:val="lowerRoman"/>
      <w:start w:val="1"/>
    </w:lvl>
  </w:abstractNum>
  <w:abstractNum w:abstractNumId="48">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49">
    <w:nsid w:val="749ABB4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jpe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28" Type="http://schemas.openxmlformats.org/officeDocument/2006/relationships/hyperlink" Target="https://www.sec.gov/ix?doc=/Archives/edgar/data/0001777835/000177783522000054/pwp-20211231.htm" TargetMode="External"/><Relationship Id="rId29" Type="http://schemas.openxmlformats.org/officeDocument/2006/relationships/hyperlink" Target="https://www.sec.gov/ix?doc=/Archives/edgar/data/0001777835/000177783522000028/pwp-20220331.htm" TargetMode="External"/><Relationship Id="rId30" Type="http://schemas.openxmlformats.org/officeDocument/2006/relationships/hyperlink" Target="https://www.sec.gov/Archives/edgar/data/0001777835/000177783522000015/pwp-def14ax2021proxyamendm.htm" TargetMode="External"/><Relationship Id="rId31" Type="http://schemas.openxmlformats.org/officeDocument/2006/relationships/hyperlink" Target="https://www.sec.gov/Archives/edgar/data/0001777835/000177783522000017/defa14a-proxynotice.htm" TargetMode="External"/><Relationship Id="rId32" Type="http://schemas.openxmlformats.org/officeDocument/2006/relationships/hyperlink" Target="https://www.sec.gov/ix?doc=/Archives/edgar/data/0001777835/000177783522000003/pwp-20220217.htm" TargetMode="External"/><Relationship Id="rId33" Type="http://schemas.openxmlformats.org/officeDocument/2006/relationships/hyperlink" Target="https://www.sec.gov/ix?doc=/Archives/edgar/data/0001777835/000177783522000031/pwp-20220524.htm" TargetMode="External"/><Relationship Id="rId34" Type="http://schemas.openxmlformats.org/officeDocument/2006/relationships/hyperlink" Target="https://www.sec.gov/ix?doc=/Archives/edgar/data/0001777835/000177783522000049/pwp-20220531.htm" TargetMode="External"/><Relationship Id="rId35" Type="http://schemas.openxmlformats.org/officeDocument/2006/relationships/hyperlink" Target="https://www.sec.gov/Archives/edgar/data/1777835/000177783522000008/pwp-20211231xexx44.htm" TargetMode="External"/><Relationship Id="rId37" Type="http://schemas.openxmlformats.org/officeDocument/2006/relationships/hyperlink" Target="https://www.sec.gov/Archives/edgar/data/1777835/000121390020045792/ea132500ex2-1_fintechacq4.htm" TargetMode="External"/><Relationship Id="rId38" Type="http://schemas.openxmlformats.org/officeDocument/2006/relationships/hyperlink" Target="https://www.sec.gov/Archives/edgar/data/1777835/000162828022000893/exhibit31-sx1a1.htm" TargetMode="External"/><Relationship Id="rId39" Type="http://schemas.openxmlformats.org/officeDocument/2006/relationships/hyperlink" Target="https://www.sec.gov/Archives/edgar/data/1777835/000119312521204696/d119701dex32.htm" TargetMode="External"/><Relationship Id="rId40" Type="http://schemas.openxmlformats.org/officeDocument/2006/relationships/hyperlink" Target="https://www.sec.gov/Archives/edgar/data/1777835/000119312521204696/d119701dex41.htm" TargetMode="External"/><Relationship Id="rId41" Type="http://schemas.openxmlformats.org/officeDocument/2006/relationships/hyperlink" Target="https://www.sec.gov/Archives/edgar/data/1777835/000121390020029071/ea127460ex4-1_fintechacq4.htm" TargetMode="External"/><Relationship Id="rId42" Type="http://schemas.openxmlformats.org/officeDocument/2006/relationships/hyperlink" Target="https://www.sec.gov/Archives/edgar/data/1777835/000162828021025439/exhibit43-sx1.htm" TargetMode="External"/><Relationship Id="rId43" Type="http://schemas.openxmlformats.org/officeDocument/2006/relationships/hyperlink" Target="https://www.sec.gov/Archives/edgar/data/1777835/000119312521216509/d185200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2022-07-07T15:57:51Z</dcterms:created>
  <dcterms:modified xsi:type="dcterms:W3CDTF">2022-07-07T15:57:51Z</dcterms:modified>
</cp:coreProperties>
</file>