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60"/>
        <w:spacing w:after="0" w:line="241"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2,814,843</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6.32%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4"/>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4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Partners GP, L.L.C.</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2,814,843</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6.32%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3" w:hanging="263"/>
        <w:spacing w:after="0" w:line="282" w:lineRule="exact"/>
        <w:tabs>
          <w:tab w:leader="none" w:pos="263" w:val="left"/>
        </w:tabs>
        <w:numPr>
          <w:ilvl w:val="0"/>
          <w:numId w:val="7"/>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3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Management,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2,814,843</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6.32%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0"/>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2,814,843</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6.32%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3"/>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2,814,843</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2,814,843</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6.32%</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6"/>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80" w:type="dxa"/>
            <w:vAlign w:val="bottom"/>
            <w:gridSpan w:val="17"/>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Perella Weinberg Partners (the “Company”).</w:t>
            </w:r>
          </w:p>
        </w:tc>
      </w:tr>
      <w:tr>
        <w:trPr>
          <w:trHeight w:val="20"/>
        </w:trPr>
        <w:tc>
          <w:tcPr>
            <w:tcW w:w="1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767 Fifth Avenue, New York, NY 10153.</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Adage Capital Partners, L.P., a Delaware limited partnership (“ACP”) with respect to the shares of Class A</w:t>
            </w:r>
          </w:p>
        </w:tc>
      </w:tr>
      <w:tr>
        <w:trPr>
          <w:trHeight w:val="256"/>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6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Common Stock directly owned by it;</w:t>
            </w:r>
          </w:p>
        </w:tc>
        <w:tc>
          <w:tcPr>
            <w:tcW w:w="380" w:type="dxa"/>
            <w:vAlign w:val="bottom"/>
            <w:tcBorders>
              <w:top w:val="single" w:sz="8" w:color="auto"/>
            </w:tcBorders>
          </w:tcPr>
          <w:p>
            <w:pPr>
              <w:spacing w:after="0"/>
              <w:rPr>
                <w:sz w:val="22"/>
                <w:szCs w:val="22"/>
                <w:color w:val="auto"/>
              </w:rPr>
            </w:pPr>
          </w:p>
        </w:tc>
        <w:tc>
          <w:tcPr>
            <w:tcW w:w="3420" w:type="dxa"/>
            <w:vAlign w:val="bottom"/>
            <w:gridSpan w:val="7"/>
          </w:tcPr>
          <w:p>
            <w:pPr>
              <w:spacing w:after="0"/>
              <w:rPr>
                <w:sz w:val="22"/>
                <w:szCs w:val="22"/>
                <w:color w:val="auto"/>
              </w:rPr>
            </w:pPr>
          </w:p>
        </w:tc>
      </w:tr>
      <w:tr>
        <w:trPr>
          <w:trHeight w:val="430"/>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60" w:type="dxa"/>
            <w:vAlign w:val="bottom"/>
            <w:gridSpan w:val="16"/>
          </w:tcPr>
          <w:p>
            <w:pPr>
              <w:ind w:left="180"/>
              <w:spacing w:after="0" w:line="212" w:lineRule="exact"/>
              <w:rPr>
                <w:sz w:val="20"/>
                <w:szCs w:val="20"/>
                <w:color w:val="auto"/>
              </w:rPr>
            </w:pPr>
            <w:r>
              <w:rPr>
                <w:rFonts w:ascii="Times New Roman" w:cs="Times New Roman" w:eastAsia="Times New Roman" w:hAnsi="Times New Roman"/>
                <w:sz w:val="20"/>
                <w:szCs w:val="20"/>
                <w:color w:val="auto"/>
                <w:w w:val="97"/>
              </w:rPr>
              <w:t>Delaware (“ACPGP”), as general partner of ACP with respect to the shares of Class A Common Stock directly</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owned by ACP;</w:t>
            </w:r>
          </w:p>
        </w:tc>
      </w:tr>
      <w:tr>
        <w:trPr>
          <w:trHeight w:val="41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w w:val="96"/>
              </w:rPr>
              <w:t>Adage Capital Management, L.P., a Delaware limited partnership (“ACM”), as the investment manager of ACP,</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with respect to the Class A Common Stock directly owned by ACP;</w:t>
            </w:r>
          </w:p>
        </w:tc>
      </w:tr>
      <w:tr>
        <w:trPr>
          <w:trHeight w:val="41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w w:val="99"/>
              </w:rPr>
              <w:t>Robert Atchinson (“Mr. Atchinson”), as (1) managing member of Adage Capital Advisors, L.L.C., a limited</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60" w:type="dxa"/>
            <w:vAlign w:val="bottom"/>
            <w:gridSpan w:val="16"/>
          </w:tcPr>
          <w:p>
            <w:pPr>
              <w:ind w:left="180"/>
              <w:spacing w:after="0" w:line="209" w:lineRule="exact"/>
              <w:rPr>
                <w:sz w:val="20"/>
                <w:szCs w:val="20"/>
                <w:color w:val="auto"/>
              </w:rPr>
            </w:pPr>
            <w:r>
              <w:rPr>
                <w:rFonts w:ascii="Times New Roman" w:cs="Times New Roman" w:eastAsia="Times New Roman" w:hAnsi="Times New Roman"/>
                <w:sz w:val="20"/>
                <w:szCs w:val="20"/>
                <w:color w:val="auto"/>
                <w:w w:val="99"/>
              </w:rPr>
              <w:t>liability company organized under the laws of the State of Delaware (“ACA”), managing member of ACPGP</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60" w:type="dxa"/>
            <w:vAlign w:val="bottom"/>
            <w:gridSpan w:val="16"/>
          </w:tcPr>
          <w:p>
            <w:pPr>
              <w:ind w:left="180"/>
              <w:spacing w:after="0" w:line="209" w:lineRule="exact"/>
              <w:rPr>
                <w:sz w:val="20"/>
                <w:szCs w:val="20"/>
                <w:color w:val="auto"/>
              </w:rPr>
            </w:pPr>
            <w:r>
              <w:rPr>
                <w:rFonts w:ascii="Times New Roman" w:cs="Times New Roman" w:eastAsia="Times New Roman" w:hAnsi="Times New Roman"/>
                <w:sz w:val="20"/>
                <w:szCs w:val="20"/>
                <w:color w:val="auto"/>
                <w:w w:val="97"/>
              </w:rPr>
              <w:t>and (2) managing member of Adage Capital Partners LLC, a Delaware limited liability company (“ACPLLC”),</w:t>
            </w:r>
          </w:p>
        </w:tc>
      </w:tr>
      <w:tr>
        <w:trPr>
          <w:trHeight w:val="256"/>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80" w:type="dxa"/>
            <w:vAlign w:val="bottom"/>
            <w:gridSpan w:val="14"/>
          </w:tcPr>
          <w:p>
            <w:pPr>
              <w:ind w:left="180"/>
              <w:spacing w:after="0"/>
              <w:rPr>
                <w:sz w:val="20"/>
                <w:szCs w:val="20"/>
                <w:color w:val="auto"/>
              </w:rPr>
            </w:pPr>
            <w:r>
              <w:rPr>
                <w:rFonts w:ascii="Times New Roman" w:cs="Times New Roman" w:eastAsia="Times New Roman" w:hAnsi="Times New Roman"/>
                <w:sz w:val="20"/>
                <w:szCs w:val="20"/>
                <w:color w:val="auto"/>
                <w:w w:val="98"/>
              </w:rPr>
              <w:t>general partner of ACM, with respect to the Class A Common Stock directly owned by ACP; and</w:t>
            </w:r>
          </w:p>
        </w:tc>
        <w:tc>
          <w:tcPr>
            <w:tcW w:w="7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412"/>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w:t>
            </w: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Phillip Gross (“Mr. Gross”), as (1) managing member of ACA, managing member of ACPGP and (2)</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60" w:type="dxa"/>
            <w:vAlign w:val="bottom"/>
            <w:gridSpan w:val="16"/>
          </w:tcPr>
          <w:p>
            <w:pPr>
              <w:ind w:left="180"/>
              <w:spacing w:after="0" w:line="228" w:lineRule="exact"/>
              <w:rPr>
                <w:sz w:val="20"/>
                <w:szCs w:val="20"/>
                <w:color w:val="auto"/>
              </w:rPr>
            </w:pPr>
            <w:r>
              <w:rPr>
                <w:rFonts w:ascii="Times New Roman" w:cs="Times New Roman" w:eastAsia="Times New Roman" w:hAnsi="Times New Roman"/>
                <w:sz w:val="20"/>
                <w:szCs w:val="20"/>
                <w:color w:val="auto"/>
                <w:w w:val="98"/>
              </w:rPr>
              <w:t>managing member of ACPLLC, general partner of ACM, with respect to the Class A Common Stock directly</w:t>
            </w:r>
          </w:p>
        </w:tc>
      </w:tr>
      <w:tr>
        <w:trPr>
          <w:trHeight w:val="258"/>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20"/>
                <w:szCs w:val="20"/>
                <w:color w:val="auto"/>
              </w:rPr>
              <w:t>owned by ACP.</w:t>
            </w:r>
          </w:p>
        </w:tc>
      </w:tr>
      <w:tr>
        <w:trPr>
          <w:trHeight w:val="413"/>
        </w:trPr>
        <w:tc>
          <w:tcPr>
            <w:tcW w:w="1260" w:type="dxa"/>
            <w:vAlign w:val="bottom"/>
          </w:tcPr>
          <w:p>
            <w:pPr>
              <w:spacing w:after="0"/>
              <w:rPr>
                <w:sz w:val="24"/>
                <w:szCs w:val="24"/>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w w:val="9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1780" w:type="dxa"/>
            <w:vAlign w:val="bottom"/>
            <w:tcBorders>
              <w:right w:val="single" w:sz="8" w:color="auto"/>
            </w:tcBorders>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80" w:type="dxa"/>
            <w:vAlign w:val="bottom"/>
            <w:gridSpan w:val="17"/>
          </w:tcPr>
          <w:p>
            <w:pPr>
              <w:ind w:left="440"/>
              <w:spacing w:after="0" w:line="228" w:lineRule="exact"/>
              <w:rPr>
                <w:sz w:val="20"/>
                <w:szCs w:val="20"/>
                <w:color w:val="auto"/>
              </w:rPr>
            </w:pPr>
            <w:r>
              <w:rPr>
                <w:rFonts w:ascii="Times New Roman" w:cs="Times New Roman" w:eastAsia="Times New Roman" w:hAnsi="Times New Roman"/>
                <w:sz w:val="20"/>
                <w:szCs w:val="20"/>
                <w:color w:val="auto"/>
              </w:rPr>
              <w:t>herein with respect to persons other than the Reporting Persons are made on information and belief after making</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inquiry to the appropriate party.</w:t>
            </w:r>
          </w:p>
        </w:tc>
      </w:tr>
      <w:tr>
        <w:trPr>
          <w:trHeight w:val="430"/>
        </w:trPr>
        <w:tc>
          <w:tcPr>
            <w:tcW w:w="1260" w:type="dxa"/>
            <w:vAlign w:val="bottom"/>
          </w:tcPr>
          <w:p>
            <w:pPr>
              <w:spacing w:after="0"/>
              <w:rPr>
                <w:sz w:val="24"/>
                <w:szCs w:val="24"/>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ACP and ACM are limited partnerships organized under the laws of the State of Delaware. ACPGP is a limited</w:t>
            </w:r>
          </w:p>
        </w:tc>
      </w:tr>
      <w:tr>
        <w:trPr>
          <w:trHeight w:val="229"/>
        </w:trPr>
        <w:tc>
          <w:tcPr>
            <w:tcW w:w="1260" w:type="dxa"/>
            <w:vAlign w:val="bottom"/>
          </w:tcPr>
          <w:p>
            <w:pPr>
              <w:spacing w:after="0"/>
              <w:rPr>
                <w:sz w:val="19"/>
                <w:szCs w:val="19"/>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w w:val="99"/>
              </w:rPr>
              <w:t>liability company organized under the laws of the State of Delaware. Messrs. Gross and Atchinson are citizens of the</w:t>
            </w:r>
          </w:p>
        </w:tc>
      </w:tr>
      <w:tr>
        <w:trPr>
          <w:trHeight w:val="258"/>
        </w:trPr>
        <w:tc>
          <w:tcPr>
            <w:tcW w:w="1260" w:type="dxa"/>
            <w:vAlign w:val="bottom"/>
          </w:tcPr>
          <w:p>
            <w:pPr>
              <w:spacing w:after="0"/>
              <w:rPr>
                <w:sz w:val="22"/>
                <w:szCs w:val="22"/>
                <w:color w:val="auto"/>
              </w:rPr>
            </w:pP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80" w:type="dxa"/>
            <w:vAlign w:val="bottom"/>
            <w:gridSpan w:val="17"/>
          </w:tcPr>
          <w:p>
            <w:pPr>
              <w:ind w:left="440"/>
              <w:spacing w:after="0" w:line="212" w:lineRule="exact"/>
              <w:rPr>
                <w:sz w:val="20"/>
                <w:szCs w:val="20"/>
                <w:color w:val="auto"/>
              </w:rPr>
            </w:pPr>
            <w:r>
              <w:rPr>
                <w:rFonts w:ascii="Times New Roman" w:cs="Times New Roman" w:eastAsia="Times New Roman" w:hAnsi="Times New Roman"/>
                <w:sz w:val="20"/>
                <w:szCs w:val="20"/>
                <w:color w:val="auto"/>
              </w:rPr>
              <w:t>Class A Common Stock, par value $0.0001 per share (the “Class A Common Stock”).</w:t>
            </w:r>
          </w:p>
        </w:tc>
      </w:tr>
      <w:tr>
        <w:trPr>
          <w:trHeight w:val="20"/>
        </w:trPr>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58"/>
        </w:trPr>
        <w:tc>
          <w:tcPr>
            <w:tcW w:w="1260" w:type="dxa"/>
            <w:vAlign w:val="bottom"/>
          </w:tcPr>
          <w:p>
            <w:pPr>
              <w:spacing w:after="0"/>
              <w:rPr>
                <w:sz w:val="22"/>
                <w:szCs w:val="22"/>
                <w:color w:val="auto"/>
              </w:rPr>
            </w:pP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71367G102</w:t>
            </w: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760" w:type="dxa"/>
            <w:vAlign w:val="bottom"/>
          </w:tcPr>
          <w:p>
            <w:pPr>
              <w:spacing w:after="0"/>
              <w:rPr>
                <w:sz w:val="22"/>
                <w:szCs w:val="22"/>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02"/>
        </w:trPr>
        <w:tc>
          <w:tcPr>
            <w:tcW w:w="1260" w:type="dxa"/>
            <w:vAlign w:val="bottom"/>
          </w:tcPr>
          <w:p>
            <w:pPr>
              <w:spacing w:after="0"/>
              <w:rPr>
                <w:sz w:val="17"/>
                <w:szCs w:val="17"/>
                <w:color w:val="auto"/>
              </w:rPr>
            </w:pPr>
          </w:p>
        </w:tc>
        <w:tc>
          <w:tcPr>
            <w:tcW w:w="9780" w:type="dxa"/>
            <w:vAlign w:val="bottom"/>
            <w:gridSpan w:val="5"/>
          </w:tcPr>
          <w:p>
            <w:pPr>
              <w:ind w:left="440"/>
              <w:spacing w:after="0" w:line="203" w:lineRule="exact"/>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334"/>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6"/>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46"/>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87"/>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the Investment Company Act;</w:t>
            </w:r>
          </w:p>
        </w:tc>
      </w:tr>
      <w:tr>
        <w:trPr>
          <w:trHeight w:val="50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(j)</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(k)</w:t>
            </w:r>
          </w:p>
        </w:tc>
        <w:tc>
          <w:tcPr>
            <w:tcW w:w="7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r>
        <w:trPr>
          <w:trHeight w:val="387"/>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12"/>
        </w:trPr>
        <w:tc>
          <w:tcPr>
            <w:tcW w:w="1260" w:type="dxa"/>
            <w:vAlign w:val="bottom"/>
          </w:tcPr>
          <w:p>
            <w:pPr>
              <w:spacing w:after="0"/>
              <w:rPr>
                <w:sz w:val="18"/>
                <w:szCs w:val="18"/>
                <w:color w:val="auto"/>
              </w:rPr>
            </w:pPr>
          </w:p>
        </w:tc>
        <w:tc>
          <w:tcPr>
            <w:tcW w:w="9780" w:type="dxa"/>
            <w:vAlign w:val="bottom"/>
            <w:gridSpan w:val="5"/>
          </w:tcPr>
          <w:p>
            <w:pPr>
              <w:ind w:left="440"/>
              <w:spacing w:after="0" w:line="212" w:lineRule="exact"/>
              <w:rPr>
                <w:sz w:val="20"/>
                <w:szCs w:val="20"/>
                <w:color w:val="auto"/>
              </w:rPr>
            </w:pPr>
            <w:r>
              <w:rPr>
                <w:rFonts w:ascii="Times New Roman" w:cs="Times New Roman" w:eastAsia="Times New Roman" w:hAnsi="Times New Roman"/>
                <w:sz w:val="20"/>
                <w:szCs w:val="20"/>
                <w:color w:val="auto"/>
              </w:rPr>
              <w:t>specify the type of institution: Not applicable.</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11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r>
      <w:tr>
        <w:trPr>
          <w:trHeight w:val="230"/>
        </w:trPr>
        <w:tc>
          <w:tcPr>
            <w:tcW w:w="1260" w:type="dxa"/>
            <w:vAlign w:val="bottom"/>
          </w:tcPr>
          <w:p>
            <w:pPr>
              <w:spacing w:after="0"/>
              <w:rPr>
                <w:sz w:val="19"/>
                <w:szCs w:val="19"/>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58"/>
        </w:trPr>
        <w:tc>
          <w:tcPr>
            <w:tcW w:w="1260" w:type="dxa"/>
            <w:vAlign w:val="bottom"/>
          </w:tcPr>
          <w:p>
            <w:pPr>
              <w:spacing w:after="0"/>
              <w:rPr>
                <w:sz w:val="22"/>
                <w:szCs w:val="22"/>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w:t>
            </w:r>
          </w:p>
        </w:tc>
      </w:tr>
    </w:tbl>
    <w:p>
      <w:pPr>
        <w:spacing w:after="0" w:line="201" w:lineRule="exact"/>
        <w:rPr>
          <w:sz w:val="20"/>
          <w:szCs w:val="20"/>
          <w:color w:val="auto"/>
        </w:rPr>
      </w:pPr>
    </w:p>
    <w:p>
      <w:pPr>
        <w:ind w:left="1800" w:right="100"/>
        <w:spacing w:after="0" w:line="260" w:lineRule="auto"/>
        <w:rPr>
          <w:sz w:val="20"/>
          <w:szCs w:val="20"/>
          <w:color w:val="auto"/>
        </w:rPr>
      </w:pPr>
      <w:r>
        <w:rPr>
          <w:rFonts w:ascii="Times New Roman" w:cs="Times New Roman" w:eastAsia="Times New Roman" w:hAnsi="Times New Roman"/>
          <w:sz w:val="19"/>
          <w:szCs w:val="19"/>
          <w:color w:val="auto"/>
        </w:rPr>
        <w:t>The percentage set forth in this Schedule 13G/A is calculated based upon an aggregate of 44,560,578 shares of Class A Common Stock outstanding, which is the sum of (i) 43,268,614 shares of Class A Common Stock outstanding as of November 2, 2023, as reported in the Company’s Quarterly Report on Form 10-Q for the fiscal quarter ended September 30, 2023 filed with the Securities and Exchange Commission on November 7, 2023 and (ii) the 1,291,964 shares of Class A Common Stock issued by the Company on December 1, 2023, as disclosed in the Company’s Current Report on Form 8-K filed with the Securities and Exchange Commission on December 4, 2023.</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10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8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7,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3"/>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2024-02-07T06:12:08Z</dcterms:created>
  <dcterms:modified xsi:type="dcterms:W3CDTF">2024-02-07T06:12:08Z</dcterms:modified>
</cp:coreProperties>
</file>