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9"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0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64903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6490335"/>
                    </a:xfrm>
                    <a:prstGeom prst="rect">
                      <a:avLst/>
                    </a:prstGeom>
                    <a:noFill/>
                  </pic:spPr>
                </pic:pic>
              </a:graphicData>
            </a:graphic>
          </wp:anchor>
        </w:drawing>
      </w:r>
    </w:p>
    <w:p>
      <w:pPr>
        <w:spacing w:after="0" w:line="1285" w:lineRule="exact"/>
        <w:rPr>
          <w:sz w:val="24"/>
          <w:szCs w:val="24"/>
          <w:color w:val="auto"/>
        </w:rPr>
      </w:pPr>
    </w:p>
    <w:p>
      <w:pPr>
        <w:sectPr>
          <w:pgSz w:w="11900" w:h="16867" w:orient="portrait"/>
          <w:cols w:equalWidth="0" w:num="2">
            <w:col w:w="2320" w:space="160"/>
            <w:col w:w="860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Weinberg Peter 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767 FIFTH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jc w:val="center"/>
        <w:ind w:right="235"/>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Perella Weinberg Partners</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PWP</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2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12/03/2024</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1245"/>
        <w:spacing w:after="0"/>
        <w:rPr>
          <w:sz w:val="20"/>
          <w:szCs w:val="20"/>
          <w:color w:val="auto"/>
        </w:rPr>
      </w:pPr>
      <w:r>
        <w:rPr>
          <w:rFonts w:ascii="Times New Roman" w:cs="Times New Roman" w:eastAsia="Times New Roman" w:hAnsi="Times New Roman"/>
          <w:sz w:val="17"/>
          <w:szCs w:val="17"/>
          <w:color w:val="0000FF"/>
        </w:rPr>
        <w:t>Chairman</w:t>
      </w:r>
    </w:p>
    <w:p>
      <w:pPr>
        <w:spacing w:after="0" w:line="279" w:lineRule="exact"/>
        <w:rPr>
          <w:sz w:val="24"/>
          <w:szCs w:val="24"/>
          <w:color w:val="auto"/>
        </w:rPr>
      </w:pPr>
    </w:p>
    <w:p>
      <w:pPr>
        <w:sectPr>
          <w:pgSz w:w="11900" w:h="16867" w:orient="portrait"/>
          <w:cols w:equalWidth="0" w:num="3">
            <w:col w:w="3200" w:space="720"/>
            <w:col w:w="3095" w:space="720"/>
            <w:col w:w="3345"/>
          </w:cols>
          <w:pgMar w:left="460" w:top="219" w:right="359" w:bottom="0" w:gutter="0" w:footer="0" w:header="0"/>
          <w:type w:val="continuous"/>
        </w:sectPr>
      </w:pPr>
    </w:p>
    <w:p>
      <w:pPr>
        <w:spacing w:after="0" w:line="30" w:lineRule="exact"/>
        <w:rPr>
          <w:sz w:val="24"/>
          <w:szCs w:val="24"/>
          <w:color w:val="auto"/>
        </w:rPr>
      </w:pPr>
    </w:p>
    <w:tbl>
      <w:tblPr>
        <w:tblLayout w:type="fixed"/>
        <w:tblInd w:w="0" w:type="dxa"/>
        <w:tblCellMar>
          <w:top w:w="0" w:type="dxa"/>
          <w:left w:w="0" w:type="dxa"/>
          <w:bottom w:w="0" w:type="dxa"/>
          <w:right w:w="0" w:type="dxa"/>
        </w:tblCellMar>
      </w:tblPr>
      <w:tr>
        <w:trPr>
          <w:trHeight w:val="29"/>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shd w:val="clear" w:color="auto" w:fill="9A9A9A"/>
          </w:tcPr>
          <w:p>
            <w:pPr>
              <w:spacing w:after="0"/>
              <w:rPr>
                <w:sz w:val="2"/>
                <w:szCs w:val="2"/>
                <w:color w:val="auto"/>
              </w:rPr>
            </w:pPr>
          </w:p>
        </w:tc>
        <w:tc>
          <w:tcPr>
            <w:tcW w:w="560" w:type="dxa"/>
            <w:vAlign w:val="bottom"/>
            <w:shd w:val="clear" w:color="auto" w:fill="9A9A9A"/>
          </w:tcPr>
          <w:p>
            <w:pPr>
              <w:spacing w:after="0"/>
              <w:rPr>
                <w:sz w:val="2"/>
                <w:szCs w:val="2"/>
                <w:color w:val="auto"/>
              </w:rPr>
            </w:pPr>
          </w:p>
        </w:tc>
        <w:tc>
          <w:tcPr>
            <w:tcW w:w="300" w:type="dxa"/>
            <w:vAlign w:val="bottom"/>
            <w:shd w:val="clear" w:color="auto" w:fill="9A9A9A"/>
          </w:tcPr>
          <w:p>
            <w:pPr>
              <w:spacing w:after="0"/>
              <w:rPr>
                <w:sz w:val="2"/>
                <w:szCs w:val="2"/>
                <w:color w:val="auto"/>
              </w:rPr>
            </w:pPr>
          </w:p>
        </w:tc>
        <w:tc>
          <w:tcPr>
            <w:tcW w:w="820" w:type="dxa"/>
            <w:vAlign w:val="bottom"/>
            <w:shd w:val="clear" w:color="auto" w:fill="9A9A9A"/>
          </w:tcPr>
          <w:p>
            <w:pPr>
              <w:spacing w:after="0"/>
              <w:rPr>
                <w:sz w:val="2"/>
                <w:szCs w:val="2"/>
                <w:color w:val="auto"/>
              </w:rPr>
            </w:pPr>
          </w:p>
        </w:tc>
        <w:tc>
          <w:tcPr>
            <w:tcW w:w="1340" w:type="dxa"/>
            <w:vAlign w:val="bottom"/>
            <w:shd w:val="clear" w:color="auto" w:fill="9A9A9A"/>
          </w:tcPr>
          <w:p>
            <w:pPr>
              <w:spacing w:after="0"/>
              <w:rPr>
                <w:sz w:val="2"/>
                <w:szCs w:val="2"/>
                <w:color w:val="auto"/>
              </w:rPr>
            </w:pPr>
          </w:p>
        </w:tc>
        <w:tc>
          <w:tcPr>
            <w:tcW w:w="20" w:type="dxa"/>
            <w:vAlign w:val="bottom"/>
            <w:vMerge w:val="restart"/>
          </w:tcPr>
          <w:p>
            <w:pPr>
              <w:spacing w:after="0"/>
              <w:rPr>
                <w:sz w:val="2"/>
                <w:szCs w:val="2"/>
                <w:color w:val="auto"/>
              </w:rPr>
            </w:pPr>
          </w:p>
        </w:tc>
        <w:tc>
          <w:tcPr>
            <w:tcW w:w="3540" w:type="dxa"/>
            <w:vAlign w:val="bottom"/>
            <w:gridSpan w:val="6"/>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420" w:type="dxa"/>
            <w:vAlign w:val="bottom"/>
          </w:tcPr>
          <w:p>
            <w:pPr>
              <w:spacing w:after="0"/>
              <w:rPr>
                <w:sz w:val="2"/>
                <w:szCs w:val="2"/>
                <w:color w:val="auto"/>
              </w:rPr>
            </w:pPr>
          </w:p>
        </w:tc>
        <w:tc>
          <w:tcPr>
            <w:tcW w:w="3340" w:type="dxa"/>
            <w:vAlign w:val="bottom"/>
            <w:gridSpan w:val="8"/>
            <w:vMerge w:val="restart"/>
          </w:tcPr>
          <w:p>
            <w:pPr>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21"/>
        </w:trPr>
        <w:tc>
          <w:tcPr>
            <w:tcW w:w="20" w:type="dxa"/>
            <w:vAlign w:val="bottom"/>
          </w:tcPr>
          <w:p>
            <w:pPr>
              <w:spacing w:after="0"/>
              <w:rPr>
                <w:sz w:val="10"/>
                <w:szCs w:val="10"/>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vMerge w:val="continue"/>
          </w:tcPr>
          <w:p>
            <w:pPr>
              <w:spacing w:after="0"/>
              <w:rPr>
                <w:sz w:val="10"/>
                <w:szCs w:val="10"/>
                <w:color w:val="auto"/>
              </w:rPr>
            </w:pPr>
          </w:p>
        </w:tc>
        <w:tc>
          <w:tcPr>
            <w:tcW w:w="3540" w:type="dxa"/>
            <w:vAlign w:val="bottom"/>
            <w:gridSpan w:val="6"/>
            <w:vMerge w:val="continue"/>
          </w:tcPr>
          <w:p>
            <w:pPr>
              <w:spacing w:after="0"/>
              <w:rPr>
                <w:sz w:val="10"/>
                <w:szCs w:val="10"/>
                <w:color w:val="auto"/>
              </w:rPr>
            </w:pPr>
          </w:p>
        </w:tc>
        <w:tc>
          <w:tcPr>
            <w:tcW w:w="420" w:type="dxa"/>
            <w:vAlign w:val="bottom"/>
          </w:tcPr>
          <w:p>
            <w:pPr>
              <w:spacing w:after="0"/>
              <w:rPr>
                <w:sz w:val="10"/>
                <w:szCs w:val="10"/>
                <w:color w:val="auto"/>
              </w:rPr>
            </w:pPr>
          </w:p>
        </w:tc>
        <w:tc>
          <w:tcPr>
            <w:tcW w:w="3340" w:type="dxa"/>
            <w:vAlign w:val="bottom"/>
            <w:gridSpan w:val="8"/>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0" w:type="dxa"/>
            <w:vAlign w:val="bottom"/>
            <w:gridSpan w:val="2"/>
          </w:tcPr>
          <w:p>
            <w:pPr>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 YORK</w:t>
            </w:r>
          </w:p>
        </w:tc>
        <w:tc>
          <w:tcPr>
            <w:tcW w:w="300" w:type="dxa"/>
            <w:vAlign w:val="bottom"/>
          </w:tcPr>
          <w:p>
            <w:pPr>
              <w:ind w:left="40"/>
              <w:spacing w:after="0"/>
              <w:rPr>
                <w:sz w:val="20"/>
                <w:szCs w:val="20"/>
                <w:color w:val="auto"/>
              </w:rPr>
            </w:pPr>
            <w:r>
              <w:rPr>
                <w:rFonts w:ascii="Times New Roman" w:cs="Times New Roman" w:eastAsia="Times New Roman" w:hAnsi="Times New Roman"/>
                <w:sz w:val="17"/>
                <w:szCs w:val="17"/>
                <w:color w:val="0000FF"/>
                <w:w w:val="97"/>
              </w:rPr>
              <w:t>NY</w:t>
            </w:r>
          </w:p>
        </w:tc>
        <w:tc>
          <w:tcPr>
            <w:tcW w:w="820" w:type="dxa"/>
            <w:vAlign w:val="bottom"/>
          </w:tcPr>
          <w:p>
            <w:pPr>
              <w:spacing w:after="0"/>
              <w:rPr>
                <w:sz w:val="19"/>
                <w:szCs w:val="19"/>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10153</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Borders>
              <w:top w:val="single" w:sz="8" w:color="EEEEEE"/>
            </w:tcBorders>
          </w:tcPr>
          <w:p>
            <w:pPr>
              <w:spacing w:after="0"/>
              <w:rPr>
                <w:sz w:val="16"/>
                <w:szCs w:val="16"/>
                <w:color w:val="auto"/>
              </w:rPr>
            </w:pPr>
          </w:p>
        </w:tc>
        <w:tc>
          <w:tcPr>
            <w:tcW w:w="1120" w:type="dxa"/>
            <w:vAlign w:val="bottom"/>
            <w:tcBorders>
              <w:top w:val="single" w:sz="8" w:color="EEEEEE"/>
            </w:tcBorders>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Borders>
              <w:top w:val="single" w:sz="8" w:color="EEEEEE"/>
            </w:tcBorders>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560" w:type="dxa"/>
            <w:vAlign w:val="bottom"/>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440" w:type="dxa"/>
            <w:vAlign w:val="bottom"/>
          </w:tcPr>
          <w:p>
            <w:pPr>
              <w:spacing w:after="0"/>
              <w:rPr>
                <w:sz w:val="9"/>
                <w:szCs w:val="9"/>
                <w:color w:val="auto"/>
              </w:rPr>
            </w:pPr>
          </w:p>
        </w:tc>
        <w:tc>
          <w:tcPr>
            <w:tcW w:w="760" w:type="dxa"/>
            <w:vAlign w:val="bottom"/>
          </w:tcPr>
          <w:p>
            <w:pPr>
              <w:spacing w:after="0"/>
              <w:rPr>
                <w:sz w:val="9"/>
                <w:szCs w:val="9"/>
                <w:color w:val="auto"/>
              </w:rPr>
            </w:pP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80" w:type="dxa"/>
            <w:vAlign w:val="bottom"/>
            <w:tcBorders>
              <w:bottom w:val="single" w:sz="8" w:color="2C2C2C"/>
            </w:tcBorders>
            <w:gridSpan w:val="3"/>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4"/>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4"/>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2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80" w:type="dxa"/>
            <w:vAlign w:val="bottom"/>
            <w:gridSpan w:val="3"/>
          </w:tcPr>
          <w:p>
            <w:pPr>
              <w:jc w:val="center"/>
              <w:ind w:left="567"/>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820" w:type="dxa"/>
            <w:vAlign w:val="bottom"/>
            <w:gridSpan w:val="3"/>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820" w:type="dxa"/>
            <w:vAlign w:val="bottom"/>
            <w:gridSpan w:val="3"/>
            <w:vMerge w:val="continue"/>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4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Red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0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80" w:type="dxa"/>
            <w:vAlign w:val="bottom"/>
            <w:gridSpan w:val="3"/>
            <w:vMerge w:val="restart"/>
          </w:tcPr>
          <w:p>
            <w:pPr>
              <w:jc w:val="center"/>
              <w:ind w:left="567"/>
              <w:spacing w:after="0"/>
              <w:rPr>
                <w:sz w:val="20"/>
                <w:szCs w:val="20"/>
                <w:color w:val="auto"/>
              </w:rPr>
            </w:pPr>
            <w:r>
              <w:rPr>
                <w:rFonts w:ascii="Times New Roman" w:cs="Times New Roman" w:eastAsia="Times New Roman" w:hAnsi="Times New Roman"/>
                <w:sz w:val="17"/>
                <w:szCs w:val="17"/>
                <w:color w:val="0000FF"/>
              </w:rPr>
              <w:t>12/03/2024</w:t>
            </w: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vMerge w:val="restart"/>
          </w:tcPr>
          <w:p>
            <w:pPr>
              <w:jc w:val="center"/>
              <w:ind w:right="301"/>
              <w:spacing w:after="0"/>
              <w:rPr>
                <w:sz w:val="20"/>
                <w:szCs w:val="20"/>
                <w:color w:val="auto"/>
              </w:rPr>
            </w:pPr>
            <w:r>
              <w:rPr>
                <w:rFonts w:ascii="Times New Roman" w:cs="Times New Roman" w:eastAsia="Times New Roman" w:hAnsi="Times New Roman"/>
                <w:sz w:val="26"/>
                <w:szCs w:val="26"/>
                <w:color w:val="0000FF"/>
                <w:w w:val="88"/>
                <w:vertAlign w:val="subscript"/>
              </w:rPr>
              <w:t>S</w:t>
            </w:r>
            <w:r>
              <w:rPr>
                <w:rFonts w:ascii="Times New Roman" w:cs="Times New Roman" w:eastAsia="Times New Roman" w:hAnsi="Times New Roman"/>
                <w:sz w:val="11"/>
                <w:szCs w:val="11"/>
                <w:color w:val="008000"/>
                <w:w w:val="88"/>
              </w:rPr>
              <w:t>(1)</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58,280</w:t>
            </w:r>
          </w:p>
        </w:tc>
        <w:tc>
          <w:tcPr>
            <w:tcW w:w="44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gridSpan w:val="3"/>
            <w:vMerge w:val="restart"/>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25.42</w:t>
            </w:r>
            <w:r>
              <w:rPr>
                <w:rFonts w:ascii="Times New Roman" w:cs="Times New Roman" w:eastAsia="Times New Roman" w:hAnsi="Times New Roman"/>
                <w:sz w:val="22"/>
                <w:szCs w:val="22"/>
                <w:color w:val="008000"/>
                <w:vertAlign w:val="superscript"/>
              </w:rPr>
              <w:t>(2)</w:t>
            </w: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784,341</w:t>
            </w:r>
          </w:p>
        </w:tc>
        <w:tc>
          <w:tcPr>
            <w:tcW w:w="920" w:type="dxa"/>
            <w:vAlign w:val="bottom"/>
            <w:vMerge w:val="restart"/>
          </w:tcPr>
          <w:p>
            <w:pPr>
              <w:jc w:val="center"/>
              <w:ind w:right="53"/>
              <w:spacing w:after="0"/>
              <w:rPr>
                <w:sz w:val="20"/>
                <w:szCs w:val="20"/>
                <w:color w:val="auto"/>
              </w:rPr>
            </w:pPr>
            <w:r>
              <w:rPr>
                <w:rFonts w:ascii="Times New Roman" w:cs="Times New Roman" w:eastAsia="Times New Roman" w:hAnsi="Times New Roman"/>
                <w:sz w:val="16"/>
                <w:szCs w:val="16"/>
                <w:color w:val="0000FF"/>
                <w:w w:val="74"/>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Hook</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400" w:type="dxa"/>
            <w:vAlign w:val="bottom"/>
            <w:gridSpan w:val="5"/>
            <w:vMerge w:val="continue"/>
          </w:tcPr>
          <w:p>
            <w:pPr>
              <w:spacing w:after="0"/>
              <w:rPr>
                <w:sz w:val="15"/>
                <w:szCs w:val="15"/>
                <w:color w:val="auto"/>
              </w:rPr>
            </w:pPr>
          </w:p>
        </w:tc>
        <w:tc>
          <w:tcPr>
            <w:tcW w:w="1780" w:type="dxa"/>
            <w:vAlign w:val="bottom"/>
            <w:gridSpan w:val="3"/>
            <w:vMerge w:val="continue"/>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820" w:type="dxa"/>
            <w:vAlign w:val="bottom"/>
            <w:gridSpan w:val="3"/>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Capital</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88"/>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2"/>
                <w:szCs w:val="22"/>
                <w:color w:val="008000"/>
                <w:vertAlign w:val="superscript"/>
              </w:rPr>
              <w:t>(3)</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Red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0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80" w:type="dxa"/>
            <w:vAlign w:val="bottom"/>
            <w:gridSpan w:val="3"/>
            <w:vMerge w:val="restart"/>
          </w:tcPr>
          <w:p>
            <w:pPr>
              <w:jc w:val="center"/>
              <w:ind w:left="567"/>
              <w:spacing w:after="0"/>
              <w:rPr>
                <w:sz w:val="20"/>
                <w:szCs w:val="20"/>
                <w:color w:val="auto"/>
              </w:rPr>
            </w:pPr>
            <w:r>
              <w:rPr>
                <w:rFonts w:ascii="Times New Roman" w:cs="Times New Roman" w:eastAsia="Times New Roman" w:hAnsi="Times New Roman"/>
                <w:sz w:val="17"/>
                <w:szCs w:val="17"/>
                <w:color w:val="0000FF"/>
              </w:rPr>
              <w:t>12/04/2024</w:t>
            </w: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vMerge w:val="restart"/>
          </w:tcPr>
          <w:p>
            <w:pPr>
              <w:jc w:val="center"/>
              <w:ind w:right="301"/>
              <w:spacing w:after="0"/>
              <w:rPr>
                <w:sz w:val="20"/>
                <w:szCs w:val="20"/>
                <w:color w:val="auto"/>
              </w:rPr>
            </w:pPr>
            <w:r>
              <w:rPr>
                <w:rFonts w:ascii="Times New Roman" w:cs="Times New Roman" w:eastAsia="Times New Roman" w:hAnsi="Times New Roman"/>
                <w:sz w:val="26"/>
                <w:szCs w:val="26"/>
                <w:color w:val="0000FF"/>
                <w:w w:val="88"/>
                <w:vertAlign w:val="subscript"/>
              </w:rPr>
              <w:t>S</w:t>
            </w:r>
            <w:r>
              <w:rPr>
                <w:rFonts w:ascii="Times New Roman" w:cs="Times New Roman" w:eastAsia="Times New Roman" w:hAnsi="Times New Roman"/>
                <w:sz w:val="11"/>
                <w:szCs w:val="11"/>
                <w:color w:val="008000"/>
                <w:w w:val="88"/>
              </w:rPr>
              <w:t>(1)</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61,612</w:t>
            </w:r>
          </w:p>
        </w:tc>
        <w:tc>
          <w:tcPr>
            <w:tcW w:w="44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gridSpan w:val="3"/>
            <w:vMerge w:val="restart"/>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25.23</w:t>
            </w:r>
            <w:r>
              <w:rPr>
                <w:rFonts w:ascii="Times New Roman" w:cs="Times New Roman" w:eastAsia="Times New Roman" w:hAnsi="Times New Roman"/>
                <w:sz w:val="22"/>
                <w:szCs w:val="22"/>
                <w:color w:val="008000"/>
                <w:vertAlign w:val="superscript"/>
              </w:rPr>
              <w:t>(4)</w:t>
            </w: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722,729</w:t>
            </w:r>
          </w:p>
        </w:tc>
        <w:tc>
          <w:tcPr>
            <w:tcW w:w="920" w:type="dxa"/>
            <w:vAlign w:val="bottom"/>
            <w:vMerge w:val="restart"/>
          </w:tcPr>
          <w:p>
            <w:pPr>
              <w:jc w:val="center"/>
              <w:ind w:right="53"/>
              <w:spacing w:after="0"/>
              <w:rPr>
                <w:sz w:val="20"/>
                <w:szCs w:val="20"/>
                <w:color w:val="auto"/>
              </w:rPr>
            </w:pPr>
            <w:r>
              <w:rPr>
                <w:rFonts w:ascii="Times New Roman" w:cs="Times New Roman" w:eastAsia="Times New Roman" w:hAnsi="Times New Roman"/>
                <w:sz w:val="16"/>
                <w:szCs w:val="16"/>
                <w:color w:val="0000FF"/>
                <w:w w:val="74"/>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Hook</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400" w:type="dxa"/>
            <w:vAlign w:val="bottom"/>
            <w:gridSpan w:val="5"/>
            <w:vMerge w:val="continue"/>
          </w:tcPr>
          <w:p>
            <w:pPr>
              <w:spacing w:after="0"/>
              <w:rPr>
                <w:sz w:val="15"/>
                <w:szCs w:val="15"/>
                <w:color w:val="auto"/>
              </w:rPr>
            </w:pPr>
          </w:p>
        </w:tc>
        <w:tc>
          <w:tcPr>
            <w:tcW w:w="1780" w:type="dxa"/>
            <w:vAlign w:val="bottom"/>
            <w:gridSpan w:val="3"/>
            <w:vMerge w:val="continue"/>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820" w:type="dxa"/>
            <w:vAlign w:val="bottom"/>
            <w:gridSpan w:val="3"/>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Capital</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88"/>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2"/>
                <w:szCs w:val="22"/>
                <w:color w:val="008000"/>
                <w:vertAlign w:val="superscript"/>
              </w:rPr>
              <w:t>(3)</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Red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0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80" w:type="dxa"/>
            <w:vAlign w:val="bottom"/>
            <w:gridSpan w:val="3"/>
            <w:vMerge w:val="restart"/>
          </w:tcPr>
          <w:p>
            <w:pPr>
              <w:jc w:val="center"/>
              <w:ind w:left="567"/>
              <w:spacing w:after="0"/>
              <w:rPr>
                <w:sz w:val="20"/>
                <w:szCs w:val="20"/>
                <w:color w:val="auto"/>
              </w:rPr>
            </w:pPr>
            <w:r>
              <w:rPr>
                <w:rFonts w:ascii="Times New Roman" w:cs="Times New Roman" w:eastAsia="Times New Roman" w:hAnsi="Times New Roman"/>
                <w:sz w:val="17"/>
                <w:szCs w:val="17"/>
                <w:color w:val="0000FF"/>
              </w:rPr>
              <w:t>12/05/2024</w:t>
            </w: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vMerge w:val="restart"/>
          </w:tcPr>
          <w:p>
            <w:pPr>
              <w:jc w:val="center"/>
              <w:ind w:right="301"/>
              <w:spacing w:after="0"/>
              <w:rPr>
                <w:sz w:val="20"/>
                <w:szCs w:val="20"/>
                <w:color w:val="auto"/>
              </w:rPr>
            </w:pPr>
            <w:r>
              <w:rPr>
                <w:rFonts w:ascii="Times New Roman" w:cs="Times New Roman" w:eastAsia="Times New Roman" w:hAnsi="Times New Roman"/>
                <w:sz w:val="26"/>
                <w:szCs w:val="26"/>
                <w:color w:val="0000FF"/>
                <w:w w:val="88"/>
                <w:vertAlign w:val="subscript"/>
              </w:rPr>
              <w:t>S</w:t>
            </w:r>
            <w:r>
              <w:rPr>
                <w:rFonts w:ascii="Times New Roman" w:cs="Times New Roman" w:eastAsia="Times New Roman" w:hAnsi="Times New Roman"/>
                <w:sz w:val="11"/>
                <w:szCs w:val="11"/>
                <w:color w:val="008000"/>
                <w:w w:val="88"/>
              </w:rPr>
              <w:t>(1)</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21,108</w:t>
            </w:r>
          </w:p>
        </w:tc>
        <w:tc>
          <w:tcPr>
            <w:tcW w:w="44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gridSpan w:val="3"/>
            <w:vMerge w:val="restart"/>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25.71</w:t>
            </w:r>
            <w:r>
              <w:rPr>
                <w:rFonts w:ascii="Times New Roman" w:cs="Times New Roman" w:eastAsia="Times New Roman" w:hAnsi="Times New Roman"/>
                <w:sz w:val="22"/>
                <w:szCs w:val="22"/>
                <w:color w:val="008000"/>
                <w:vertAlign w:val="superscript"/>
              </w:rPr>
              <w:t>(5)</w:t>
            </w: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701,621</w:t>
            </w:r>
          </w:p>
        </w:tc>
        <w:tc>
          <w:tcPr>
            <w:tcW w:w="920" w:type="dxa"/>
            <w:vAlign w:val="bottom"/>
            <w:vMerge w:val="restart"/>
          </w:tcPr>
          <w:p>
            <w:pPr>
              <w:jc w:val="center"/>
              <w:ind w:right="53"/>
              <w:spacing w:after="0"/>
              <w:rPr>
                <w:sz w:val="20"/>
                <w:szCs w:val="20"/>
                <w:color w:val="auto"/>
              </w:rPr>
            </w:pPr>
            <w:r>
              <w:rPr>
                <w:rFonts w:ascii="Times New Roman" w:cs="Times New Roman" w:eastAsia="Times New Roman" w:hAnsi="Times New Roman"/>
                <w:sz w:val="16"/>
                <w:szCs w:val="16"/>
                <w:color w:val="0000FF"/>
                <w:w w:val="74"/>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Hook</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400" w:type="dxa"/>
            <w:vAlign w:val="bottom"/>
            <w:gridSpan w:val="5"/>
            <w:vMerge w:val="continue"/>
          </w:tcPr>
          <w:p>
            <w:pPr>
              <w:spacing w:after="0"/>
              <w:rPr>
                <w:sz w:val="15"/>
                <w:szCs w:val="15"/>
                <w:color w:val="auto"/>
              </w:rPr>
            </w:pPr>
          </w:p>
        </w:tc>
        <w:tc>
          <w:tcPr>
            <w:tcW w:w="1780" w:type="dxa"/>
            <w:vAlign w:val="bottom"/>
            <w:gridSpan w:val="3"/>
            <w:vMerge w:val="continue"/>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820" w:type="dxa"/>
            <w:vAlign w:val="bottom"/>
            <w:gridSpan w:val="3"/>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Capital</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8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20" w:type="dxa"/>
            <w:vAlign w:val="bottom"/>
            <w:gridSpan w:val="3"/>
          </w:tcPr>
          <w:p>
            <w:pPr>
              <w:spacing w:after="0" w:line="281" w:lineRule="exact"/>
              <w:rPr>
                <w:sz w:val="20"/>
                <w:szCs w:val="20"/>
                <w:color w:val="auto"/>
              </w:rPr>
            </w:pPr>
            <w:r>
              <w:rPr>
                <w:rFonts w:ascii="Times New Roman" w:cs="Times New Roman" w:eastAsia="Times New Roman" w:hAnsi="Times New Roman"/>
                <w:sz w:val="32"/>
                <w:szCs w:val="32"/>
                <w:color w:val="0000FF"/>
                <w:vertAlign w:val="subscript"/>
              </w:rPr>
              <w:t>LLC</w:t>
            </w:r>
            <w:r>
              <w:rPr>
                <w:rFonts w:ascii="Times New Roman" w:cs="Times New Roman" w:eastAsia="Times New Roman" w:hAnsi="Times New Roman"/>
                <w:sz w:val="11"/>
                <w:szCs w:val="11"/>
                <w:color w:val="008000"/>
              </w:rPr>
              <w:t>(3)</w:t>
            </w: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2400" w:type="dxa"/>
            <w:vAlign w:val="bottom"/>
            <w:tcBorders>
              <w:top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340" w:type="dxa"/>
            <w:vAlign w:val="bottom"/>
            <w:tcBorders>
              <w:top w:val="single" w:sz="8" w:color="2C2C2C"/>
            </w:tcBorders>
          </w:tcPr>
          <w:p>
            <w:pPr>
              <w:spacing w:after="0"/>
              <w:rPr>
                <w:sz w:val="23"/>
                <w:szCs w:val="23"/>
                <w:color w:val="auto"/>
              </w:rPr>
            </w:pPr>
          </w:p>
        </w:tc>
        <w:tc>
          <w:tcPr>
            <w:tcW w:w="20" w:type="dxa"/>
            <w:vAlign w:val="bottom"/>
            <w:tcBorders>
              <w:top w:val="single" w:sz="8" w:color="2C2C2C"/>
            </w:tcBorders>
          </w:tcPr>
          <w:p>
            <w:pPr>
              <w:spacing w:after="0"/>
              <w:rPr>
                <w:sz w:val="23"/>
                <w:szCs w:val="23"/>
                <w:color w:val="auto"/>
              </w:rPr>
            </w:pPr>
          </w:p>
        </w:tc>
        <w:tc>
          <w:tcPr>
            <w:tcW w:w="420" w:type="dxa"/>
            <w:vAlign w:val="bottom"/>
            <w:tcBorders>
              <w:top w:val="single" w:sz="8" w:color="2C2C2C"/>
            </w:tcBorders>
          </w:tcPr>
          <w:p>
            <w:pPr>
              <w:spacing w:after="0"/>
              <w:rPr>
                <w:sz w:val="23"/>
                <w:szCs w:val="23"/>
                <w:color w:val="auto"/>
              </w:rPr>
            </w:pPr>
          </w:p>
        </w:tc>
        <w:tc>
          <w:tcPr>
            <w:tcW w:w="420" w:type="dxa"/>
            <w:vAlign w:val="bottom"/>
            <w:tcBorders>
              <w:top w:val="single" w:sz="8" w:color="2C2C2C"/>
            </w:tcBorders>
          </w:tcPr>
          <w:p>
            <w:pPr>
              <w:spacing w:after="0"/>
              <w:rPr>
                <w:sz w:val="23"/>
                <w:szCs w:val="23"/>
                <w:color w:val="auto"/>
              </w:rPr>
            </w:pPr>
          </w:p>
        </w:tc>
        <w:tc>
          <w:tcPr>
            <w:tcW w:w="700" w:type="dxa"/>
            <w:vAlign w:val="bottom"/>
            <w:tcBorders>
              <w:top w:val="single" w:sz="8" w:color="2C2C2C"/>
            </w:tcBorders>
          </w:tcPr>
          <w:p>
            <w:pPr>
              <w:spacing w:after="0"/>
              <w:rPr>
                <w:sz w:val="23"/>
                <w:szCs w:val="23"/>
                <w:color w:val="auto"/>
              </w:rPr>
            </w:pPr>
          </w:p>
        </w:tc>
        <w:tc>
          <w:tcPr>
            <w:tcW w:w="800" w:type="dxa"/>
            <w:vAlign w:val="bottom"/>
            <w:tcBorders>
              <w:top w:val="single" w:sz="8" w:color="2C2C2C"/>
            </w:tcBorders>
          </w:tcPr>
          <w:p>
            <w:pPr>
              <w:spacing w:after="0"/>
              <w:rPr>
                <w:sz w:val="23"/>
                <w:szCs w:val="23"/>
                <w:color w:val="auto"/>
              </w:rPr>
            </w:pPr>
          </w:p>
        </w:tc>
        <w:tc>
          <w:tcPr>
            <w:tcW w:w="760" w:type="dxa"/>
            <w:vAlign w:val="bottom"/>
            <w:tcBorders>
              <w:top w:val="single" w:sz="8" w:color="2C2C2C"/>
            </w:tcBorders>
          </w:tcPr>
          <w:p>
            <w:pPr>
              <w:spacing w:after="0"/>
              <w:rPr>
                <w:sz w:val="23"/>
                <w:szCs w:val="23"/>
                <w:color w:val="auto"/>
              </w:rPr>
            </w:pPr>
          </w:p>
        </w:tc>
        <w:tc>
          <w:tcPr>
            <w:tcW w:w="440" w:type="dxa"/>
            <w:vAlign w:val="bottom"/>
            <w:tcBorders>
              <w:top w:val="single" w:sz="8" w:color="2C2C2C"/>
            </w:tcBorders>
          </w:tcPr>
          <w:p>
            <w:pPr>
              <w:spacing w:after="0"/>
              <w:rPr>
                <w:sz w:val="23"/>
                <w:szCs w:val="23"/>
                <w:color w:val="auto"/>
              </w:rPr>
            </w:pPr>
          </w:p>
        </w:tc>
        <w:tc>
          <w:tcPr>
            <w:tcW w:w="420" w:type="dxa"/>
            <w:vAlign w:val="bottom"/>
            <w:tcBorders>
              <w:top w:val="single" w:sz="8" w:color="2C2C2C"/>
            </w:tcBorders>
          </w:tcPr>
          <w:p>
            <w:pPr>
              <w:spacing w:after="0"/>
              <w:rPr>
                <w:sz w:val="23"/>
                <w:szCs w:val="23"/>
                <w:color w:val="auto"/>
              </w:rPr>
            </w:pPr>
          </w:p>
        </w:tc>
        <w:tc>
          <w:tcPr>
            <w:tcW w:w="120" w:type="dxa"/>
            <w:vAlign w:val="bottom"/>
            <w:tcBorders>
              <w:top w:val="single" w:sz="8" w:color="2C2C2C"/>
            </w:tcBorders>
          </w:tcPr>
          <w:p>
            <w:pPr>
              <w:spacing w:after="0"/>
              <w:rPr>
                <w:sz w:val="23"/>
                <w:szCs w:val="23"/>
                <w:color w:val="auto"/>
              </w:rPr>
            </w:pPr>
          </w:p>
        </w:tc>
        <w:tc>
          <w:tcPr>
            <w:tcW w:w="280" w:type="dxa"/>
            <w:vAlign w:val="bottom"/>
            <w:tcBorders>
              <w:top w:val="single" w:sz="8" w:color="2C2C2C"/>
            </w:tcBorders>
          </w:tcPr>
          <w:p>
            <w:pPr>
              <w:spacing w:after="0"/>
              <w:rPr>
                <w:sz w:val="23"/>
                <w:szCs w:val="23"/>
                <w:color w:val="auto"/>
              </w:rPr>
            </w:pPr>
          </w:p>
        </w:tc>
        <w:tc>
          <w:tcPr>
            <w:tcW w:w="1200" w:type="dxa"/>
            <w:vAlign w:val="bottom"/>
            <w:tcBorders>
              <w:top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2,018,495</w:t>
            </w:r>
          </w:p>
        </w:tc>
        <w:tc>
          <w:tcPr>
            <w:tcW w:w="920" w:type="dxa"/>
            <w:vAlign w:val="bottom"/>
            <w:tcBorders>
              <w:top w:val="single" w:sz="8" w:color="2C2C2C"/>
            </w:tcBorders>
          </w:tcPr>
          <w:p>
            <w:pPr>
              <w:jc w:val="center"/>
              <w:ind w:right="53"/>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top w:val="single" w:sz="8" w:color="2C2C2C"/>
            </w:tcBorders>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2"/>
          </w:tcPr>
          <w:p>
            <w:pPr>
              <w:spacing w:after="0"/>
              <w:rPr>
                <w:sz w:val="8"/>
                <w:szCs w:val="8"/>
                <w:color w:val="auto"/>
              </w:rPr>
            </w:pPr>
          </w:p>
        </w:tc>
        <w:tc>
          <w:tcPr>
            <w:tcW w:w="4080" w:type="dxa"/>
            <w:vAlign w:val="bottom"/>
            <w:tcBorders>
              <w:bottom w:val="single" w:sz="8" w:color="2C2C2C"/>
            </w:tcBorders>
            <w:gridSpan w:val="8"/>
          </w:tcPr>
          <w:p>
            <w:pPr>
              <w:spacing w:after="0"/>
              <w:rPr>
                <w:sz w:val="8"/>
                <w:szCs w:val="8"/>
                <w:color w:val="auto"/>
              </w:rPr>
            </w:pPr>
          </w:p>
        </w:tc>
        <w:tc>
          <w:tcPr>
            <w:tcW w:w="1480" w:type="dxa"/>
            <w:vAlign w:val="bottom"/>
            <w:tcBorders>
              <w:bottom w:val="single" w:sz="8" w:color="2C2C2C"/>
            </w:tcBorders>
            <w:gridSpan w:val="3"/>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3"/>
          </w:tcPr>
          <w:p>
            <w:pPr>
              <w:jc w:val="center"/>
              <w:ind w:right="6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720" w:type="dxa"/>
            <w:vAlign w:val="bottom"/>
            <w:gridSpan w:val="11"/>
          </w:tcPr>
          <w:p>
            <w:pPr>
              <w:jc w:val="center"/>
              <w:ind w:left="467"/>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8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120" w:type="dxa"/>
            <w:vAlign w:val="bottom"/>
          </w:tcPr>
          <w:p>
            <w:pPr>
              <w:spacing w:after="0"/>
              <w:rPr>
                <w:sz w:val="15"/>
                <w:szCs w:val="15"/>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12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12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2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jc w:val="center"/>
              <w:ind w:right="321"/>
              <w:spacing w:after="0" w:line="133" w:lineRule="exact"/>
              <w:rPr>
                <w:sz w:val="20"/>
                <w:szCs w:val="20"/>
                <w:color w:val="auto"/>
              </w:rPr>
            </w:pPr>
            <w:r>
              <w:rPr>
                <w:rFonts w:ascii="Arial" w:cs="Arial" w:eastAsia="Arial" w:hAnsi="Arial"/>
                <w:sz w:val="12"/>
                <w:szCs w:val="12"/>
                <w:b w:val="1"/>
                <w:bCs w:val="1"/>
                <w:color w:val="auto"/>
                <w:w w:val="99"/>
              </w:rPr>
              <w:t>Date</w:t>
            </w:r>
          </w:p>
        </w:tc>
        <w:tc>
          <w:tcPr>
            <w:tcW w:w="76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8"/>
              </w:rPr>
              <w:t>Expiration</w:t>
            </w:r>
          </w:p>
        </w:tc>
        <w:tc>
          <w:tcPr>
            <w:tcW w:w="440" w:type="dxa"/>
            <w:vAlign w:val="bottom"/>
          </w:tcPr>
          <w:p>
            <w:pPr>
              <w:spacing w:after="0"/>
              <w:rPr>
                <w:sz w:val="11"/>
                <w:szCs w:val="11"/>
                <w:color w:val="auto"/>
              </w:rPr>
            </w:pPr>
          </w:p>
        </w:tc>
        <w:tc>
          <w:tcPr>
            <w:tcW w:w="4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w w:val="94"/>
              </w:rPr>
              <w:t>Shares</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effected pursuant to a Rule 10b5-1 trading plan adopted by Red Hook Capital LLC on August 6, 2024.</w:t>
      </w:r>
    </w:p>
    <w:p>
      <w:pPr>
        <w:spacing w:after="0" w:line="50" w:lineRule="exact"/>
        <w:rPr>
          <w:rFonts w:ascii="Times New Roman" w:cs="Times New Roman" w:eastAsia="Times New Roman" w:hAnsi="Times New Roman"/>
          <w:sz w:val="13"/>
          <w:szCs w:val="13"/>
          <w:color w:val="008000"/>
        </w:rPr>
      </w:pPr>
    </w:p>
    <w:p>
      <w:pPr>
        <w:ind w:left="40" w:right="2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between $25.11-$25.81, inclusive. The reporting person hereby undertakes to provide upon request, to the SEC staff, the Issuer or a security holder of the Issuer, full information regarding the number of shares and prices at which the transaction was effected.</w:t>
      </w:r>
    </w:p>
    <w:p>
      <w:pPr>
        <w:spacing w:after="0" w:line="7" w:lineRule="exact"/>
        <w:rPr>
          <w:rFonts w:ascii="Times New Roman" w:cs="Times New Roman" w:eastAsia="Times New Roman" w:hAnsi="Times New Roman"/>
          <w:sz w:val="13"/>
          <w:szCs w:val="13"/>
          <w:color w:val="008000"/>
        </w:rPr>
      </w:pPr>
    </w:p>
    <w:p>
      <w:pPr>
        <w:ind w:left="40" w:right="1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securities held directly by Red Hook Capital LLC. The Reporting Person has shared voting and dispositive power over Red Hook Capital LLC through his shared control of Rosedale Partners LLC, the sole member of Red Hook. Each of the Reporting Person and Rosedale Partners LLC disclaims beneficial ownership of the securities held by Red Hook Capital LLC, except to the extent of their respective pecuniary interest therein.</w:t>
      </w:r>
    </w:p>
    <w:p>
      <w:pPr>
        <w:spacing w:after="0" w:line="20" w:lineRule="exact"/>
        <w:rPr>
          <w:rFonts w:ascii="Times New Roman" w:cs="Times New Roman" w:eastAsia="Times New Roman" w:hAnsi="Times New Roman"/>
          <w:sz w:val="13"/>
          <w:szCs w:val="13"/>
          <w:color w:val="008000"/>
        </w:rPr>
      </w:pPr>
    </w:p>
    <w:p>
      <w:pPr>
        <w:ind w:left="40" w:right="2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between $24.89-$25.42, inclusive. The reporting person hereby undertakes to provide upon request, to the SEC staff, the Issuer or a security holder of the Issuer, full information regarding the number of shares and prices at which the transaction was effected.</w:t>
      </w:r>
    </w:p>
    <w:p>
      <w:pPr>
        <w:spacing w:after="0" w:line="7" w:lineRule="exact"/>
        <w:rPr>
          <w:rFonts w:ascii="Times New Roman" w:cs="Times New Roman" w:eastAsia="Times New Roman" w:hAnsi="Times New Roman"/>
          <w:sz w:val="13"/>
          <w:szCs w:val="13"/>
          <w:color w:val="008000"/>
        </w:rPr>
      </w:pPr>
    </w:p>
    <w:p>
      <w:pPr>
        <w:ind w:left="40" w:right="2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between $25.01-$25.98, inclusive. The reporting person hereby undertakes to provide upon request, to the SEC staff, the Issuer or a security holder of the Issuer, full information regarding the number of shares and prices at which the transaction was effected.</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Mark Polemeni, as</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12/05/2024</w:t>
            </w:r>
          </w:p>
        </w:tc>
        <w:tc>
          <w:tcPr>
            <w:tcW w:w="0" w:type="dxa"/>
            <w:vAlign w:val="bottom"/>
          </w:tcPr>
          <w:p>
            <w:pPr>
              <w:spacing w:after="0"/>
              <w:rPr>
                <w:sz w:val="1"/>
                <w:szCs w:val="1"/>
                <w:color w:val="auto"/>
              </w:rPr>
            </w:pPr>
          </w:p>
        </w:tc>
      </w:tr>
      <w:tr>
        <w:trPr>
          <w:trHeight w:val="87"/>
        </w:trPr>
        <w:tc>
          <w:tcPr>
            <w:tcW w:w="118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340" w:type="dxa"/>
            <w:vAlign w:val="bottom"/>
            <w:tcBorders>
              <w:top w:val="single" w:sz="8" w:color="auto"/>
            </w:tcBorders>
            <w:vMerge w:val="restart"/>
          </w:tcPr>
          <w:p>
            <w:pPr>
              <w:spacing w:after="0"/>
              <w:rPr>
                <w:sz w:val="7"/>
                <w:szCs w:val="7"/>
                <w:color w:val="auto"/>
              </w:rPr>
            </w:pPr>
          </w:p>
        </w:tc>
        <w:tc>
          <w:tcPr>
            <w:tcW w:w="56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top w:val="single" w:sz="8" w:color="auto"/>
              <w:bottom w:val="single" w:sz="8" w:color="auto"/>
            </w:tcBorders>
            <w:vMerge w:val="continue"/>
          </w:tcPr>
          <w:p>
            <w:pPr>
              <w:spacing w:after="0"/>
              <w:rPr>
                <w:sz w:val="7"/>
                <w:szCs w:val="7"/>
                <w:color w:val="auto"/>
              </w:rPr>
            </w:pPr>
          </w:p>
        </w:tc>
        <w:tc>
          <w:tcPr>
            <w:tcW w:w="340" w:type="dxa"/>
            <w:vAlign w:val="bottom"/>
            <w:tcBorders>
              <w:top w:val="single" w:sz="8" w:color="auto"/>
            </w:tcBorders>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ectPr>
          <w:pgSz w:w="11900" w:h="16867" w:orient="portrait"/>
          <w:cols w:equalWidth="0" w:num="1">
            <w:col w:w="11080"/>
          </w:cols>
          <w:pgMar w:left="460" w:top="219" w:right="359" w:bottom="0" w:gutter="0" w:footer="0" w:header="0"/>
          <w:type w:val="continuous"/>
        </w:sectPr>
      </w:pPr>
    </w:p>
    <w:bookmarkStart w:id="1" w:name="page2"/>
    <w:bookmarkEnd w:id="1"/>
    <w:p>
      <w:pPr>
        <w:jc w:val="both"/>
        <w:ind w:right="2480" w:firstLine="7"/>
        <w:spacing w:after="0" w:line="320"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40"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416779" TargetMode="External"/><Relationship Id="rId14" Type="http://schemas.openxmlformats.org/officeDocument/2006/relationships/hyperlink" Target="http://www.sec.gov/cgi-bin/browse-edgar?action=getcompany&amp;CIK=000177783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2024-12-05T17:27:29Z</dcterms:created>
  <dcterms:modified xsi:type="dcterms:W3CDTF">2024-12-05T17:27:29Z</dcterms:modified>
</cp:coreProperties>
</file>