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73025</wp:posOffset>
            </wp:positionV>
            <wp:extent cx="2211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32"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SCHEDULE TO</w:t>
      </w:r>
    </w:p>
    <w:p>
      <w:pPr>
        <w:spacing w:after="0" w:line="190"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TENDER OFFER STATEMENT UNDER SECTION 14(d)(1) OR 13(e)(1)</w:t>
      </w:r>
    </w:p>
    <w:p>
      <w:pPr>
        <w:jc w:val="center"/>
        <w:ind w:right="-11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ind w:left="472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122555</wp:posOffset>
            </wp:positionV>
            <wp:extent cx="2211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06"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PERELLA WEINBERG PARTNERS</w:t>
      </w:r>
    </w:p>
    <w:p>
      <w:pPr>
        <w:jc w:val="center"/>
        <w:ind w:right="-1120"/>
        <w:spacing w:after="0"/>
        <w:rPr>
          <w:sz w:val="20"/>
          <w:szCs w:val="20"/>
          <w:color w:val="auto"/>
        </w:rPr>
      </w:pPr>
      <w:r>
        <w:rPr>
          <w:rFonts w:ascii="Arial" w:cs="Arial" w:eastAsia="Arial" w:hAnsi="Arial"/>
          <w:sz w:val="14"/>
          <w:szCs w:val="14"/>
          <w:b w:val="1"/>
          <w:bCs w:val="1"/>
          <w:color w:val="auto"/>
        </w:rPr>
        <w:t>(Name of Subject Company and Filing Person (Issuer))</w:t>
      </w:r>
    </w:p>
    <w:p>
      <w:pPr>
        <w:spacing w:after="0" w:line="17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Warrants to Acquire Shares of Class A Common Stock</w:t>
      </w:r>
    </w:p>
    <w:p>
      <w:pPr>
        <w:spacing w:after="0" w:line="32"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(Title of Class of Securities)</w:t>
      </w:r>
    </w:p>
    <w:p>
      <w:pPr>
        <w:spacing w:after="0" w:line="19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71367G110</w:t>
      </w:r>
    </w:p>
    <w:p>
      <w:pPr>
        <w:spacing w:after="0" w:line="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(CUSIP Number of Class of Securities)</w:t>
      </w:r>
    </w:p>
    <w:p>
      <w:pPr>
        <w:spacing w:after="0" w:line="15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Vladimir Shendelman, Esq.</w:t>
      </w:r>
    </w:p>
    <w:p>
      <w:pPr>
        <w:jc w:val="center"/>
        <w:ind w:right="-1120"/>
        <w:spacing w:after="0" w:line="219" w:lineRule="auto"/>
        <w:rPr>
          <w:sz w:val="20"/>
          <w:szCs w:val="20"/>
          <w:color w:val="auto"/>
        </w:rPr>
      </w:pPr>
      <w:r>
        <w:rPr>
          <w:rFonts w:ascii="Arial" w:cs="Arial" w:eastAsia="Arial" w:hAnsi="Arial"/>
          <w:sz w:val="18"/>
          <w:szCs w:val="18"/>
          <w:b w:val="1"/>
          <w:bCs w:val="1"/>
          <w:color w:val="auto"/>
        </w:rPr>
        <w:t>General Counsel</w:t>
      </w:r>
    </w:p>
    <w:p>
      <w:pPr>
        <w:jc w:val="center"/>
        <w:ind w:right="-1120"/>
        <w:spacing w:after="0" w:line="203" w:lineRule="auto"/>
        <w:rPr>
          <w:sz w:val="20"/>
          <w:szCs w:val="20"/>
          <w:color w:val="auto"/>
        </w:rPr>
      </w:pPr>
      <w:r>
        <w:rPr>
          <w:rFonts w:ascii="Arial" w:cs="Arial" w:eastAsia="Arial" w:hAnsi="Arial"/>
          <w:sz w:val="18"/>
          <w:szCs w:val="18"/>
          <w:b w:val="1"/>
          <w:bCs w:val="1"/>
          <w:color w:val="auto"/>
        </w:rPr>
        <w:t>767 Fifth Avenue</w:t>
      </w:r>
    </w:p>
    <w:p>
      <w:pPr>
        <w:jc w:val="center"/>
        <w:ind w:right="-1120"/>
        <w:spacing w:after="0" w:line="204" w:lineRule="auto"/>
        <w:rPr>
          <w:sz w:val="20"/>
          <w:szCs w:val="20"/>
          <w:color w:val="auto"/>
        </w:rPr>
      </w:pPr>
      <w:r>
        <w:rPr>
          <w:rFonts w:ascii="Arial" w:cs="Arial" w:eastAsia="Arial" w:hAnsi="Arial"/>
          <w:sz w:val="18"/>
          <w:szCs w:val="18"/>
          <w:b w:val="1"/>
          <w:bCs w:val="1"/>
          <w:color w:val="auto"/>
        </w:rPr>
        <w:t>New York, New York 10153</w:t>
      </w:r>
    </w:p>
    <w:p>
      <w:pPr>
        <w:jc w:val="center"/>
        <w:ind w:right="-1120"/>
        <w:spacing w:after="0"/>
        <w:rPr>
          <w:sz w:val="20"/>
          <w:szCs w:val="20"/>
          <w:color w:val="auto"/>
        </w:rPr>
      </w:pPr>
      <w:r>
        <w:rPr>
          <w:rFonts w:ascii="Arial" w:cs="Arial" w:eastAsia="Arial" w:hAnsi="Arial"/>
          <w:sz w:val="18"/>
          <w:szCs w:val="18"/>
          <w:b w:val="1"/>
          <w:bCs w:val="1"/>
          <w:color w:val="auto"/>
        </w:rPr>
        <w:t>(212) 287-3200</w:t>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w:t>
      </w:r>
    </w:p>
    <w:p>
      <w:pPr>
        <w:spacing w:after="0" w:line="28"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100965</wp:posOffset>
            </wp:positionV>
            <wp:extent cx="22117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3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i w:val="1"/>
          <w:iCs w:val="1"/>
          <w:color w:val="auto"/>
        </w:rPr>
        <w:t>Copies of communications to:</w:t>
      </w:r>
    </w:p>
    <w:p>
      <w:pPr>
        <w:spacing w:after="0" w:line="11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Joseph A. Coco, Esq.</w:t>
      </w:r>
    </w:p>
    <w:p>
      <w:pPr>
        <w:jc w:val="center"/>
        <w:ind w:right="-1120"/>
        <w:spacing w:after="0" w:line="219" w:lineRule="auto"/>
        <w:rPr>
          <w:sz w:val="20"/>
          <w:szCs w:val="20"/>
          <w:color w:val="auto"/>
        </w:rPr>
      </w:pPr>
      <w:r>
        <w:rPr>
          <w:rFonts w:ascii="Arial" w:cs="Arial" w:eastAsia="Arial" w:hAnsi="Arial"/>
          <w:sz w:val="18"/>
          <w:szCs w:val="18"/>
          <w:b w:val="1"/>
          <w:bCs w:val="1"/>
          <w:color w:val="auto"/>
        </w:rPr>
        <w:t>Michael J. Schwartz, Esq.</w:t>
      </w:r>
    </w:p>
    <w:p>
      <w:pPr>
        <w:jc w:val="center"/>
        <w:ind w:right="-1120"/>
        <w:spacing w:after="0" w:line="203" w:lineRule="auto"/>
        <w:rPr>
          <w:sz w:val="20"/>
          <w:szCs w:val="20"/>
          <w:color w:val="auto"/>
        </w:rPr>
      </w:pPr>
      <w:r>
        <w:rPr>
          <w:rFonts w:ascii="Arial" w:cs="Arial" w:eastAsia="Arial" w:hAnsi="Arial"/>
          <w:sz w:val="18"/>
          <w:szCs w:val="18"/>
          <w:b w:val="1"/>
          <w:bCs w:val="1"/>
          <w:color w:val="auto"/>
        </w:rPr>
        <w:t>Blair T. Thetford, Esq.</w:t>
      </w:r>
    </w:p>
    <w:p>
      <w:pPr>
        <w:jc w:val="center"/>
        <w:ind w:right="-1120"/>
        <w:spacing w:after="0" w:line="204" w:lineRule="auto"/>
        <w:rPr>
          <w:sz w:val="20"/>
          <w:szCs w:val="20"/>
          <w:color w:val="auto"/>
        </w:rPr>
      </w:pPr>
      <w:r>
        <w:rPr>
          <w:rFonts w:ascii="Arial" w:cs="Arial" w:eastAsia="Arial" w:hAnsi="Arial"/>
          <w:sz w:val="18"/>
          <w:szCs w:val="18"/>
          <w:b w:val="1"/>
          <w:bCs w:val="1"/>
          <w:color w:val="auto"/>
        </w:rPr>
        <w:t>Skadden, Arps, Slate, Meagher &amp; Flom LLP</w:t>
      </w:r>
    </w:p>
    <w:p>
      <w:pPr>
        <w:jc w:val="center"/>
        <w:ind w:right="-1120"/>
        <w:spacing w:after="0" w:line="219" w:lineRule="auto"/>
        <w:rPr>
          <w:sz w:val="20"/>
          <w:szCs w:val="20"/>
          <w:color w:val="auto"/>
        </w:rPr>
      </w:pPr>
      <w:r>
        <w:rPr>
          <w:rFonts w:ascii="Arial" w:cs="Arial" w:eastAsia="Arial" w:hAnsi="Arial"/>
          <w:sz w:val="18"/>
          <w:szCs w:val="18"/>
          <w:b w:val="1"/>
          <w:bCs w:val="1"/>
          <w:color w:val="auto"/>
        </w:rPr>
        <w:t>One Manhattan West</w:t>
      </w:r>
    </w:p>
    <w:p>
      <w:pPr>
        <w:jc w:val="center"/>
        <w:ind w:right="-1120"/>
        <w:spacing w:after="0" w:line="203" w:lineRule="auto"/>
        <w:rPr>
          <w:sz w:val="20"/>
          <w:szCs w:val="20"/>
          <w:color w:val="auto"/>
        </w:rPr>
      </w:pPr>
      <w:r>
        <w:rPr>
          <w:rFonts w:ascii="Arial" w:cs="Arial" w:eastAsia="Arial" w:hAnsi="Arial"/>
          <w:sz w:val="18"/>
          <w:szCs w:val="18"/>
          <w:b w:val="1"/>
          <w:bCs w:val="1"/>
          <w:color w:val="auto"/>
        </w:rPr>
        <w:t>New York, NY 10001</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(212) 735-3000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2131060</wp:posOffset>
            </wp:positionH>
            <wp:positionV relativeFrom="paragraph">
              <wp:posOffset>116205</wp:posOffset>
            </wp:positionV>
            <wp:extent cx="2888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1539" w:firstLine="8"/>
        <w:spacing w:after="0" w:line="274" w:lineRule="auto"/>
        <w:tabs>
          <w:tab w:leader="none" w:pos="20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before the commencement of a tender offer. Check the appropriate boxes below to designate any transactions to which the statement relates: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4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36"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36"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29"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38" w:lineRule="exact"/>
        <w:rPr>
          <w:rFonts w:ascii="MS PGothic" w:cs="MS PGothic" w:eastAsia="MS PGothic" w:hAnsi="MS PGothic"/>
          <w:sz w:val="18"/>
          <w:szCs w:val="18"/>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both"/>
        <w:spacing w:after="0" w:line="271" w:lineRule="auto"/>
        <w:rPr>
          <w:sz w:val="20"/>
          <w:szCs w:val="20"/>
          <w:color w:val="auto"/>
        </w:rPr>
      </w:pPr>
      <w:r>
        <w:rPr>
          <w:rFonts w:ascii="Arial" w:cs="Arial" w:eastAsia="Arial" w:hAnsi="Arial"/>
          <w:sz w:val="17"/>
          <w:szCs w:val="17"/>
          <w:color w:val="auto"/>
        </w:rPr>
        <w:t>This Amendment No. 1 amends and supplements the Tender Offer Statement on Schedule TO originally filed by Perella Weinberg Partners, a Delaware corporation (the “Company”), with the Securities and Exchange Commission (the “SEC”) on July 22, 2022 (as amended, the “Schedule TO”). The Schedule TO was filed pursuant to Rule 13e-4 under the Securities Exchange Act of 1934, as amended (the “Exchange Act”), in connection with the Company’s offer to each holder of the Company’s Warrants (each, a “Warrant”) to purchase shares of the Company’s Class A common stock, par value $0.0001 per share (“Class A Common Stock”), to receive 0.20 shares of Class A Common Stock in exchange for each outstanding Warrant tendered by the holder and exchanged pursuant to the offer (the “Offer”). The Offer is made upon and subject to the terms and conditions set forth in the Prospectus/Offer to Exchange, dated August 15, 2022 (the “Prospectus/Offer to Exchange”), a copy of which is filed hereto as Exhibit (a)(1)(A), and in the related Letter of Transmittal and Consent, a copy of which was filed as Exhibit (a)(1)(B) to the Schedule TO.</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Concurrently with the Offer, the Company is also soliciting consents (the “Consent Solicitation”) from holders of the Public Warrants (as defined in the Schedule TO) to amend the warrant agreement, dated as of September 24, 2020 (the “Warrant Agreement”), by and between the Company (f/k/a FinTech Acquisition Corp. IV (“FTIV”)) and Continental Stock Transfer &amp; Trust Company, as amended by Amendment No. 1 to Warrant Agreement, dated as of November 10, 2021, by and among the Company, Continental Stock Transfer &amp; Trust Company and American Stock Transfer &amp; Trust Company, LLC, as warrant agent, to permit the Company to require that each Warrant (including each Private Placement Warrant (as defined in the Schedule TO)) that is outstanding upon the closing of the Offer be converted into 0.18 shares of Class A Common Stock, which is a ratio 10% less than the exchange ratio applicable to the Offer (the “Warrant Amendment”). Pursuant to the terms of the Warrant Agreement, all except certain specified modifications or amendments require the vote or written consent of holders of at least 65% of the outstanding Public Warrants.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Amendment No. 1 is being filed to update Item 12 of the Schedule TO to include the final Prospectus/Offer to Exchange which relates to the Form S-4 registration statement declared effective by the SEC on August 15, 2022 and the related press release issued by the Company on August 15, 2022.</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Only those items amended are reported in this Amendment No. 1. Except as specifically provided herein, the information contained in the Schedule TO, the Prospectus/Offer to Exchange and the Letter of Transmittal and Consent remains unchanged, and this Amendment No. 1 does not modify any of the other information previously reported on the Schedule TO or in the Prospectus/Offer to Exchange or the Letter of Transmittal and Consent. You should read this Amendment No. 1 together with the Schedule TO, the Prospectus/Offer to Exchange and the Letter of Transmittal and Consent.</w:t>
      </w:r>
    </w:p>
    <w:p>
      <w:pPr>
        <w:sectPr>
          <w:pgSz w:w="11900" w:h="16838" w:orient="portrait"/>
          <w:cols w:equalWidth="0" w:num="1">
            <w:col w:w="11240"/>
          </w:cols>
          <w:pgMar w:left="320" w:top="1421"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Exhibits.</w:t>
      </w:r>
    </w:p>
    <w:p>
      <w:pPr>
        <w:spacing w:after="0" w:line="208"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Exhibits</w:t>
      </w:r>
      <w:r>
        <w:rPr>
          <w:rFonts w:ascii="Arial" w:cs="Arial" w:eastAsia="Arial" w:hAnsi="Arial"/>
          <w:sz w:val="15"/>
          <w:szCs w:val="15"/>
          <w:b w:val="1"/>
          <w:bCs w:val="1"/>
          <w:color w:val="auto"/>
        </w:rPr>
        <w:t>.</w:t>
      </w:r>
    </w:p>
    <w:p>
      <w:pPr>
        <w:spacing w:after="0" w:line="3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43180</wp:posOffset>
            </wp:positionV>
            <wp:extent cx="960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(a)(l)(A)</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(a)(1)(B)</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(a)(1)(C)</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(a)(1)(D)</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(a)(1)(E)</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(a)(2)</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043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88" w:lineRule="exact"/>
        <w:rPr>
          <w:sz w:val="20"/>
          <w:szCs w:val="20"/>
          <w:color w:val="auto"/>
        </w:rPr>
      </w:pPr>
    </w:p>
    <w:p>
      <w:pPr>
        <w:ind w:right="40"/>
        <w:spacing w:after="0" w:line="293"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Prospectus/Offer to Exchange (incorporated by reference to the Prospectus/Offer to Exchange filed pursuant to Rule 424(b)(3) by</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the Company with the SEC on August 15, 2022).</w:t>
        </w:r>
      </w:hyperlink>
    </w:p>
    <w:p>
      <w:pPr>
        <w:spacing w:after="0" w:line="8" w:lineRule="exact"/>
        <w:rPr>
          <w:sz w:val="20"/>
          <w:szCs w:val="20"/>
          <w:color w:val="auto"/>
        </w:rPr>
      </w:pPr>
    </w:p>
    <w:p>
      <w:pPr>
        <w:ind w:left="40" w:right="60"/>
        <w:spacing w:after="0" w:line="235" w:lineRule="auto"/>
        <w:rPr>
          <w:rFonts w:ascii="Arial" w:cs="Arial" w:eastAsia="Arial" w:hAnsi="Arial"/>
          <w:sz w:val="18"/>
          <w:szCs w:val="18"/>
          <w:color w:val="0000FF"/>
        </w:rPr>
      </w:pPr>
      <w:hyperlink r:id="rId19">
        <w:r>
          <w:rPr>
            <w:rFonts w:ascii="Arial" w:cs="Arial" w:eastAsia="Arial" w:hAnsi="Arial"/>
            <w:sz w:val="18"/>
            <w:szCs w:val="18"/>
            <w:u w:val="single" w:color="auto"/>
            <w:color w:val="0000FF"/>
          </w:rPr>
          <w:t>Form of Letter of Transmittal (incorporated by reference to Exhibit 99.1 to the Registration Statement on Form S-4 filed by the</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Company with the SEC on July 22, 2022)</w:t>
        </w:r>
        <w:r>
          <w:rPr>
            <w:rFonts w:ascii="Arial" w:cs="Arial" w:eastAsia="Arial" w:hAnsi="Arial"/>
            <w:sz w:val="18"/>
            <w:szCs w:val="18"/>
            <w:color w:val="000000"/>
          </w:rPr>
          <w:t>.</w:t>
        </w:r>
      </w:hyperlink>
    </w:p>
    <w:p>
      <w:pPr>
        <w:spacing w:after="0" w:line="13" w:lineRule="exact"/>
        <w:rPr>
          <w:sz w:val="20"/>
          <w:szCs w:val="20"/>
          <w:color w:val="auto"/>
        </w:rPr>
      </w:pPr>
    </w:p>
    <w:p>
      <w:pPr>
        <w:ind w:left="40" w:right="60"/>
        <w:spacing w:after="0" w:line="235" w:lineRule="auto"/>
        <w:rPr>
          <w:rFonts w:ascii="Arial" w:cs="Arial" w:eastAsia="Arial" w:hAnsi="Arial"/>
          <w:sz w:val="18"/>
          <w:szCs w:val="18"/>
          <w:color w:val="0000FF"/>
        </w:rPr>
      </w:pPr>
      <w:hyperlink r:id="rId20">
        <w:r>
          <w:rPr>
            <w:rFonts w:ascii="Arial" w:cs="Arial" w:eastAsia="Arial" w:hAnsi="Arial"/>
            <w:sz w:val="18"/>
            <w:szCs w:val="18"/>
            <w:u w:val="single" w:color="auto"/>
            <w:color w:val="0000FF"/>
          </w:rPr>
          <w:t>Form of Notice of Guaranteed Delivery (incorporated by reference to Exhibit 99.2 to the Registration Statement on Form S-4 filed</w:t>
        </w:r>
      </w:hyperlink>
      <w:r>
        <w:rPr>
          <w:rFonts w:ascii="Arial" w:cs="Arial" w:eastAsia="Arial" w:hAnsi="Arial"/>
          <w:sz w:val="18"/>
          <w:szCs w:val="18"/>
          <w:u w:val="single" w:color="auto"/>
          <w:color w:val="0000FF"/>
        </w:rPr>
        <w:t xml:space="preserve"> </w:t>
      </w:r>
      <w:hyperlink r:id="rId20">
        <w:r>
          <w:rPr>
            <w:rFonts w:ascii="Arial" w:cs="Arial" w:eastAsia="Arial" w:hAnsi="Arial"/>
            <w:sz w:val="18"/>
            <w:szCs w:val="18"/>
            <w:u w:val="single" w:color="auto"/>
            <w:color w:val="0000FF"/>
          </w:rPr>
          <w:t>by the Company with the SEC on July 22, 2022)</w:t>
        </w:r>
        <w:r>
          <w:rPr>
            <w:rFonts w:ascii="Arial" w:cs="Arial" w:eastAsia="Arial" w:hAnsi="Arial"/>
            <w:sz w:val="18"/>
            <w:szCs w:val="18"/>
            <w:color w:val="000000"/>
          </w:rPr>
          <w:t>.</w:t>
        </w:r>
      </w:hyperlink>
    </w:p>
    <w:p>
      <w:pPr>
        <w:spacing w:after="0" w:line="13" w:lineRule="exact"/>
        <w:rPr>
          <w:sz w:val="20"/>
          <w:szCs w:val="20"/>
          <w:color w:val="auto"/>
        </w:rPr>
      </w:pPr>
    </w:p>
    <w:p>
      <w:pPr>
        <w:ind w:left="40" w:right="60"/>
        <w:spacing w:after="0" w:line="256" w:lineRule="auto"/>
        <w:rPr>
          <w:rFonts w:ascii="Arial" w:cs="Arial" w:eastAsia="Arial" w:hAnsi="Arial"/>
          <w:sz w:val="17"/>
          <w:szCs w:val="17"/>
          <w:u w:val="single" w:color="auto"/>
          <w:color w:val="0000FF"/>
        </w:rPr>
      </w:pPr>
      <w:hyperlink r:id="rId21">
        <w:r>
          <w:rPr>
            <w:rFonts w:ascii="Arial" w:cs="Arial" w:eastAsia="Arial" w:hAnsi="Arial"/>
            <w:sz w:val="17"/>
            <w:szCs w:val="17"/>
            <w:u w:val="single" w:color="auto"/>
            <w:color w:val="0000FF"/>
          </w:rPr>
          <w:t>Form of Letter to Brokers, Dealers, Commercial Banks, Trust Companies and Other Nominees (incorporated by reference to</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Exhibit 99.3 to the Registration Statement on Form S-4 filed by the Company with the SEC on July 22, 2022).</w:t>
        </w:r>
      </w:hyperlink>
    </w:p>
    <w:p>
      <w:pPr>
        <w:spacing w:after="0" w:line="1" w:lineRule="exact"/>
        <w:rPr>
          <w:sz w:val="20"/>
          <w:szCs w:val="20"/>
          <w:color w:val="auto"/>
        </w:rPr>
      </w:pPr>
    </w:p>
    <w:p>
      <w:pPr>
        <w:ind w:left="40" w:right="60"/>
        <w:spacing w:after="0" w:line="258" w:lineRule="auto"/>
        <w:rPr>
          <w:rFonts w:ascii="Arial" w:cs="Arial" w:eastAsia="Arial" w:hAnsi="Arial"/>
          <w:sz w:val="17"/>
          <w:szCs w:val="17"/>
          <w:u w:val="single" w:color="auto"/>
          <w:color w:val="0000FF"/>
        </w:rPr>
      </w:pPr>
      <w:hyperlink r:id="rId22">
        <w:r>
          <w:rPr>
            <w:rFonts w:ascii="Arial" w:cs="Arial" w:eastAsia="Arial" w:hAnsi="Arial"/>
            <w:sz w:val="17"/>
            <w:szCs w:val="17"/>
            <w:u w:val="single" w:color="auto"/>
            <w:color w:val="0000FF"/>
          </w:rPr>
          <w:t>Form of Letter to Clients of Brokers, Dealers, Commercial Banks, Trust Companies and Other Nominees (incorporated by</w:t>
        </w:r>
      </w:hyperlink>
      <w:r>
        <w:rPr>
          <w:rFonts w:ascii="Arial" w:cs="Arial" w:eastAsia="Arial" w:hAnsi="Arial"/>
          <w:sz w:val="17"/>
          <w:szCs w:val="17"/>
          <w:u w:val="single" w:color="auto"/>
          <w:color w:val="0000FF"/>
        </w:rPr>
        <w:t xml:space="preserve"> </w:t>
      </w:r>
      <w:hyperlink r:id="rId22">
        <w:r>
          <w:rPr>
            <w:rFonts w:ascii="Arial" w:cs="Arial" w:eastAsia="Arial" w:hAnsi="Arial"/>
            <w:sz w:val="17"/>
            <w:szCs w:val="17"/>
            <w:u w:val="single" w:color="auto"/>
            <w:color w:val="0000FF"/>
          </w:rPr>
          <w:t>reference to Exhibit 99.4 to the Registration Statement on Form S-4 filed by the Company with the SEC on July 22, 2022).</w:t>
        </w:r>
      </w:hyperlink>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2">
            <w:col w:w="1380" w:space="340"/>
            <w:col w:w="9520"/>
          </w:cols>
          <w:pgMar w:left="320" w:top="1421" w:right="339" w:bottom="1440" w:gutter="0" w:footer="0" w:header="0"/>
          <w:type w:val="continuous"/>
        </w:sectPr>
      </w:pPr>
    </w:p>
    <w:bookmarkStart w:id="2" w:name="page3"/>
    <w:bookmarkEnd w:id="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auto"/>
              </w:rPr>
              <w:t>(a)(4)</w:t>
            </w:r>
          </w:p>
        </w:tc>
        <w:tc>
          <w:tcPr>
            <w:tcW w:w="9820" w:type="dxa"/>
            <w:vAlign w:val="bottom"/>
            <w:gridSpan w:val="41"/>
          </w:tcPr>
          <w:p>
            <w:pPr>
              <w:spacing w:after="0"/>
              <w:rPr>
                <w:rFonts w:ascii="Arial" w:cs="Arial" w:eastAsia="Arial" w:hAnsi="Arial"/>
                <w:sz w:val="18"/>
                <w:szCs w:val="18"/>
                <w:color w:val="0000FF"/>
              </w:rPr>
            </w:pPr>
            <w:hyperlink r:id="rId18">
              <w:r>
                <w:rPr>
                  <w:rFonts w:ascii="Arial" w:cs="Arial" w:eastAsia="Arial" w:hAnsi="Arial"/>
                  <w:sz w:val="18"/>
                  <w:szCs w:val="18"/>
                  <w:color w:val="0000FF"/>
                </w:rPr>
                <w:t>Prospectus/Offer to Exchange (incorporated by reference to Exhibit (a)(1)(A)).</w:t>
              </w:r>
            </w:hyperlink>
          </w:p>
        </w:tc>
      </w:tr>
      <w:tr>
        <w:trPr>
          <w:trHeight w:val="20"/>
        </w:trPr>
        <w:tc>
          <w:tcPr>
            <w:tcW w:w="1600" w:type="dxa"/>
            <w:vAlign w:val="bottom"/>
            <w:tcBorders>
              <w:right w:val="single" w:sz="8" w:color="0000FF"/>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tcPr>
          <w:p>
            <w:pPr>
              <w:spacing w:after="0"/>
              <w:rPr>
                <w:sz w:val="20"/>
                <w:szCs w:val="20"/>
                <w:color w:val="auto"/>
              </w:rPr>
            </w:pPr>
            <w:r>
              <w:rPr>
                <w:rFonts w:ascii="Arial" w:cs="Arial" w:eastAsia="Arial" w:hAnsi="Arial"/>
                <w:sz w:val="18"/>
                <w:szCs w:val="18"/>
                <w:color w:val="auto"/>
              </w:rPr>
              <w:t>(a)(5)(A)</w:t>
            </w:r>
          </w:p>
        </w:tc>
        <w:tc>
          <w:tcPr>
            <w:tcW w:w="9660" w:type="dxa"/>
            <w:vAlign w:val="bottom"/>
            <w:tcBorders>
              <w:bottom w:val="single" w:sz="8" w:color="0000FF"/>
            </w:tcBorders>
            <w:gridSpan w:val="33"/>
          </w:tcPr>
          <w:p>
            <w:pPr>
              <w:spacing w:after="0"/>
              <w:rPr>
                <w:rFonts w:ascii="Arial" w:cs="Arial" w:eastAsia="Arial" w:hAnsi="Arial"/>
                <w:sz w:val="18"/>
                <w:szCs w:val="18"/>
                <w:color w:val="0000FF"/>
                <w:w w:val="97"/>
              </w:rPr>
            </w:pPr>
            <w:hyperlink r:id="rId23">
              <w:r>
                <w:rPr>
                  <w:rFonts w:ascii="Arial" w:cs="Arial" w:eastAsia="Arial" w:hAnsi="Arial"/>
                  <w:sz w:val="18"/>
                  <w:szCs w:val="18"/>
                  <w:color w:val="0000FF"/>
                  <w:w w:val="97"/>
                </w:rPr>
                <w:t>Press Release, dated July 22, 2022 (incorporated by reference to Exhibit 99.1 to the Current Report on Form 8-K filed by the</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56"/>
        </w:trPr>
        <w:tc>
          <w:tcPr>
            <w:tcW w:w="1600" w:type="dxa"/>
            <w:vAlign w:val="bottom"/>
          </w:tcPr>
          <w:p>
            <w:pPr>
              <w:spacing w:after="0"/>
              <w:rPr>
                <w:sz w:val="13"/>
                <w:szCs w:val="13"/>
                <w:color w:val="auto"/>
              </w:rPr>
            </w:pPr>
          </w:p>
        </w:tc>
        <w:tc>
          <w:tcPr>
            <w:tcW w:w="9820" w:type="dxa"/>
            <w:vAlign w:val="bottom"/>
            <w:gridSpan w:val="41"/>
          </w:tcPr>
          <w:p>
            <w:pPr>
              <w:spacing w:after="0" w:line="156" w:lineRule="exact"/>
              <w:rPr>
                <w:rFonts w:ascii="Arial" w:cs="Arial" w:eastAsia="Arial" w:hAnsi="Arial"/>
                <w:sz w:val="18"/>
                <w:szCs w:val="18"/>
                <w:color w:val="0000FF"/>
              </w:rPr>
            </w:pPr>
            <w:hyperlink r:id="rId23">
              <w:r>
                <w:rPr>
                  <w:rFonts w:ascii="Arial" w:cs="Arial" w:eastAsia="Arial" w:hAnsi="Arial"/>
                  <w:sz w:val="18"/>
                  <w:szCs w:val="18"/>
                  <w:color w:val="0000FF"/>
                </w:rPr>
                <w:t>Company on July 22, 2022).</w:t>
              </w:r>
            </w:hyperlink>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600" w:type="dxa"/>
            <w:vAlign w:val="bottom"/>
          </w:tcPr>
          <w:p>
            <w:pPr>
              <w:spacing w:after="0"/>
              <w:rPr>
                <w:sz w:val="20"/>
                <w:szCs w:val="20"/>
                <w:color w:val="auto"/>
              </w:rPr>
            </w:pPr>
            <w:r>
              <w:rPr>
                <w:rFonts w:ascii="Arial" w:cs="Arial" w:eastAsia="Arial" w:hAnsi="Arial"/>
                <w:sz w:val="18"/>
                <w:szCs w:val="18"/>
                <w:color w:val="auto"/>
              </w:rPr>
              <w:t>(a)(5)(B)</w:t>
            </w:r>
          </w:p>
        </w:tc>
        <w:tc>
          <w:tcPr>
            <w:tcW w:w="9820" w:type="dxa"/>
            <w:vAlign w:val="bottom"/>
            <w:tcBorders>
              <w:bottom w:val="single" w:sz="8" w:color="0000FF"/>
            </w:tcBorders>
            <w:gridSpan w:val="41"/>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Press Release, dated August 15, 2022 (incorporated by reference to Exhibit 99.1 to the Current Report on Form 8-K filed by the</w:t>
              </w:r>
            </w:hyperlink>
          </w:p>
        </w:tc>
      </w:tr>
      <w:tr>
        <w:trPr>
          <w:trHeight w:val="223"/>
        </w:trPr>
        <w:tc>
          <w:tcPr>
            <w:tcW w:w="1600" w:type="dxa"/>
            <w:vAlign w:val="bottom"/>
          </w:tcPr>
          <w:p>
            <w:pPr>
              <w:spacing w:after="0"/>
              <w:rPr>
                <w:sz w:val="19"/>
                <w:szCs w:val="19"/>
                <w:color w:val="auto"/>
              </w:rPr>
            </w:pPr>
          </w:p>
        </w:tc>
        <w:tc>
          <w:tcPr>
            <w:tcW w:w="2240" w:type="dxa"/>
            <w:vAlign w:val="bottom"/>
            <w:tcBorders>
              <w:bottom w:val="single" w:sz="8" w:color="0000FF"/>
            </w:tcBorders>
            <w:gridSpan w:val="4"/>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Company on August 15, 2022).</w:t>
              </w:r>
            </w:hyperlink>
          </w:p>
        </w:tc>
        <w:tc>
          <w:tcPr>
            <w:tcW w:w="7580" w:type="dxa"/>
            <w:vAlign w:val="bottom"/>
            <w:gridSpan w:val="37"/>
          </w:tcPr>
          <w:p>
            <w:pPr>
              <w:spacing w:after="0"/>
              <w:rPr>
                <w:sz w:val="19"/>
                <w:szCs w:val="19"/>
                <w:color w:val="auto"/>
              </w:rPr>
            </w:pPr>
          </w:p>
        </w:tc>
      </w:tr>
      <w:tr>
        <w:trPr>
          <w:trHeight w:val="318"/>
        </w:trPr>
        <w:tc>
          <w:tcPr>
            <w:tcW w:w="1600" w:type="dxa"/>
            <w:vAlign w:val="bottom"/>
          </w:tcPr>
          <w:p>
            <w:pPr>
              <w:spacing w:after="0"/>
              <w:rPr>
                <w:sz w:val="20"/>
                <w:szCs w:val="20"/>
                <w:color w:val="auto"/>
              </w:rPr>
            </w:pPr>
            <w:r>
              <w:rPr>
                <w:rFonts w:ascii="Arial" w:cs="Arial" w:eastAsia="Arial" w:hAnsi="Arial"/>
                <w:sz w:val="18"/>
                <w:szCs w:val="18"/>
                <w:color w:val="auto"/>
              </w:rPr>
              <w:t>(b)</w:t>
            </w:r>
          </w:p>
        </w:tc>
        <w:tc>
          <w:tcPr>
            <w:tcW w:w="9820" w:type="dxa"/>
            <w:vAlign w:val="bottom"/>
            <w:gridSpan w:val="41"/>
          </w:tcPr>
          <w:p>
            <w:pPr>
              <w:spacing w:after="0"/>
              <w:rPr>
                <w:sz w:val="20"/>
                <w:szCs w:val="20"/>
                <w:color w:val="auto"/>
              </w:rPr>
            </w:pPr>
            <w:r>
              <w:rPr>
                <w:rFonts w:ascii="Arial" w:cs="Arial" w:eastAsia="Arial" w:hAnsi="Arial"/>
                <w:sz w:val="18"/>
                <w:szCs w:val="18"/>
                <w:color w:val="auto"/>
              </w:rPr>
              <w:t>Not applicable.</w:t>
            </w:r>
          </w:p>
        </w:tc>
      </w:tr>
      <w:tr>
        <w:trPr>
          <w:trHeight w:val="229"/>
        </w:trPr>
        <w:tc>
          <w:tcPr>
            <w:tcW w:w="1600" w:type="dxa"/>
            <w:vAlign w:val="bottom"/>
          </w:tcPr>
          <w:p>
            <w:pPr>
              <w:spacing w:after="0"/>
              <w:rPr>
                <w:sz w:val="20"/>
                <w:szCs w:val="20"/>
                <w:color w:val="auto"/>
              </w:rPr>
            </w:pPr>
            <w:r>
              <w:rPr>
                <w:rFonts w:ascii="Arial" w:cs="Arial" w:eastAsia="Arial" w:hAnsi="Arial"/>
                <w:sz w:val="18"/>
                <w:szCs w:val="18"/>
                <w:color w:val="auto"/>
              </w:rPr>
              <w:t>(d)(i)</w:t>
            </w:r>
          </w:p>
        </w:tc>
        <w:tc>
          <w:tcPr>
            <w:tcW w:w="9420" w:type="dxa"/>
            <w:vAlign w:val="bottom"/>
            <w:tcBorders>
              <w:bottom w:val="single" w:sz="8" w:color="0000FF"/>
            </w:tcBorders>
            <w:gridSpan w:val="21"/>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Business Combination Agreement, dated as of December 29, 2020, by and among FinTech Acquisition Corp. IV, FinTech Investor</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600" w:type="dxa"/>
            <w:vAlign w:val="bottom"/>
          </w:tcPr>
          <w:p>
            <w:pPr>
              <w:spacing w:after="0"/>
              <w:rPr>
                <w:sz w:val="13"/>
                <w:szCs w:val="13"/>
                <w:color w:val="auto"/>
              </w:rPr>
            </w:pPr>
          </w:p>
        </w:tc>
        <w:tc>
          <w:tcPr>
            <w:tcW w:w="9820" w:type="dxa"/>
            <w:vAlign w:val="bottom"/>
            <w:gridSpan w:val="41"/>
          </w:tcPr>
          <w:p>
            <w:pPr>
              <w:spacing w:after="0" w:line="156"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Holdings IV, LLC, FinTech Masala Advisors, LLC, PWP Holdings LP, PWP GP LLC, PWP Professional Partners LP and Perella</w:t>
              </w:r>
            </w:hyperlink>
          </w:p>
        </w:tc>
      </w:tr>
      <w:tr>
        <w:trPr>
          <w:trHeight w:val="169"/>
        </w:trPr>
        <w:tc>
          <w:tcPr>
            <w:tcW w:w="1600" w:type="dxa"/>
            <w:vAlign w:val="bottom"/>
          </w:tcPr>
          <w:p>
            <w:pPr>
              <w:spacing w:after="0"/>
              <w:rPr>
                <w:sz w:val="14"/>
                <w:szCs w:val="14"/>
                <w:color w:val="auto"/>
              </w:rPr>
            </w:pPr>
          </w:p>
        </w:tc>
        <w:tc>
          <w:tcPr>
            <w:tcW w:w="9620" w:type="dxa"/>
            <w:vAlign w:val="bottom"/>
            <w:tcBorders>
              <w:top w:val="single" w:sz="8" w:color="0000FF"/>
            </w:tcBorders>
            <w:gridSpan w:val="31"/>
          </w:tcPr>
          <w:p>
            <w:pPr>
              <w:spacing w:after="0" w:line="169"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Weinberg Partners LLC (incorporated by reference to Exhibit 2.1 to FinTech Acquisition Corp. IV’s Current Report on Form 8-</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600" w:type="dxa"/>
            <w:vAlign w:val="bottom"/>
          </w:tcPr>
          <w:p>
            <w:pPr>
              <w:spacing w:after="0"/>
              <w:rPr>
                <w:sz w:val="13"/>
                <w:szCs w:val="13"/>
                <w:color w:val="auto"/>
              </w:rPr>
            </w:pPr>
          </w:p>
        </w:tc>
        <w:tc>
          <w:tcPr>
            <w:tcW w:w="95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5">
              <w:r>
                <w:rPr>
                  <w:rFonts w:ascii="Arial" w:cs="Arial" w:eastAsia="Arial" w:hAnsi="Arial"/>
                  <w:sz w:val="18"/>
                  <w:szCs w:val="18"/>
                  <w:color w:val="0000FF"/>
                </w:rPr>
                <w:t>K/A, filed with the SEC on December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(d)(ii)</w:t>
            </w:r>
          </w:p>
        </w:tc>
        <w:tc>
          <w:tcPr>
            <w:tcW w:w="8640" w:type="dxa"/>
            <w:vAlign w:val="bottom"/>
            <w:gridSpan w:val="19"/>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Restated Certificate of Incorporation of Perella Weinberg Partners (incorporated by reference to Exhibit 3.1 to Amend</w:t>
              </w:r>
            </w:hyperlink>
          </w:p>
        </w:tc>
        <w:tc>
          <w:tcPr>
            <w:tcW w:w="1160" w:type="dxa"/>
            <w:vAlign w:val="bottom"/>
            <w:tcBorders>
              <w:bottom w:val="single" w:sz="8" w:color="0000FF"/>
            </w:tcBorders>
            <w:gridSpan w:val="21"/>
          </w:tcPr>
          <w:p>
            <w:pPr>
              <w:jc w:val="right"/>
              <w:ind w:right="380"/>
              <w:spacing w:after="0" w:line="196" w:lineRule="exact"/>
              <w:rPr>
                <w:rFonts w:ascii="Arial" w:cs="Arial" w:eastAsia="Arial" w:hAnsi="Arial"/>
                <w:sz w:val="18"/>
                <w:szCs w:val="18"/>
                <w:color w:val="0000FF"/>
                <w:w w:val="86"/>
              </w:rPr>
            </w:pPr>
            <w:hyperlink r:id="rId26">
              <w:r>
                <w:rPr>
                  <w:rFonts w:ascii="Arial" w:cs="Arial" w:eastAsia="Arial" w:hAnsi="Arial"/>
                  <w:sz w:val="18"/>
                  <w:szCs w:val="18"/>
                  <w:color w:val="0000FF"/>
                  <w:w w:val="86"/>
                </w:rPr>
                <w:t>ment No. 1</w:t>
              </w:r>
            </w:hyperlink>
          </w:p>
        </w:tc>
        <w:tc>
          <w:tcPr>
            <w:tcW w:w="20" w:type="dxa"/>
            <w:vAlign w:val="bottom"/>
          </w:tcPr>
          <w:p>
            <w:pPr>
              <w:spacing w:after="0"/>
              <w:rPr>
                <w:sz w:val="18"/>
                <w:szCs w:val="18"/>
                <w:color w:val="auto"/>
              </w:rPr>
            </w:pPr>
          </w:p>
        </w:tc>
      </w:tr>
      <w:tr>
        <w:trPr>
          <w:trHeight w:val="156"/>
        </w:trPr>
        <w:tc>
          <w:tcPr>
            <w:tcW w:w="1600" w:type="dxa"/>
            <w:vAlign w:val="bottom"/>
          </w:tcPr>
          <w:p>
            <w:pPr>
              <w:spacing w:after="0"/>
              <w:rPr>
                <w:sz w:val="13"/>
                <w:szCs w:val="13"/>
                <w:color w:val="auto"/>
              </w:rPr>
            </w:pPr>
          </w:p>
        </w:tc>
        <w:tc>
          <w:tcPr>
            <w:tcW w:w="8620" w:type="dxa"/>
            <w:vAlign w:val="bottom"/>
            <w:tcBorders>
              <w:bottom w:val="single" w:sz="8" w:color="0000FF"/>
            </w:tcBorders>
            <w:gridSpan w:val="18"/>
          </w:tcPr>
          <w:p>
            <w:pPr>
              <w:spacing w:after="0" w:line="156" w:lineRule="exact"/>
              <w:rPr>
                <w:rFonts w:ascii="Arial" w:cs="Arial" w:eastAsia="Arial" w:hAnsi="Arial"/>
                <w:sz w:val="18"/>
                <w:szCs w:val="18"/>
                <w:color w:val="0000FF"/>
                <w:highlight w:val="white"/>
                <w:w w:val="90"/>
              </w:rPr>
            </w:pPr>
            <w:hyperlink r:id="rId26">
              <w:r>
                <w:rPr>
                  <w:rFonts w:ascii="Arial" w:cs="Arial" w:eastAsia="Arial" w:hAnsi="Arial"/>
                  <w:sz w:val="18"/>
                  <w:szCs w:val="18"/>
                  <w:color w:val="0000FF"/>
                  <w:highlight w:val="white"/>
                  <w:w w:val="90"/>
                </w:rPr>
                <w:t>to the Company’s Registration Statement on Form S-1 (File No. 333-261785), filed with the SEC on January 13, 2022).</w:t>
              </w:r>
            </w:hyperlink>
          </w:p>
        </w:tc>
        <w:tc>
          <w:tcPr>
            <w:tcW w:w="1200" w:type="dxa"/>
            <w:vAlign w:val="bottom"/>
            <w:gridSpan w:val="23"/>
          </w:tcPr>
          <w:p>
            <w:pPr>
              <w:spacing w:after="0"/>
              <w:rPr>
                <w:sz w:val="13"/>
                <w:szCs w:val="13"/>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(d)(iii)</w:t>
            </w:r>
          </w:p>
        </w:tc>
        <w:tc>
          <w:tcPr>
            <w:tcW w:w="9680" w:type="dxa"/>
            <w:vAlign w:val="bottom"/>
            <w:tcBorders>
              <w:bottom w:val="single" w:sz="8" w:color="0000FF"/>
            </w:tcBorders>
            <w:gridSpan w:val="34"/>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Amended and Restated Bylaws of Perella Weinberg Partners (incorporated by reference to Exhibit 3.2 to the Company’s Current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156"/>
        </w:trPr>
        <w:tc>
          <w:tcPr>
            <w:tcW w:w="1600" w:type="dxa"/>
            <w:vAlign w:val="bottom"/>
          </w:tcPr>
          <w:p>
            <w:pPr>
              <w:spacing w:after="0"/>
              <w:rPr>
                <w:sz w:val="13"/>
                <w:szCs w:val="13"/>
                <w:color w:val="auto"/>
              </w:rPr>
            </w:pPr>
          </w:p>
        </w:tc>
        <w:tc>
          <w:tcPr>
            <w:tcW w:w="4280" w:type="dxa"/>
            <w:vAlign w:val="bottom"/>
            <w:tcBorders>
              <w:bottom w:val="single" w:sz="8" w:color="0000FF"/>
            </w:tcBorders>
            <w:gridSpan w:val="11"/>
          </w:tcPr>
          <w:p>
            <w:pPr>
              <w:spacing w:after="0" w:line="15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Report on Form 8-K, filed with the SEC on June 30, 2021).</w:t>
              </w:r>
            </w:hyperlink>
          </w:p>
        </w:tc>
        <w:tc>
          <w:tcPr>
            <w:tcW w:w="540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(d)(iv)</w:t>
            </w:r>
          </w:p>
        </w:tc>
        <w:tc>
          <w:tcPr>
            <w:tcW w:w="3080" w:type="dxa"/>
            <w:vAlign w:val="bottom"/>
            <w:gridSpan w:val="7"/>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Specimen Class A Common Stock Certific</w:t>
              </w:r>
            </w:hyperlink>
          </w:p>
        </w:tc>
        <w:tc>
          <w:tcPr>
            <w:tcW w:w="20" w:type="dxa"/>
            <w:vAlign w:val="bottom"/>
            <w:tcBorders>
              <w:bottom w:val="single" w:sz="8" w:color="0000FF"/>
            </w:tcBorders>
          </w:tcPr>
          <w:p>
            <w:pPr>
              <w:spacing w:after="0"/>
              <w:rPr>
                <w:sz w:val="19"/>
                <w:szCs w:val="19"/>
                <w:color w:val="auto"/>
              </w:rPr>
            </w:pPr>
          </w:p>
        </w:tc>
        <w:tc>
          <w:tcPr>
            <w:tcW w:w="6660" w:type="dxa"/>
            <w:vAlign w:val="bottom"/>
            <w:tcBorders>
              <w:bottom w:val="single" w:sz="8" w:color="0000FF"/>
            </w:tcBorders>
            <w:gridSpan w:val="30"/>
          </w:tcPr>
          <w:p>
            <w:pPr>
              <w:jc w:val="right"/>
              <w:ind w:right="340"/>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ate (incorporated by reference to Exhibit 4.1 to the Company’s Current Report on Form</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156"/>
        </w:trPr>
        <w:tc>
          <w:tcPr>
            <w:tcW w:w="1600" w:type="dxa"/>
            <w:vAlign w:val="bottom"/>
          </w:tcPr>
          <w:p>
            <w:pPr>
              <w:spacing w:after="0"/>
              <w:rPr>
                <w:sz w:val="13"/>
                <w:szCs w:val="13"/>
                <w:color w:val="auto"/>
              </w:rPr>
            </w:pPr>
          </w:p>
        </w:tc>
        <w:tc>
          <w:tcPr>
            <w:tcW w:w="3100" w:type="dxa"/>
            <w:vAlign w:val="bottom"/>
            <w:tcBorders>
              <w:bottom w:val="single" w:sz="8" w:color="0000FF"/>
            </w:tcBorders>
            <w:gridSpan w:val="8"/>
          </w:tcPr>
          <w:p>
            <w:pPr>
              <w:spacing w:after="0" w:line="156" w:lineRule="exact"/>
              <w:rPr>
                <w:rFonts w:ascii="Arial" w:cs="Arial" w:eastAsia="Arial" w:hAnsi="Arial"/>
                <w:sz w:val="18"/>
                <w:szCs w:val="18"/>
                <w:color w:val="0000FF"/>
                <w:highlight w:val="white"/>
                <w:w w:val="91"/>
              </w:rPr>
            </w:pPr>
            <w:hyperlink r:id="rId28">
              <w:r>
                <w:rPr>
                  <w:rFonts w:ascii="Arial" w:cs="Arial" w:eastAsia="Arial" w:hAnsi="Arial"/>
                  <w:sz w:val="18"/>
                  <w:szCs w:val="18"/>
                  <w:color w:val="0000FF"/>
                  <w:highlight w:val="white"/>
                  <w:w w:val="91"/>
                </w:rPr>
                <w:t>8-K, filed with the SEC on June 30, 2021).</w:t>
              </w:r>
            </w:hyperlink>
          </w:p>
        </w:tc>
        <w:tc>
          <w:tcPr>
            <w:tcW w:w="6720" w:type="dxa"/>
            <w:vAlign w:val="bottom"/>
            <w:gridSpan w:val="33"/>
          </w:tcPr>
          <w:p>
            <w:pPr>
              <w:spacing w:after="0"/>
              <w:rPr>
                <w:sz w:val="13"/>
                <w:szCs w:val="13"/>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(d)(v)</w:t>
            </w:r>
          </w:p>
        </w:tc>
        <w:tc>
          <w:tcPr>
            <w:tcW w:w="9780" w:type="dxa"/>
            <w:vAlign w:val="bottom"/>
            <w:tcBorders>
              <w:bottom w:val="single" w:sz="8" w:color="0000FF"/>
            </w:tcBorders>
            <w:gridSpan w:val="39"/>
          </w:tcPr>
          <w:p>
            <w:pP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Warrant Agreement, dated September 24, 2020, by and between FinTech Acquisition Corp. IV and Continental Stock Transfer &amp;</w:t>
              </w:r>
            </w:hyperlink>
          </w:p>
        </w:tc>
        <w:tc>
          <w:tcPr>
            <w:tcW w:w="40" w:type="dxa"/>
            <w:vAlign w:val="bottom"/>
            <w:gridSpan w:val="2"/>
          </w:tcPr>
          <w:p>
            <w:pPr>
              <w:spacing w:after="0"/>
              <w:rPr>
                <w:sz w:val="19"/>
                <w:szCs w:val="19"/>
                <w:color w:val="auto"/>
              </w:rPr>
            </w:pPr>
          </w:p>
        </w:tc>
      </w:tr>
      <w:tr>
        <w:trPr>
          <w:trHeight w:val="156"/>
        </w:trPr>
        <w:tc>
          <w:tcPr>
            <w:tcW w:w="1600" w:type="dxa"/>
            <w:vAlign w:val="bottom"/>
          </w:tcPr>
          <w:p>
            <w:pPr>
              <w:spacing w:after="0"/>
              <w:rPr>
                <w:sz w:val="13"/>
                <w:szCs w:val="13"/>
                <w:color w:val="auto"/>
              </w:rPr>
            </w:pPr>
          </w:p>
        </w:tc>
        <w:tc>
          <w:tcPr>
            <w:tcW w:w="9780" w:type="dxa"/>
            <w:vAlign w:val="bottom"/>
            <w:gridSpan w:val="39"/>
          </w:tcPr>
          <w:p>
            <w:pPr>
              <w:spacing w:after="0" w:line="156" w:lineRule="exact"/>
              <w:rPr>
                <w:rFonts w:ascii="Arial" w:cs="Arial" w:eastAsia="Arial" w:hAnsi="Arial"/>
                <w:sz w:val="18"/>
                <w:szCs w:val="18"/>
                <w:color w:val="0000FF"/>
                <w:w w:val="98"/>
              </w:rPr>
            </w:pPr>
            <w:hyperlink r:id="rId29">
              <w:r>
                <w:rPr>
                  <w:rFonts w:ascii="Arial" w:cs="Arial" w:eastAsia="Arial" w:hAnsi="Arial"/>
                  <w:sz w:val="18"/>
                  <w:szCs w:val="18"/>
                  <w:color w:val="0000FF"/>
                  <w:w w:val="98"/>
                </w:rPr>
                <w:t>Trust Company (incorporated by reference to Exhibit 4.1 to FinTech Acquisition Corp. IV’s Current Report on Form 8-K, filed</w:t>
              </w:r>
            </w:hyperlink>
          </w:p>
        </w:tc>
        <w:tc>
          <w:tcPr>
            <w:tcW w:w="40" w:type="dxa"/>
            <w:vAlign w:val="bottom"/>
            <w:gridSpan w:val="2"/>
          </w:tcPr>
          <w:p>
            <w:pPr>
              <w:spacing w:after="0"/>
              <w:rPr>
                <w:sz w:val="13"/>
                <w:szCs w:val="13"/>
                <w:color w:val="auto"/>
              </w:rPr>
            </w:pPr>
          </w:p>
        </w:tc>
      </w:tr>
      <w:tr>
        <w:trPr>
          <w:trHeight w:val="169"/>
        </w:trPr>
        <w:tc>
          <w:tcPr>
            <w:tcW w:w="160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with the SEC on September 30, 2020).</w:t>
              </w:r>
            </w:hyperlink>
          </w:p>
        </w:tc>
        <w:tc>
          <w:tcPr>
            <w:tcW w:w="668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(d)(vi)</w:t>
            </w:r>
          </w:p>
        </w:tc>
        <w:tc>
          <w:tcPr>
            <w:tcW w:w="9820" w:type="dxa"/>
            <w:vAlign w:val="bottom"/>
            <w:gridSpan w:val="41"/>
          </w:tcPr>
          <w:p>
            <w:pPr>
              <w:spacing w:after="0"/>
              <w:rPr>
                <w:rFonts w:ascii="Arial" w:cs="Arial" w:eastAsia="Arial" w:hAnsi="Arial"/>
                <w:sz w:val="18"/>
                <w:szCs w:val="18"/>
                <w:color w:val="0000FF"/>
                <w:w w:val="99"/>
              </w:rPr>
            </w:pPr>
            <w:hyperlink r:id="rId30">
              <w:r>
                <w:rPr>
                  <w:rFonts w:ascii="Arial" w:cs="Arial" w:eastAsia="Arial" w:hAnsi="Arial"/>
                  <w:sz w:val="18"/>
                  <w:szCs w:val="18"/>
                  <w:color w:val="0000FF"/>
                  <w:w w:val="99"/>
                </w:rPr>
                <w:t>Amendment to Warrant Agreement, dated November 10, 2021, by and among Perella Weinberg Partners, Continental Stock</w:t>
              </w:r>
            </w:hyperlink>
          </w:p>
        </w:tc>
      </w:tr>
      <w:tr>
        <w:trPr>
          <w:trHeight w:val="162"/>
        </w:trPr>
        <w:tc>
          <w:tcPr>
            <w:tcW w:w="1600" w:type="dxa"/>
            <w:vAlign w:val="bottom"/>
          </w:tcPr>
          <w:p>
            <w:pPr>
              <w:spacing w:after="0"/>
              <w:rPr>
                <w:sz w:val="14"/>
                <w:szCs w:val="14"/>
                <w:color w:val="auto"/>
              </w:rPr>
            </w:pPr>
          </w:p>
        </w:tc>
        <w:tc>
          <w:tcPr>
            <w:tcW w:w="9820" w:type="dxa"/>
            <w:vAlign w:val="bottom"/>
            <w:gridSpan w:val="41"/>
          </w:tcPr>
          <w:p>
            <w:pPr>
              <w:spacing w:after="0" w:line="162" w:lineRule="exact"/>
              <w:rPr>
                <w:rFonts w:ascii="Arial" w:cs="Arial" w:eastAsia="Arial" w:hAnsi="Arial"/>
                <w:sz w:val="18"/>
                <w:szCs w:val="18"/>
                <w:color w:val="0000FF"/>
                <w:highlight w:val="white"/>
                <w:w w:val="96"/>
              </w:rPr>
            </w:pPr>
            <w:hyperlink r:id="rId30">
              <w:r>
                <w:rPr>
                  <w:rFonts w:ascii="Arial" w:cs="Arial" w:eastAsia="Arial" w:hAnsi="Arial"/>
                  <w:sz w:val="18"/>
                  <w:szCs w:val="18"/>
                  <w:color w:val="0000FF"/>
                  <w:highlight w:val="white"/>
                  <w:w w:val="96"/>
                </w:rPr>
                <w:t>Transfer &amp; Trust Company and American Stock Transfer &amp; Trust Company, LLC (incorporated by reference to Exhibit 4.3 to the</w:t>
              </w:r>
            </w:hyperlink>
          </w:p>
        </w:tc>
      </w:tr>
      <w:tr>
        <w:trPr>
          <w:trHeight w:val="169"/>
        </w:trPr>
        <w:tc>
          <w:tcPr>
            <w:tcW w:w="1600" w:type="dxa"/>
            <w:vAlign w:val="bottom"/>
          </w:tcPr>
          <w:p>
            <w:pPr>
              <w:spacing w:after="0"/>
              <w:rPr>
                <w:sz w:val="14"/>
                <w:szCs w:val="14"/>
                <w:color w:val="auto"/>
              </w:rPr>
            </w:pPr>
          </w:p>
        </w:tc>
        <w:tc>
          <w:tcPr>
            <w:tcW w:w="9740" w:type="dxa"/>
            <w:vAlign w:val="bottom"/>
            <w:tcBorders>
              <w:top w:val="single" w:sz="8" w:color="0000FF"/>
            </w:tcBorders>
            <w:gridSpan w:val="37"/>
          </w:tcPr>
          <w:p>
            <w:pPr>
              <w:spacing w:after="0" w:line="169" w:lineRule="exact"/>
              <w:rPr>
                <w:rFonts w:ascii="Arial" w:cs="Arial" w:eastAsia="Arial" w:hAnsi="Arial"/>
                <w:sz w:val="18"/>
                <w:szCs w:val="18"/>
                <w:color w:val="0000FF"/>
                <w:highlight w:val="white"/>
              </w:rPr>
            </w:pPr>
            <w:hyperlink r:id="rId30">
              <w:r>
                <w:rPr>
                  <w:rFonts w:ascii="Arial" w:cs="Arial" w:eastAsia="Arial" w:hAnsi="Arial"/>
                  <w:sz w:val="18"/>
                  <w:szCs w:val="18"/>
                  <w:color w:val="0000FF"/>
                  <w:highlight w:val="white"/>
                </w:rPr>
                <w:t>Company's Registration Statement on Form S-1 (File No. 333-261785) filed with the SEC on December 21, 2021.</w:t>
              </w:r>
            </w:hyperlink>
          </w:p>
        </w:tc>
        <w:tc>
          <w:tcPr>
            <w:tcW w:w="80" w:type="dxa"/>
            <w:vAlign w:val="bottom"/>
            <w:gridSpan w:val="4"/>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(d)(vii)</w:t>
            </w:r>
          </w:p>
        </w:tc>
        <w:tc>
          <w:tcPr>
            <w:tcW w:w="9480" w:type="dxa"/>
            <w:vAlign w:val="bottom"/>
            <w:tcBorders>
              <w:bottom w:val="single" w:sz="8" w:color="0000FF"/>
            </w:tcBorders>
            <w:gridSpan w:val="24"/>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Form of Subscription Agreement (incorporated by reference to Exhibit 10.1 to FinTech Acquisition Corp. IV’s Current Report on</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5"/>
          </w:tcPr>
          <w:p>
            <w:pPr>
              <w:spacing w:after="0"/>
              <w:rPr>
                <w:sz w:val="18"/>
                <w:szCs w:val="18"/>
                <w:color w:val="auto"/>
              </w:rPr>
            </w:pPr>
          </w:p>
        </w:tc>
      </w:tr>
      <w:tr>
        <w:trPr>
          <w:trHeight w:val="155"/>
        </w:trPr>
        <w:tc>
          <w:tcPr>
            <w:tcW w:w="1600" w:type="dxa"/>
            <w:vAlign w:val="bottom"/>
          </w:tcPr>
          <w:p>
            <w:pPr>
              <w:spacing w:after="0"/>
              <w:rPr>
                <w:sz w:val="13"/>
                <w:szCs w:val="13"/>
                <w:color w:val="auto"/>
              </w:rPr>
            </w:pPr>
          </w:p>
        </w:tc>
        <w:tc>
          <w:tcPr>
            <w:tcW w:w="9480" w:type="dxa"/>
            <w:vAlign w:val="bottom"/>
            <w:gridSpan w:val="24"/>
          </w:tcPr>
          <w:p>
            <w:pPr>
              <w:spacing w:after="0" w:line="156" w:lineRule="exact"/>
              <w:rPr>
                <w:rFonts w:ascii="Arial" w:cs="Arial" w:eastAsia="Arial" w:hAnsi="Arial"/>
                <w:sz w:val="18"/>
                <w:szCs w:val="18"/>
                <w:color w:val="0000FF"/>
              </w:rPr>
            </w:pPr>
            <w:hyperlink r:id="rId31">
              <w:r>
                <w:rPr>
                  <w:rFonts w:ascii="Arial" w:cs="Arial" w:eastAsia="Arial" w:hAnsi="Arial"/>
                  <w:sz w:val="18"/>
                  <w:szCs w:val="18"/>
                  <w:color w:val="0000FF"/>
                </w:rPr>
                <w:t>Form 8-K/A, filed with the SEC on December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(d)(viii)</w:t>
            </w:r>
          </w:p>
        </w:tc>
        <w:tc>
          <w:tcPr>
            <w:tcW w:w="9580" w:type="dxa"/>
            <w:vAlign w:val="bottom"/>
            <w:tcBorders>
              <w:bottom w:val="single" w:sz="8" w:color="0000FF"/>
            </w:tcBorders>
            <w:gridSpan w:val="29"/>
          </w:tcPr>
          <w:p>
            <w:pPr>
              <w:spacing w:after="0"/>
              <w:rPr>
                <w:rFonts w:ascii="Arial" w:cs="Arial" w:eastAsia="Arial" w:hAnsi="Arial"/>
                <w:sz w:val="18"/>
                <w:szCs w:val="18"/>
                <w:color w:val="0000FF"/>
                <w:w w:val="96"/>
              </w:rPr>
            </w:pPr>
            <w:hyperlink r:id="rId32">
              <w:r>
                <w:rPr>
                  <w:rFonts w:ascii="Arial" w:cs="Arial" w:eastAsia="Arial" w:hAnsi="Arial"/>
                  <w:sz w:val="18"/>
                  <w:szCs w:val="18"/>
                  <w:color w:val="0000FF"/>
                  <w:w w:val="96"/>
                </w:rPr>
                <w:t>Amended and Restated Registration Rights Agreement, dated June 24, 2021, by and among the Company, FinTech Investor</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r>
      <w:tr>
        <w:trPr>
          <w:trHeight w:val="155"/>
        </w:trPr>
        <w:tc>
          <w:tcPr>
            <w:tcW w:w="1600" w:type="dxa"/>
            <w:vAlign w:val="bottom"/>
          </w:tcPr>
          <w:p>
            <w:pPr>
              <w:spacing w:after="0"/>
              <w:rPr>
                <w:sz w:val="13"/>
                <w:szCs w:val="13"/>
                <w:color w:val="auto"/>
              </w:rPr>
            </w:pPr>
          </w:p>
        </w:tc>
        <w:tc>
          <w:tcPr>
            <w:tcW w:w="9820" w:type="dxa"/>
            <w:vAlign w:val="bottom"/>
            <w:gridSpan w:val="41"/>
          </w:tcPr>
          <w:p>
            <w:pPr>
              <w:spacing w:after="0" w:line="156" w:lineRule="exact"/>
              <w:rPr>
                <w:rFonts w:ascii="Arial" w:cs="Arial" w:eastAsia="Arial" w:hAnsi="Arial"/>
                <w:sz w:val="18"/>
                <w:szCs w:val="18"/>
                <w:color w:val="0000FF"/>
                <w:w w:val="97"/>
              </w:rPr>
            </w:pPr>
            <w:hyperlink r:id="rId32">
              <w:r>
                <w:rPr>
                  <w:rFonts w:ascii="Arial" w:cs="Arial" w:eastAsia="Arial" w:hAnsi="Arial"/>
                  <w:sz w:val="18"/>
                  <w:szCs w:val="18"/>
                  <w:color w:val="0000FF"/>
                  <w:w w:val="97"/>
                </w:rPr>
                <w:t>Holdings IV, LLC, FinTech Masala Advisors, LLC and the other Holders party thereto (incorporated by reference to Exhibit 10.1</w:t>
              </w:r>
            </w:hyperlink>
          </w:p>
        </w:tc>
      </w:tr>
      <w:tr>
        <w:trPr>
          <w:trHeight w:val="169"/>
        </w:trPr>
        <w:tc>
          <w:tcPr>
            <w:tcW w:w="1600" w:type="dxa"/>
            <w:vAlign w:val="bottom"/>
          </w:tcPr>
          <w:p>
            <w:pPr>
              <w:spacing w:after="0"/>
              <w:rPr>
                <w:sz w:val="14"/>
                <w:szCs w:val="14"/>
                <w:color w:val="auto"/>
              </w:rPr>
            </w:pPr>
          </w:p>
        </w:tc>
        <w:tc>
          <w:tcPr>
            <w:tcW w:w="974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32">
              <w:r>
                <w:rPr>
                  <w:rFonts w:ascii="Arial" w:cs="Arial" w:eastAsia="Arial" w:hAnsi="Arial"/>
                  <w:sz w:val="18"/>
                  <w:szCs w:val="18"/>
                  <w:color w:val="0000FF"/>
                </w:rPr>
                <w:t>to the Company’s Current Report on Form 8-K, filed with the SEC on June 30, 2021).</w:t>
              </w:r>
            </w:hyperlink>
          </w:p>
        </w:tc>
        <w:tc>
          <w:tcPr>
            <w:tcW w:w="80" w:type="dxa"/>
            <w:vAlign w:val="bottom"/>
            <w:gridSpan w:val="4"/>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40" w:type="dxa"/>
            <w:vAlign w:val="bottom"/>
            <w:gridSpan w:val="8"/>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(d)(ix)</w:t>
            </w:r>
          </w:p>
        </w:tc>
        <w:tc>
          <w:tcPr>
            <w:tcW w:w="9720" w:type="dxa"/>
            <w:vAlign w:val="bottom"/>
            <w:tcBorders>
              <w:bottom w:val="single" w:sz="8" w:color="0000FF"/>
            </w:tcBorders>
            <w:gridSpan w:val="36"/>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Stockholders Agreement, dated June 24, 2021, by and between the Company and PWP Professional Partners LP (incorporated by</w:t>
              </w:r>
            </w:hyperlink>
          </w:p>
        </w:tc>
        <w:tc>
          <w:tcPr>
            <w:tcW w:w="100" w:type="dxa"/>
            <w:vAlign w:val="bottom"/>
            <w:gridSpan w:val="5"/>
          </w:tcPr>
          <w:p>
            <w:pPr>
              <w:spacing w:after="0"/>
              <w:rPr>
                <w:sz w:val="18"/>
                <w:szCs w:val="18"/>
                <w:color w:val="auto"/>
              </w:rPr>
            </w:pPr>
          </w:p>
        </w:tc>
      </w:tr>
      <w:tr>
        <w:trPr>
          <w:trHeight w:val="156"/>
        </w:trPr>
        <w:tc>
          <w:tcPr>
            <w:tcW w:w="1600" w:type="dxa"/>
            <w:vAlign w:val="bottom"/>
          </w:tcPr>
          <w:p>
            <w:pPr>
              <w:spacing w:after="0"/>
              <w:rPr>
                <w:sz w:val="13"/>
                <w:szCs w:val="13"/>
                <w:color w:val="auto"/>
              </w:rPr>
            </w:pPr>
          </w:p>
        </w:tc>
        <w:tc>
          <w:tcPr>
            <w:tcW w:w="8020" w:type="dxa"/>
            <w:vAlign w:val="bottom"/>
            <w:tcBorders>
              <w:bottom w:val="single" w:sz="8" w:color="0000FF"/>
            </w:tcBorders>
            <w:gridSpan w:val="16"/>
          </w:tcPr>
          <w:p>
            <w:pPr>
              <w:spacing w:after="0" w:line="15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reference to Exhibit 10.3 to the Company’s Current Report on Form 8-K, filed with the SEC on June 30, 2021).</w:t>
              </w:r>
            </w:hyperlink>
          </w:p>
        </w:tc>
        <w:tc>
          <w:tcPr>
            <w:tcW w:w="1700" w:type="dxa"/>
            <w:vAlign w:val="bottom"/>
            <w:gridSpan w:val="20"/>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(d)(x)</w:t>
            </w:r>
          </w:p>
        </w:tc>
        <w:tc>
          <w:tcPr>
            <w:tcW w:w="9520" w:type="dxa"/>
            <w:vAlign w:val="bottom"/>
            <w:tcBorders>
              <w:bottom w:val="single" w:sz="8" w:color="0000FF"/>
            </w:tcBorders>
            <w:gridSpan w:val="26"/>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Tax Receivable Agreement, dated June 24, 2021, by and between the Company, PWP Holdings LP, PWP Professional Partners LP</w:t>
              </w:r>
            </w:hyperlink>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120" w:type="dxa"/>
            <w:vAlign w:val="bottom"/>
            <w:gridSpan w:val="6"/>
          </w:tcPr>
          <w:p>
            <w:pPr>
              <w:spacing w:after="0"/>
              <w:rPr>
                <w:sz w:val="19"/>
                <w:szCs w:val="19"/>
                <w:color w:val="auto"/>
              </w:rPr>
            </w:pPr>
          </w:p>
        </w:tc>
      </w:tr>
      <w:tr>
        <w:trPr>
          <w:trHeight w:val="155"/>
        </w:trPr>
        <w:tc>
          <w:tcPr>
            <w:tcW w:w="1600" w:type="dxa"/>
            <w:vAlign w:val="bottom"/>
          </w:tcPr>
          <w:p>
            <w:pPr>
              <w:spacing w:after="0"/>
              <w:rPr>
                <w:sz w:val="13"/>
                <w:szCs w:val="13"/>
                <w:color w:val="auto"/>
              </w:rPr>
            </w:pPr>
          </w:p>
        </w:tc>
        <w:tc>
          <w:tcPr>
            <w:tcW w:w="9820" w:type="dxa"/>
            <w:vAlign w:val="bottom"/>
            <w:gridSpan w:val="41"/>
          </w:tcPr>
          <w:p>
            <w:pPr>
              <w:spacing w:after="0" w:line="15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and certain partners party thereto (incorporated by reference to Exhibit 10.2 to the Company’s Current Report on Form 8-K, filed</w:t>
              </w:r>
            </w:hyperlink>
          </w:p>
        </w:tc>
      </w:tr>
      <w:tr>
        <w:trPr>
          <w:trHeight w:val="169"/>
        </w:trPr>
        <w:tc>
          <w:tcPr>
            <w:tcW w:w="160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with the SEC on June 30, 2021).</w:t>
              </w:r>
            </w:hyperlink>
          </w:p>
        </w:tc>
        <w:tc>
          <w:tcPr>
            <w:tcW w:w="7420" w:type="dxa"/>
            <w:vAlign w:val="bottom"/>
            <w:tcBorders>
              <w:top w:val="single" w:sz="8" w:color="0000FF"/>
            </w:tcBorders>
            <w:gridSpan w:val="3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(d)(xi)</w:t>
            </w:r>
          </w:p>
        </w:tc>
        <w:tc>
          <w:tcPr>
            <w:tcW w:w="9500" w:type="dxa"/>
            <w:vAlign w:val="bottom"/>
            <w:tcBorders>
              <w:bottom w:val="single" w:sz="8" w:color="0000FF"/>
            </w:tcBorders>
            <w:gridSpan w:val="25"/>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Sponsor Share Surrender and Share Restriction Agreement, dated as of December 29, 2020, by and among PWP Holdings LP,</w:t>
              </w:r>
            </w:hyperlink>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120" w:type="dxa"/>
            <w:vAlign w:val="bottom"/>
            <w:gridSpan w:val="6"/>
          </w:tcPr>
          <w:p>
            <w:pPr>
              <w:spacing w:after="0"/>
              <w:rPr>
                <w:sz w:val="18"/>
                <w:szCs w:val="18"/>
                <w:color w:val="auto"/>
              </w:rPr>
            </w:pPr>
          </w:p>
        </w:tc>
      </w:tr>
      <w:tr>
        <w:trPr>
          <w:trHeight w:val="156"/>
        </w:trPr>
        <w:tc>
          <w:tcPr>
            <w:tcW w:w="1600" w:type="dxa"/>
            <w:vAlign w:val="bottom"/>
          </w:tcPr>
          <w:p>
            <w:pPr>
              <w:spacing w:after="0"/>
              <w:rPr>
                <w:sz w:val="13"/>
                <w:szCs w:val="13"/>
                <w:color w:val="auto"/>
              </w:rPr>
            </w:pPr>
          </w:p>
        </w:tc>
        <w:tc>
          <w:tcPr>
            <w:tcW w:w="9820" w:type="dxa"/>
            <w:vAlign w:val="bottom"/>
            <w:gridSpan w:val="41"/>
          </w:tcPr>
          <w:p>
            <w:pPr>
              <w:spacing w:after="0" w:line="156" w:lineRule="exact"/>
              <w:rPr>
                <w:rFonts w:ascii="Arial" w:cs="Arial" w:eastAsia="Arial" w:hAnsi="Arial"/>
                <w:sz w:val="18"/>
                <w:szCs w:val="18"/>
                <w:color w:val="0000FF"/>
                <w:w w:val="98"/>
              </w:rPr>
            </w:pPr>
            <w:hyperlink r:id="rId35">
              <w:r>
                <w:rPr>
                  <w:rFonts w:ascii="Arial" w:cs="Arial" w:eastAsia="Arial" w:hAnsi="Arial"/>
                  <w:sz w:val="18"/>
                  <w:szCs w:val="18"/>
                  <w:color w:val="0000FF"/>
                  <w:w w:val="98"/>
                </w:rPr>
                <w:t>FinTech Acquisition Corp. IV, FinTech Investor Holdings IV, LLC, FinTech Masala Advisors, LLC and the other parties thereto</w:t>
              </w:r>
            </w:hyperlink>
          </w:p>
        </w:tc>
      </w:tr>
      <w:tr>
        <w:trPr>
          <w:trHeight w:val="169"/>
        </w:trPr>
        <w:tc>
          <w:tcPr>
            <w:tcW w:w="160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27"/>
          </w:tcPr>
          <w:p>
            <w:pPr>
              <w:spacing w:after="0" w:line="169" w:lineRule="exact"/>
              <w:rPr>
                <w:rFonts w:ascii="Arial" w:cs="Arial" w:eastAsia="Arial" w:hAnsi="Arial"/>
                <w:sz w:val="18"/>
                <w:szCs w:val="18"/>
                <w:color w:val="0000FF"/>
                <w:w w:val="95"/>
              </w:rPr>
            </w:pPr>
            <w:hyperlink r:id="rId35">
              <w:r>
                <w:rPr>
                  <w:rFonts w:ascii="Arial" w:cs="Arial" w:eastAsia="Arial" w:hAnsi="Arial"/>
                  <w:sz w:val="18"/>
                  <w:szCs w:val="18"/>
                  <w:color w:val="0000FF"/>
                  <w:w w:val="95"/>
                </w:rPr>
                <w:t>(incorporated by reference to Exhibit 10.5 to FinTech Acquisition Corp. IV’s Current Report on Form 8-K/A, filed with the SEC</w:t>
              </w:r>
            </w:hyperlink>
          </w:p>
        </w:tc>
        <w:tc>
          <w:tcPr>
            <w:tcW w:w="60" w:type="dxa"/>
            <w:vAlign w:val="bottom"/>
            <w:tcBorders>
              <w:bottom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600" w:type="dxa"/>
            <w:vAlign w:val="bottom"/>
          </w:tcPr>
          <w:p>
            <w:pPr>
              <w:spacing w:after="0"/>
              <w:rPr>
                <w:sz w:val="13"/>
                <w:szCs w:val="13"/>
                <w:color w:val="auto"/>
              </w:rPr>
            </w:pPr>
          </w:p>
        </w:tc>
        <w:tc>
          <w:tcPr>
            <w:tcW w:w="9600" w:type="dxa"/>
            <w:vAlign w:val="bottom"/>
            <w:gridSpan w:val="30"/>
          </w:tcPr>
          <w:p>
            <w:pPr>
              <w:spacing w:after="0" w:line="156" w:lineRule="exact"/>
              <w:rPr>
                <w:rFonts w:ascii="Arial" w:cs="Arial" w:eastAsia="Arial" w:hAnsi="Arial"/>
                <w:sz w:val="18"/>
                <w:szCs w:val="18"/>
                <w:color w:val="0000FF"/>
              </w:rPr>
            </w:pPr>
            <w:hyperlink r:id="rId35">
              <w:r>
                <w:rPr>
                  <w:rFonts w:ascii="Arial" w:cs="Arial" w:eastAsia="Arial" w:hAnsi="Arial"/>
                  <w:sz w:val="18"/>
                  <w:szCs w:val="18"/>
                  <w:color w:val="0000FF"/>
                </w:rPr>
                <w:t>on December 31, 2020).</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38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(d)(xii)</w:t>
            </w:r>
          </w:p>
        </w:tc>
        <w:tc>
          <w:tcPr>
            <w:tcW w:w="964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Amendment to Sponsor Share Surrender and Share Restriction Agreement, dated as of May 4, 2021, by and among PWP Holdings</w:t>
              </w:r>
            </w:hyperlink>
          </w:p>
        </w:tc>
        <w:tc>
          <w:tcPr>
            <w:tcW w:w="60" w:type="dxa"/>
            <w:vAlign w:val="bottom"/>
            <w:gridSpan w:val="3"/>
          </w:tcPr>
          <w:p>
            <w:pPr>
              <w:spacing w:after="0"/>
              <w:rPr>
                <w:sz w:val="18"/>
                <w:szCs w:val="18"/>
                <w:color w:val="auto"/>
              </w:rPr>
            </w:pPr>
          </w:p>
        </w:tc>
        <w:tc>
          <w:tcPr>
            <w:tcW w:w="120" w:type="dxa"/>
            <w:vAlign w:val="bottom"/>
            <w:gridSpan w:val="6"/>
          </w:tcPr>
          <w:p>
            <w:pPr>
              <w:spacing w:after="0"/>
              <w:rPr>
                <w:sz w:val="18"/>
                <w:szCs w:val="18"/>
                <w:color w:val="auto"/>
              </w:rPr>
            </w:pPr>
          </w:p>
        </w:tc>
      </w:tr>
      <w:tr>
        <w:trPr>
          <w:trHeight w:val="155"/>
        </w:trPr>
        <w:tc>
          <w:tcPr>
            <w:tcW w:w="1600" w:type="dxa"/>
            <w:vAlign w:val="bottom"/>
          </w:tcPr>
          <w:p>
            <w:pPr>
              <w:spacing w:after="0"/>
              <w:rPr>
                <w:sz w:val="13"/>
                <w:szCs w:val="13"/>
                <w:color w:val="auto"/>
              </w:rPr>
            </w:pPr>
          </w:p>
        </w:tc>
        <w:tc>
          <w:tcPr>
            <w:tcW w:w="9820" w:type="dxa"/>
            <w:vAlign w:val="bottom"/>
            <w:gridSpan w:val="41"/>
          </w:tcPr>
          <w:p>
            <w:pPr>
              <w:spacing w:after="0" w:line="156" w:lineRule="exact"/>
              <w:rPr>
                <w:rFonts w:ascii="Arial" w:cs="Arial" w:eastAsia="Arial" w:hAnsi="Arial"/>
                <w:sz w:val="18"/>
                <w:szCs w:val="18"/>
                <w:color w:val="0000FF"/>
              </w:rPr>
            </w:pPr>
            <w:hyperlink r:id="rId36">
              <w:r>
                <w:rPr>
                  <w:rFonts w:ascii="Arial" w:cs="Arial" w:eastAsia="Arial" w:hAnsi="Arial"/>
                  <w:sz w:val="18"/>
                  <w:szCs w:val="18"/>
                  <w:color w:val="0000FF"/>
                </w:rPr>
                <w:t>LP, FinTech Acquisition Corp. IV, FinTech Investor Holdings IV, LLC, FinTech Masala Advisors, LLC and the other parties</w:t>
              </w:r>
            </w:hyperlink>
          </w:p>
        </w:tc>
      </w:tr>
      <w:tr>
        <w:trPr>
          <w:trHeight w:val="169"/>
        </w:trPr>
        <w:tc>
          <w:tcPr>
            <w:tcW w:w="1600" w:type="dxa"/>
            <w:vAlign w:val="bottom"/>
          </w:tcPr>
          <w:p>
            <w:pPr>
              <w:spacing w:after="0"/>
              <w:rPr>
                <w:sz w:val="14"/>
                <w:szCs w:val="14"/>
                <w:color w:val="auto"/>
              </w:rPr>
            </w:pPr>
          </w:p>
        </w:tc>
        <w:tc>
          <w:tcPr>
            <w:tcW w:w="9700" w:type="dxa"/>
            <w:vAlign w:val="bottom"/>
            <w:tcBorders>
              <w:top w:val="single" w:sz="8" w:color="0000FF"/>
            </w:tcBorders>
            <w:gridSpan w:val="35"/>
          </w:tcPr>
          <w:p>
            <w:pPr>
              <w:spacing w:after="0" w:line="169"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thereto (incorporated by reference to FinTech Acquisition Corp. IV’s definitive proxy statement, filed with the SEC on May 27,</w:t>
              </w:r>
            </w:hyperlink>
          </w:p>
        </w:tc>
        <w:tc>
          <w:tcPr>
            <w:tcW w:w="120" w:type="dxa"/>
            <w:vAlign w:val="bottom"/>
            <w:gridSpan w:val="6"/>
          </w:tcPr>
          <w:p>
            <w:pPr>
              <w:spacing w:after="0"/>
              <w:rPr>
                <w:sz w:val="14"/>
                <w:szCs w:val="14"/>
                <w:color w:val="auto"/>
              </w:rPr>
            </w:pPr>
          </w:p>
        </w:tc>
      </w:tr>
      <w:tr>
        <w:trPr>
          <w:trHeight w:val="155"/>
        </w:trPr>
        <w:tc>
          <w:tcPr>
            <w:tcW w:w="16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36">
              <w:r>
                <w:rPr>
                  <w:rFonts w:ascii="Arial" w:cs="Arial" w:eastAsia="Arial" w:hAnsi="Arial"/>
                  <w:sz w:val="18"/>
                  <w:szCs w:val="18"/>
                  <w:color w:val="0000FF"/>
                  <w:w w:val="86"/>
                </w:rPr>
                <w:t>2021).</w:t>
              </w:r>
            </w:hyperlink>
          </w:p>
        </w:tc>
        <w:tc>
          <w:tcPr>
            <w:tcW w:w="12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(d)(xiii)</w:t>
            </w:r>
          </w:p>
        </w:tc>
        <w:tc>
          <w:tcPr>
            <w:tcW w:w="940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Amended and Restated Agreement of Limited Partnership of PWP Holdings LP, dated as of June 24, 2021, by and among PWP</w:t>
              </w:r>
            </w:hyperlink>
          </w:p>
        </w:tc>
        <w:tc>
          <w:tcPr>
            <w:tcW w:w="40" w:type="dxa"/>
            <w:vAlign w:val="bottom"/>
            <w:gridSpan w:val="2"/>
          </w:tcPr>
          <w:p>
            <w:pPr>
              <w:spacing w:after="0"/>
              <w:rPr>
                <w:sz w:val="18"/>
                <w:szCs w:val="18"/>
                <w:color w:val="auto"/>
              </w:rPr>
            </w:pPr>
          </w:p>
        </w:tc>
        <w:tc>
          <w:tcPr>
            <w:tcW w:w="380" w:type="dxa"/>
            <w:vAlign w:val="bottom"/>
            <w:gridSpan w:val="19"/>
          </w:tcPr>
          <w:p>
            <w:pPr>
              <w:spacing w:after="0"/>
              <w:rPr>
                <w:sz w:val="18"/>
                <w:szCs w:val="18"/>
                <w:color w:val="auto"/>
              </w:rPr>
            </w:pPr>
          </w:p>
        </w:tc>
      </w:tr>
      <w:tr>
        <w:trPr>
          <w:trHeight w:val="155"/>
        </w:trPr>
        <w:tc>
          <w:tcPr>
            <w:tcW w:w="1600" w:type="dxa"/>
            <w:vAlign w:val="bottom"/>
          </w:tcPr>
          <w:p>
            <w:pPr>
              <w:spacing w:after="0"/>
              <w:rPr>
                <w:sz w:val="13"/>
                <w:szCs w:val="13"/>
                <w:color w:val="auto"/>
              </w:rPr>
            </w:pPr>
          </w:p>
        </w:tc>
        <w:tc>
          <w:tcPr>
            <w:tcW w:w="9820" w:type="dxa"/>
            <w:vAlign w:val="bottom"/>
            <w:gridSpan w:val="41"/>
          </w:tcPr>
          <w:p>
            <w:pPr>
              <w:spacing w:after="0" w:line="15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GP LLC, the Company, PWP Professional Partners LP, and the other limited partners party thereto (incorporated by reference to</w:t>
              </w:r>
            </w:hyperlink>
          </w:p>
        </w:tc>
      </w:tr>
      <w:tr>
        <w:trPr>
          <w:trHeight w:val="169"/>
        </w:trPr>
        <w:tc>
          <w:tcPr>
            <w:tcW w:w="1600" w:type="dxa"/>
            <w:vAlign w:val="bottom"/>
          </w:tcPr>
          <w:p>
            <w:pPr>
              <w:spacing w:after="0"/>
              <w:rPr>
                <w:sz w:val="14"/>
                <w:szCs w:val="14"/>
                <w:color w:val="auto"/>
              </w:rPr>
            </w:pPr>
          </w:p>
        </w:tc>
        <w:tc>
          <w:tcPr>
            <w:tcW w:w="9660" w:type="dxa"/>
            <w:vAlign w:val="bottom"/>
            <w:tcBorders>
              <w:top w:val="single" w:sz="8" w:color="0000FF"/>
            </w:tcBorders>
            <w:gridSpan w:val="33"/>
          </w:tcPr>
          <w:p>
            <w:pPr>
              <w:spacing w:after="0" w:line="169" w:lineRule="exact"/>
              <w:rPr>
                <w:rFonts w:ascii="Arial" w:cs="Arial" w:eastAsia="Arial" w:hAnsi="Arial"/>
                <w:sz w:val="18"/>
                <w:szCs w:val="18"/>
                <w:color w:val="0000FF"/>
              </w:rPr>
            </w:pPr>
            <w:hyperlink r:id="rId37">
              <w:r>
                <w:rPr>
                  <w:rFonts w:ascii="Arial" w:cs="Arial" w:eastAsia="Arial" w:hAnsi="Arial"/>
                  <w:sz w:val="18"/>
                  <w:szCs w:val="18"/>
                  <w:color w:val="0000FF"/>
                </w:rPr>
                <w:t>Exhibit 10.4 to the Company’s Current Report on Form 8-K, filed with the SEC on June 30, 2021).</w:t>
              </w:r>
            </w:hyperlink>
          </w:p>
        </w:tc>
        <w:tc>
          <w:tcPr>
            <w:tcW w:w="160" w:type="dxa"/>
            <w:vAlign w:val="bottom"/>
            <w:gridSpan w:val="8"/>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7120" w:type="dxa"/>
            <w:vAlign w:val="bottom"/>
            <w:gridSpan w:val="1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380" w:type="dxa"/>
            <w:vAlign w:val="bottom"/>
            <w:gridSpan w:val="19"/>
          </w:tcPr>
          <w:p>
            <w:pPr>
              <w:spacing w:after="0" w:line="20" w:lineRule="exact"/>
              <w:rPr>
                <w:sz w:val="1"/>
                <w:szCs w:val="1"/>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(d)(xiv)</w:t>
            </w:r>
          </w:p>
        </w:tc>
        <w:tc>
          <w:tcPr>
            <w:tcW w:w="7300" w:type="dxa"/>
            <w:vAlign w:val="bottom"/>
            <w:gridSpan w:val="15"/>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Amended and Restated Limited Liability Company Agreement of PWP GP LLC, dated June 24, 202</w:t>
              </w:r>
            </w:hyperlink>
          </w:p>
        </w:tc>
        <w:tc>
          <w:tcPr>
            <w:tcW w:w="2140" w:type="dxa"/>
            <w:vAlign w:val="bottom"/>
            <w:tcBorders>
              <w:bottom w:val="single" w:sz="8" w:color="0000FF"/>
            </w:tcBorders>
            <w:gridSpan w:val="7"/>
          </w:tcPr>
          <w:p>
            <w:pPr>
              <w:jc w:val="right"/>
              <w:ind w:right="40"/>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1 (incorporated by reference</w:t>
              </w:r>
            </w:hyperlink>
          </w:p>
        </w:tc>
        <w:tc>
          <w:tcPr>
            <w:tcW w:w="380" w:type="dxa"/>
            <w:vAlign w:val="bottom"/>
            <w:gridSpan w:val="19"/>
          </w:tcPr>
          <w:p>
            <w:pPr>
              <w:spacing w:after="0"/>
              <w:rPr>
                <w:sz w:val="18"/>
                <w:szCs w:val="18"/>
                <w:color w:val="auto"/>
              </w:rPr>
            </w:pPr>
          </w:p>
        </w:tc>
      </w:tr>
      <w:tr>
        <w:trPr>
          <w:trHeight w:val="155"/>
        </w:trPr>
        <w:tc>
          <w:tcPr>
            <w:tcW w:w="1600" w:type="dxa"/>
            <w:vAlign w:val="bottom"/>
          </w:tcPr>
          <w:p>
            <w:pPr>
              <w:spacing w:after="0"/>
              <w:rPr>
                <w:sz w:val="13"/>
                <w:szCs w:val="13"/>
                <w:color w:val="auto"/>
              </w:rPr>
            </w:pPr>
          </w:p>
        </w:tc>
        <w:tc>
          <w:tcPr>
            <w:tcW w:w="7300" w:type="dxa"/>
            <w:vAlign w:val="bottom"/>
            <w:tcBorders>
              <w:bottom w:val="single" w:sz="8" w:color="0000FF"/>
            </w:tcBorders>
            <w:gridSpan w:val="15"/>
          </w:tcPr>
          <w:p>
            <w:pPr>
              <w:spacing w:after="0" w:line="156" w:lineRule="exact"/>
              <w:rPr>
                <w:rFonts w:ascii="Arial" w:cs="Arial" w:eastAsia="Arial" w:hAnsi="Arial"/>
                <w:sz w:val="18"/>
                <w:szCs w:val="18"/>
                <w:color w:val="0000FF"/>
                <w:highlight w:val="white"/>
                <w:w w:val="91"/>
              </w:rPr>
            </w:pPr>
            <w:hyperlink r:id="rId38">
              <w:r>
                <w:rPr>
                  <w:rFonts w:ascii="Arial" w:cs="Arial" w:eastAsia="Arial" w:hAnsi="Arial"/>
                  <w:sz w:val="18"/>
                  <w:szCs w:val="18"/>
                  <w:color w:val="0000FF"/>
                  <w:highlight w:val="white"/>
                  <w:w w:val="91"/>
                </w:rPr>
                <w:t>to Exhibit 10.5 to the Company’s Current Report on Form 8-K, filed with the SEC on June 30, 2021).</w:t>
              </w:r>
            </w:hyperlink>
          </w:p>
        </w:tc>
        <w:tc>
          <w:tcPr>
            <w:tcW w:w="2140" w:type="dxa"/>
            <w:vAlign w:val="bottom"/>
            <w:gridSpan w:val="7"/>
          </w:tcPr>
          <w:p>
            <w:pPr>
              <w:spacing w:after="0"/>
              <w:rPr>
                <w:sz w:val="13"/>
                <w:szCs w:val="13"/>
                <w:color w:val="auto"/>
              </w:rPr>
            </w:pPr>
          </w:p>
        </w:tc>
        <w:tc>
          <w:tcPr>
            <w:tcW w:w="380" w:type="dxa"/>
            <w:vAlign w:val="bottom"/>
            <w:gridSpan w:val="19"/>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-4311650</wp:posOffset>
            </wp:positionV>
            <wp:extent cx="4763"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-3780155</wp:posOffset>
            </wp:positionV>
            <wp:extent cx="4763"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-3136900</wp:posOffset>
            </wp:positionV>
            <wp:extent cx="4763"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-119380</wp:posOffset>
            </wp:positionV>
            <wp:extent cx="4763"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80" w:top="144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7"/>
        </w:trPr>
        <w:tc>
          <w:tcPr>
            <w:tcW w:w="1120" w:type="dxa"/>
            <w:vAlign w:val="bottom"/>
          </w:tcPr>
          <w:p>
            <w:pPr>
              <w:spacing w:after="0"/>
              <w:rPr>
                <w:sz w:val="20"/>
                <w:szCs w:val="20"/>
                <w:color w:val="auto"/>
              </w:rPr>
            </w:pPr>
            <w:r>
              <w:rPr>
                <w:rFonts w:ascii="Arial" w:cs="Arial" w:eastAsia="Arial" w:hAnsi="Arial"/>
                <w:sz w:val="18"/>
                <w:szCs w:val="18"/>
                <w:color w:val="auto"/>
              </w:rPr>
              <w:t>(d)(xv)</w:t>
            </w:r>
          </w:p>
        </w:tc>
        <w:tc>
          <w:tcPr>
            <w:tcW w:w="480" w:type="dxa"/>
            <w:vAlign w:val="bottom"/>
          </w:tcPr>
          <w:p>
            <w:pPr>
              <w:spacing w:after="0"/>
              <w:rPr>
                <w:sz w:val="19"/>
                <w:szCs w:val="19"/>
                <w:color w:val="auto"/>
              </w:rPr>
            </w:pPr>
          </w:p>
        </w:tc>
        <w:tc>
          <w:tcPr>
            <w:tcW w:w="4300" w:type="dxa"/>
            <w:vAlign w:val="bottom"/>
            <w:gridSpan w:val="8"/>
          </w:tcPr>
          <w:p>
            <w:pPr>
              <w:spacing w:after="0"/>
              <w:rPr>
                <w:rFonts w:ascii="Arial" w:cs="Arial" w:eastAsia="Arial" w:hAnsi="Arial"/>
                <w:sz w:val="18"/>
                <w:szCs w:val="18"/>
                <w:color w:val="0000FF"/>
                <w:w w:val="94"/>
              </w:rPr>
            </w:pPr>
            <w:hyperlink r:id="rId43">
              <w:r>
                <w:rPr>
                  <w:rFonts w:ascii="Arial" w:cs="Arial" w:eastAsia="Arial" w:hAnsi="Arial"/>
                  <w:sz w:val="18"/>
                  <w:szCs w:val="18"/>
                  <w:color w:val="0000FF"/>
                  <w:w w:val="94"/>
                </w:rPr>
                <w:t>Perella Weinberg Partners 2021 Omnibus Incentive Plan</w:t>
              </w:r>
            </w:hyperlink>
          </w:p>
        </w:tc>
        <w:tc>
          <w:tcPr>
            <w:tcW w:w="5300" w:type="dxa"/>
            <w:vAlign w:val="bottom"/>
            <w:tcBorders>
              <w:bottom w:val="single" w:sz="8" w:color="0000FF"/>
            </w:tcBorders>
            <w:gridSpan w:val="17"/>
          </w:tcPr>
          <w:p>
            <w:pPr>
              <w:jc w:val="right"/>
              <w:ind w:right="180"/>
              <w:spacing w:after="0"/>
              <w:rPr>
                <w:rFonts w:ascii="Arial" w:cs="Arial" w:eastAsia="Arial" w:hAnsi="Arial"/>
                <w:sz w:val="18"/>
                <w:szCs w:val="18"/>
                <w:color w:val="0000FF"/>
                <w:w w:val="94"/>
              </w:rPr>
            </w:pPr>
            <w:hyperlink r:id="rId43">
              <w:r>
                <w:rPr>
                  <w:rFonts w:ascii="Arial" w:cs="Arial" w:eastAsia="Arial" w:hAnsi="Arial"/>
                  <w:sz w:val="18"/>
                  <w:szCs w:val="18"/>
                  <w:color w:val="0000FF"/>
                  <w:w w:val="94"/>
                </w:rPr>
                <w:t>(incorporated by reference to Exhibit 10.6 to the Company’s Current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5"/>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80" w:type="dxa"/>
            <w:vAlign w:val="bottom"/>
            <w:tcBorders>
              <w:bottom w:val="single" w:sz="8" w:color="0000FF"/>
            </w:tcBorders>
            <w:gridSpan w:val="7"/>
          </w:tcPr>
          <w:p>
            <w:pPr>
              <w:spacing w:after="0" w:line="156" w:lineRule="exact"/>
              <w:rPr>
                <w:rFonts w:ascii="Arial" w:cs="Arial" w:eastAsia="Arial" w:hAnsi="Arial"/>
                <w:sz w:val="18"/>
                <w:szCs w:val="18"/>
                <w:color w:val="0000FF"/>
                <w:highlight w:val="white"/>
                <w:w w:val="91"/>
              </w:rPr>
            </w:pPr>
            <w:hyperlink r:id="rId43">
              <w:r>
                <w:rPr>
                  <w:rFonts w:ascii="Arial" w:cs="Arial" w:eastAsia="Arial" w:hAnsi="Arial"/>
                  <w:sz w:val="18"/>
                  <w:szCs w:val="18"/>
                  <w:color w:val="0000FF"/>
                  <w:highlight w:val="white"/>
                  <w:w w:val="91"/>
                </w:rPr>
                <w:t>Report on Form 8-K, filed with the SEC on June 30, 2021).</w:t>
              </w:r>
            </w:hyperlink>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(d)(xvi)</w:t>
            </w:r>
          </w:p>
        </w:tc>
        <w:tc>
          <w:tcPr>
            <w:tcW w:w="480" w:type="dxa"/>
            <w:vAlign w:val="bottom"/>
          </w:tcPr>
          <w:p>
            <w:pPr>
              <w:spacing w:after="0"/>
              <w:rPr>
                <w:sz w:val="19"/>
                <w:szCs w:val="19"/>
                <w:color w:val="auto"/>
              </w:rPr>
            </w:pPr>
          </w:p>
        </w:tc>
        <w:tc>
          <w:tcPr>
            <w:tcW w:w="6560" w:type="dxa"/>
            <w:vAlign w:val="bottom"/>
            <w:gridSpan w:val="13"/>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French Sub-Plan Under the Perella Weinberg Partners 2021 Omnibus Equity Incentive Pla</w:t>
              </w:r>
            </w:hyperlink>
          </w:p>
        </w:tc>
        <w:tc>
          <w:tcPr>
            <w:tcW w:w="2940" w:type="dxa"/>
            <w:vAlign w:val="bottom"/>
            <w:tcBorders>
              <w:bottom w:val="single" w:sz="8" w:color="0000FF"/>
            </w:tcBorders>
            <w:gridSpan w:val="7"/>
          </w:tcPr>
          <w:p>
            <w:pPr>
              <w:jc w:val="right"/>
              <w:ind w:right="80"/>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n (incorporated by reference to Exhibit</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gridSpan w:val="27"/>
          </w:tcPr>
          <w:p>
            <w:pPr>
              <w:spacing w:after="0" w:line="156" w:lineRule="exact"/>
              <w:rPr>
                <w:rFonts w:ascii="Arial" w:cs="Arial" w:eastAsia="Arial" w:hAnsi="Arial"/>
                <w:sz w:val="18"/>
                <w:szCs w:val="18"/>
                <w:color w:val="0000FF"/>
                <w:highlight w:val="white"/>
              </w:rPr>
            </w:pPr>
            <w:hyperlink r:id="rId44">
              <w:r>
                <w:rPr>
                  <w:rFonts w:ascii="Arial" w:cs="Arial" w:eastAsia="Arial" w:hAnsi="Arial"/>
                  <w:sz w:val="18"/>
                  <w:szCs w:val="18"/>
                  <w:color w:val="0000FF"/>
                  <w:highlight w:val="white"/>
                </w:rPr>
                <w:t>10.</w:t>
              </w:r>
              <w:r>
                <w:rPr>
                  <w:rFonts w:ascii="Arial" w:cs="Arial" w:eastAsia="Arial" w:hAnsi="Arial"/>
                  <w:sz w:val="18"/>
                  <w:szCs w:val="18"/>
                  <w:u w:val="single" w:color="auto"/>
                  <w:color w:val="0000FF"/>
                  <w:highlight w:val="white"/>
                </w:rPr>
                <w:t>7</w:t>
              </w:r>
              <w:r>
                <w:rPr>
                  <w:rFonts w:ascii="Arial" w:cs="Arial" w:eastAsia="Arial" w:hAnsi="Arial"/>
                  <w:sz w:val="18"/>
                  <w:szCs w:val="18"/>
                  <w:color w:val="0000FF"/>
                  <w:highlight w:val="white"/>
                </w:rPr>
                <w:t xml:space="preserve"> to the Company’s Current Report on Form 8-K, filed with the SEC on June 30, 2021).</w:t>
              </w:r>
            </w:hyperlink>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(d)(xvii)</w:t>
            </w:r>
          </w:p>
        </w:tc>
        <w:tc>
          <w:tcPr>
            <w:tcW w:w="480" w:type="dxa"/>
            <w:vAlign w:val="bottom"/>
          </w:tcPr>
          <w:p>
            <w:pPr>
              <w:spacing w:after="0"/>
              <w:rPr>
                <w:sz w:val="19"/>
                <w:szCs w:val="19"/>
                <w:color w:val="auto"/>
              </w:rPr>
            </w:pPr>
          </w:p>
        </w:tc>
        <w:tc>
          <w:tcPr>
            <w:tcW w:w="2740" w:type="dxa"/>
            <w:vAlign w:val="bottom"/>
            <w:gridSpan w:val="4"/>
          </w:tcPr>
          <w:p>
            <w:pPr>
              <w:spacing w:after="0"/>
              <w:rPr>
                <w:rFonts w:ascii="Arial" w:cs="Arial" w:eastAsia="Arial" w:hAnsi="Arial"/>
                <w:sz w:val="18"/>
                <w:szCs w:val="18"/>
                <w:color w:val="0000FF"/>
                <w:w w:val="96"/>
              </w:rPr>
            </w:pPr>
            <w:hyperlink r:id="rId45">
              <w:r>
                <w:rPr>
                  <w:rFonts w:ascii="Arial" w:cs="Arial" w:eastAsia="Arial" w:hAnsi="Arial"/>
                  <w:sz w:val="18"/>
                  <w:szCs w:val="18"/>
                  <w:color w:val="0000FF"/>
                  <w:w w:val="96"/>
                </w:rPr>
                <w:t>Form of Indemnification Agreement</w:t>
              </w:r>
            </w:hyperlink>
          </w:p>
        </w:tc>
        <w:tc>
          <w:tcPr>
            <w:tcW w:w="6720" w:type="dxa"/>
            <w:vAlign w:val="bottom"/>
            <w:tcBorders>
              <w:bottom w:val="single" w:sz="8" w:color="0000FF"/>
            </w:tcBorders>
            <w:gridSpan w:val="14"/>
          </w:tcPr>
          <w:p>
            <w:pPr>
              <w:jc w:val="right"/>
              <w:ind w:right="40"/>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(incorporated by reference to Exhibit 10.8 to the Company’s Current Report on Form 8-K,</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20" w:type="dxa"/>
            <w:vAlign w:val="bottom"/>
            <w:tcBorders>
              <w:bottom w:val="single" w:sz="8" w:color="0000FF"/>
            </w:tcBorders>
            <w:gridSpan w:val="3"/>
          </w:tcPr>
          <w:p>
            <w:pPr>
              <w:spacing w:after="0" w:line="156" w:lineRule="exact"/>
              <w:rPr>
                <w:rFonts w:ascii="Arial" w:cs="Arial" w:eastAsia="Arial" w:hAnsi="Arial"/>
                <w:sz w:val="18"/>
                <w:szCs w:val="18"/>
                <w:color w:val="0000FF"/>
                <w:highlight w:val="white"/>
                <w:w w:val="90"/>
              </w:rPr>
            </w:pPr>
            <w:hyperlink r:id="rId45">
              <w:r>
                <w:rPr>
                  <w:rFonts w:ascii="Arial" w:cs="Arial" w:eastAsia="Arial" w:hAnsi="Arial"/>
                  <w:sz w:val="18"/>
                  <w:szCs w:val="18"/>
                  <w:color w:val="0000FF"/>
                  <w:highlight w:val="white"/>
                  <w:w w:val="90"/>
                </w:rPr>
                <w:t>filed with the SEC on June 30, 2021).</w:t>
              </w:r>
            </w:hyperlink>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00" w:type="dxa"/>
            <w:vAlign w:val="bottom"/>
            <w:gridSpan w:val="3"/>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spacing w:after="0"/>
              <w:rPr>
                <w:sz w:val="13"/>
                <w:szCs w:val="13"/>
                <w:color w:val="auto"/>
              </w:rPr>
            </w:pPr>
          </w:p>
        </w:tc>
        <w:tc>
          <w:tcPr>
            <w:tcW w:w="2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36"/>
        </w:trPr>
        <w:tc>
          <w:tcPr>
            <w:tcW w:w="1120" w:type="dxa"/>
            <w:vAlign w:val="bottom"/>
          </w:tcPr>
          <w:p>
            <w:pPr>
              <w:spacing w:after="0"/>
              <w:rPr>
                <w:sz w:val="20"/>
                <w:szCs w:val="20"/>
                <w:color w:val="auto"/>
              </w:rPr>
            </w:pPr>
            <w:r>
              <w:rPr>
                <w:rFonts w:ascii="Arial" w:cs="Arial" w:eastAsia="Arial" w:hAnsi="Arial"/>
                <w:sz w:val="18"/>
                <w:szCs w:val="18"/>
                <w:color w:val="auto"/>
              </w:rPr>
              <w:t>(d)(xviii)</w:t>
            </w:r>
          </w:p>
        </w:tc>
        <w:tc>
          <w:tcPr>
            <w:tcW w:w="480" w:type="dxa"/>
            <w:vAlign w:val="bottom"/>
          </w:tcPr>
          <w:p>
            <w:pPr>
              <w:spacing w:after="0"/>
              <w:rPr>
                <w:sz w:val="20"/>
                <w:szCs w:val="20"/>
                <w:color w:val="auto"/>
              </w:rPr>
            </w:pPr>
          </w:p>
        </w:tc>
        <w:tc>
          <w:tcPr>
            <w:tcW w:w="9640" w:type="dxa"/>
            <w:vAlign w:val="bottom"/>
            <w:gridSpan w:val="27"/>
          </w:tcPr>
          <w:p>
            <w:pPr>
              <w:spacing w:after="0"/>
              <w:rPr>
                <w:rFonts w:ascii="Arial" w:cs="Arial" w:eastAsia="Arial" w:hAnsi="Arial"/>
                <w:sz w:val="18"/>
                <w:szCs w:val="18"/>
                <w:color w:val="0000FF"/>
                <w:w w:val="96"/>
              </w:rPr>
            </w:pPr>
            <w:hyperlink r:id="rId46">
              <w:r>
                <w:rPr>
                  <w:rFonts w:ascii="Arial" w:cs="Arial" w:eastAsia="Arial" w:hAnsi="Arial"/>
                  <w:sz w:val="18"/>
                  <w:szCs w:val="18"/>
                  <w:color w:val="0000FF"/>
                  <w:w w:val="96"/>
                </w:rPr>
                <w:t>Letter Agreement, dated September 24, 2020, by and among FinTech Acquisition Corp. IV and certain of its security holders,</w:t>
              </w:r>
            </w:hyperlink>
          </w:p>
        </w:tc>
      </w:tr>
      <w:tr>
        <w:trPr>
          <w:trHeight w:val="162"/>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40" w:type="dxa"/>
            <w:vAlign w:val="bottom"/>
            <w:gridSpan w:val="27"/>
          </w:tcPr>
          <w:p>
            <w:pPr>
              <w:spacing w:after="0" w:line="162" w:lineRule="exact"/>
              <w:rPr>
                <w:rFonts w:ascii="Arial" w:cs="Arial" w:eastAsia="Arial" w:hAnsi="Arial"/>
                <w:sz w:val="18"/>
                <w:szCs w:val="18"/>
                <w:color w:val="0000FF"/>
                <w:highlight w:val="white"/>
                <w:w w:val="95"/>
              </w:rPr>
            </w:pPr>
            <w:hyperlink r:id="rId46">
              <w:r>
                <w:rPr>
                  <w:rFonts w:ascii="Arial" w:cs="Arial" w:eastAsia="Arial" w:hAnsi="Arial"/>
                  <w:sz w:val="18"/>
                  <w:szCs w:val="18"/>
                  <w:color w:val="0000FF"/>
                  <w:highlight w:val="white"/>
                  <w:w w:val="95"/>
                </w:rPr>
                <w:t>officers and directors (incorporated by reference to Exhibit 10.1 to FinTech Acquisition Corp. IV’s Current Report on Form 8-K,</w:t>
              </w:r>
            </w:hyperlink>
          </w:p>
        </w:tc>
      </w:tr>
      <w:tr>
        <w:trPr>
          <w:trHeight w:val="169"/>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highlight w:val="white"/>
                <w:w w:val="90"/>
              </w:rPr>
            </w:pPr>
            <w:hyperlink r:id="rId46">
              <w:r>
                <w:rPr>
                  <w:rFonts w:ascii="Arial" w:cs="Arial" w:eastAsia="Arial" w:hAnsi="Arial"/>
                  <w:sz w:val="18"/>
                  <w:szCs w:val="18"/>
                  <w:color w:val="0000FF"/>
                  <w:highlight w:val="white"/>
                  <w:w w:val="90"/>
                </w:rPr>
                <w:t>filed with the SEC on September 30, 2020).</w:t>
              </w:r>
            </w:hyperlink>
          </w:p>
        </w:tc>
        <w:tc>
          <w:tcPr>
            <w:tcW w:w="628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(d)(xiv)</w:t>
            </w:r>
          </w:p>
        </w:tc>
        <w:tc>
          <w:tcPr>
            <w:tcW w:w="480" w:type="dxa"/>
            <w:vAlign w:val="bottom"/>
          </w:tcPr>
          <w:p>
            <w:pPr>
              <w:spacing w:after="0"/>
              <w:rPr>
                <w:sz w:val="19"/>
                <w:szCs w:val="19"/>
                <w:color w:val="auto"/>
              </w:rPr>
            </w:pPr>
          </w:p>
        </w:tc>
        <w:tc>
          <w:tcPr>
            <w:tcW w:w="9640" w:type="dxa"/>
            <w:vAlign w:val="bottom"/>
            <w:gridSpan w:val="27"/>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Employment Agreement, dated as of August 11, 2021, by and between Perella Weinberg Partners, PWP Employer LP and Peter A.</w:t>
              </w:r>
            </w:hyperlink>
          </w:p>
        </w:tc>
      </w:tr>
      <w:tr>
        <w:trPr>
          <w:trHeight w:val="162"/>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40" w:type="dxa"/>
            <w:vAlign w:val="bottom"/>
            <w:gridSpan w:val="27"/>
          </w:tcPr>
          <w:p>
            <w:pPr>
              <w:spacing w:after="0" w:line="162" w:lineRule="exact"/>
              <w:rPr>
                <w:rFonts w:ascii="Arial" w:cs="Arial" w:eastAsia="Arial" w:hAnsi="Arial"/>
                <w:sz w:val="18"/>
                <w:szCs w:val="18"/>
                <w:color w:val="0000FF"/>
                <w:highlight w:val="white"/>
                <w:w w:val="97"/>
              </w:rPr>
            </w:pPr>
            <w:hyperlink r:id="rId47">
              <w:r>
                <w:rPr>
                  <w:rFonts w:ascii="Arial" w:cs="Arial" w:eastAsia="Arial" w:hAnsi="Arial"/>
                  <w:sz w:val="18"/>
                  <w:szCs w:val="18"/>
                  <w:color w:val="0000FF"/>
                  <w:highlight w:val="white"/>
                  <w:w w:val="97"/>
                </w:rPr>
                <w:t>Weinberg (incorporated by reference to Exhibit 10.1 of the Company's Quarterly Report on Form 10-Q filed with the SEC on</w:t>
              </w:r>
            </w:hyperlink>
          </w:p>
        </w:tc>
      </w:tr>
      <w:tr>
        <w:trPr>
          <w:trHeight w:val="169"/>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20" w:type="dxa"/>
            <w:vAlign w:val="bottom"/>
            <w:tcBorders>
              <w:top w:val="single" w:sz="8" w:color="0000FF"/>
            </w:tcBorders>
            <w:gridSpan w:val="16"/>
          </w:tcPr>
          <w:p>
            <w:pPr>
              <w:spacing w:after="0" w:line="169" w:lineRule="exact"/>
              <w:rPr>
                <w:rFonts w:ascii="Arial" w:cs="Arial" w:eastAsia="Arial" w:hAnsi="Arial"/>
                <w:sz w:val="18"/>
                <w:szCs w:val="18"/>
                <w:color w:val="0000FF"/>
                <w:highlight w:val="white"/>
              </w:rPr>
            </w:pPr>
            <w:hyperlink r:id="rId47">
              <w:r>
                <w:rPr>
                  <w:rFonts w:ascii="Arial" w:cs="Arial" w:eastAsia="Arial" w:hAnsi="Arial"/>
                  <w:sz w:val="18"/>
                  <w:szCs w:val="18"/>
                  <w:color w:val="0000FF"/>
                  <w:highlight w:val="white"/>
                </w:rPr>
                <w:t>November 5, 2021).</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(d)(xv)</w:t>
            </w:r>
          </w:p>
        </w:tc>
        <w:tc>
          <w:tcPr>
            <w:tcW w:w="480" w:type="dxa"/>
            <w:vAlign w:val="bottom"/>
          </w:tcPr>
          <w:p>
            <w:pPr>
              <w:spacing w:after="0"/>
              <w:rPr>
                <w:sz w:val="18"/>
                <w:szCs w:val="18"/>
                <w:color w:val="auto"/>
              </w:rPr>
            </w:pPr>
          </w:p>
        </w:tc>
        <w:tc>
          <w:tcPr>
            <w:tcW w:w="94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Employment Agreement, dated as of August 11, 2021, by and between Perella Weinberg Partners, PWP Employer LP and Andrew</w:t>
              </w:r>
            </w:hyperlink>
          </w:p>
        </w:tc>
        <w:tc>
          <w:tcPr>
            <w:tcW w:w="8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gridSpan w:val="27"/>
          </w:tcPr>
          <w:p>
            <w:pPr>
              <w:spacing w:after="0" w:line="15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Bednar (incorporated by reference to Exhibit 10.2 of the Company's Quarterly Report on Form 10-Q filed with the SEC on</w:t>
              </w:r>
            </w:hyperlink>
          </w:p>
        </w:tc>
      </w:tr>
      <w:tr>
        <w:trPr>
          <w:trHeight w:val="169"/>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8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48">
              <w:r>
                <w:rPr>
                  <w:rFonts w:ascii="Arial" w:cs="Arial" w:eastAsia="Arial" w:hAnsi="Arial"/>
                  <w:sz w:val="18"/>
                  <w:szCs w:val="18"/>
                  <w:color w:val="0000FF"/>
                </w:rPr>
                <w:t>November 5,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(d)(xvi)</w:t>
            </w:r>
          </w:p>
        </w:tc>
        <w:tc>
          <w:tcPr>
            <w:tcW w:w="480" w:type="dxa"/>
            <w:vAlign w:val="bottom"/>
          </w:tcPr>
          <w:p>
            <w:pPr>
              <w:spacing w:after="0"/>
              <w:rPr>
                <w:sz w:val="19"/>
                <w:szCs w:val="19"/>
                <w:color w:val="auto"/>
              </w:rPr>
            </w:pPr>
          </w:p>
        </w:tc>
        <w:tc>
          <w:tcPr>
            <w:tcW w:w="9640" w:type="dxa"/>
            <w:vAlign w:val="bottom"/>
            <w:gridSpan w:val="27"/>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Employment Agreement, dated as of August 11, 2021, by and between Perella Weinberg Partners, PWP Employer LP and Dietrich</w:t>
              </w:r>
            </w:hyperlink>
          </w:p>
        </w:tc>
      </w:tr>
      <w:tr>
        <w:trPr>
          <w:trHeight w:val="162"/>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40" w:type="dxa"/>
            <w:vAlign w:val="bottom"/>
            <w:gridSpan w:val="27"/>
          </w:tcPr>
          <w:p>
            <w:pPr>
              <w:spacing w:after="0" w:line="162" w:lineRule="exact"/>
              <w:rPr>
                <w:rFonts w:ascii="Arial" w:cs="Arial" w:eastAsia="Arial" w:hAnsi="Arial"/>
                <w:sz w:val="18"/>
                <w:szCs w:val="18"/>
                <w:color w:val="0000FF"/>
                <w:highlight w:val="white"/>
                <w:w w:val="99"/>
              </w:rPr>
            </w:pPr>
            <w:hyperlink r:id="rId49">
              <w:r>
                <w:rPr>
                  <w:rFonts w:ascii="Arial" w:cs="Arial" w:eastAsia="Arial" w:hAnsi="Arial"/>
                  <w:sz w:val="18"/>
                  <w:szCs w:val="18"/>
                  <w:color w:val="0000FF"/>
                  <w:highlight w:val="white"/>
                  <w:w w:val="99"/>
                </w:rPr>
                <w:t>Becker (incorporated by reference to Exhibit 10.3 of the Company's Quarterly Report on Form 10-Q filed with the SEC on</w:t>
              </w:r>
            </w:hyperlink>
          </w:p>
        </w:tc>
      </w:tr>
      <w:tr>
        <w:trPr>
          <w:trHeight w:val="169"/>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560" w:type="dxa"/>
            <w:vAlign w:val="bottom"/>
            <w:tcBorders>
              <w:top w:val="single" w:sz="8" w:color="0000FF"/>
            </w:tcBorders>
            <w:gridSpan w:val="23"/>
          </w:tcPr>
          <w:p>
            <w:pPr>
              <w:spacing w:after="0" w:line="169" w:lineRule="exact"/>
              <w:rPr>
                <w:rFonts w:ascii="Arial" w:cs="Arial" w:eastAsia="Arial" w:hAnsi="Arial"/>
                <w:sz w:val="18"/>
                <w:szCs w:val="18"/>
                <w:color w:val="0000FF"/>
                <w:highlight w:val="white"/>
              </w:rPr>
            </w:pPr>
            <w:hyperlink r:id="rId49">
              <w:r>
                <w:rPr>
                  <w:rFonts w:ascii="Arial" w:cs="Arial" w:eastAsia="Arial" w:hAnsi="Arial"/>
                  <w:sz w:val="18"/>
                  <w:szCs w:val="18"/>
                  <w:color w:val="0000FF"/>
                  <w:highlight w:val="white"/>
                </w:rPr>
                <w:t>November 5,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(d)(xvii)</w:t>
            </w:r>
          </w:p>
        </w:tc>
        <w:tc>
          <w:tcPr>
            <w:tcW w:w="480" w:type="dxa"/>
            <w:vAlign w:val="bottom"/>
          </w:tcPr>
          <w:p>
            <w:pPr>
              <w:spacing w:after="0"/>
              <w:rPr>
                <w:sz w:val="18"/>
                <w:szCs w:val="18"/>
                <w:color w:val="auto"/>
              </w:rPr>
            </w:pPr>
          </w:p>
        </w:tc>
        <w:tc>
          <w:tcPr>
            <w:tcW w:w="6240" w:type="dxa"/>
            <w:vAlign w:val="bottom"/>
            <w:gridSpan w:val="10"/>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Form of Director Restricted Stock Unit Award Agreement (One-Time Award) (incor</w:t>
              </w:r>
            </w:hyperlink>
          </w:p>
        </w:tc>
        <w:tc>
          <w:tcPr>
            <w:tcW w:w="3340" w:type="dxa"/>
            <w:vAlign w:val="bottom"/>
            <w:tcBorders>
              <w:bottom w:val="single" w:sz="8" w:color="0000FF"/>
            </w:tcBorders>
            <w:gridSpan w:val="14"/>
          </w:tcPr>
          <w:p>
            <w:pPr>
              <w:jc w:val="right"/>
              <w:ind w:right="160"/>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porated by reference to Exhibit 10.4 of the</w:t>
              </w:r>
            </w:hyperlink>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40" w:type="dxa"/>
            <w:vAlign w:val="bottom"/>
            <w:tcBorders>
              <w:bottom w:val="single" w:sz="8" w:color="0000FF"/>
            </w:tcBorders>
            <w:gridSpan w:val="10"/>
          </w:tcPr>
          <w:p>
            <w:pPr>
              <w:spacing w:after="0" w:line="156" w:lineRule="exact"/>
              <w:rPr>
                <w:rFonts w:ascii="Arial" w:cs="Arial" w:eastAsia="Arial" w:hAnsi="Arial"/>
                <w:sz w:val="18"/>
                <w:szCs w:val="18"/>
                <w:color w:val="0000FF"/>
                <w:highlight w:val="white"/>
                <w:w w:val="91"/>
              </w:rPr>
            </w:pPr>
            <w:hyperlink r:id="rId50">
              <w:r>
                <w:rPr>
                  <w:rFonts w:ascii="Arial" w:cs="Arial" w:eastAsia="Arial" w:hAnsi="Arial"/>
                  <w:sz w:val="18"/>
                  <w:szCs w:val="18"/>
                  <w:color w:val="0000FF"/>
                  <w:highlight w:val="white"/>
                  <w:w w:val="91"/>
                </w:rPr>
                <w:t>Company's Quarterly Report on Form 10-Q filed with the SEC on November 5, 2021).</w:t>
              </w:r>
            </w:hyperlink>
          </w:p>
        </w:tc>
        <w:tc>
          <w:tcPr>
            <w:tcW w:w="20" w:type="dxa"/>
            <w:vAlign w:val="bottom"/>
            <w:tcBorders>
              <w:bottom w:val="single" w:sz="8" w:color="0000FF"/>
            </w:tcBorders>
          </w:tcPr>
          <w:p>
            <w:pPr>
              <w:spacing w:after="0"/>
              <w:rPr>
                <w:sz w:val="13"/>
                <w:szCs w:val="13"/>
                <w:color w:val="auto"/>
              </w:rPr>
            </w:pPr>
          </w:p>
        </w:tc>
        <w:tc>
          <w:tcPr>
            <w:tcW w:w="800" w:type="dxa"/>
            <w:vAlign w:val="bottom"/>
            <w:gridSpan w:val="3"/>
          </w:tcPr>
          <w:p>
            <w:pPr>
              <w:spacing w:after="0"/>
              <w:rPr>
                <w:sz w:val="13"/>
                <w:szCs w:val="13"/>
                <w:color w:val="auto"/>
              </w:rPr>
            </w:pPr>
          </w:p>
        </w:tc>
        <w:tc>
          <w:tcPr>
            <w:tcW w:w="24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(d)(xviii)</w:t>
            </w:r>
          </w:p>
        </w:tc>
        <w:tc>
          <w:tcPr>
            <w:tcW w:w="480" w:type="dxa"/>
            <w:vAlign w:val="bottom"/>
          </w:tcPr>
          <w:p>
            <w:pPr>
              <w:spacing w:after="0"/>
              <w:rPr>
                <w:sz w:val="19"/>
                <w:szCs w:val="19"/>
                <w:color w:val="auto"/>
              </w:rPr>
            </w:pPr>
          </w:p>
        </w:tc>
        <w:tc>
          <w:tcPr>
            <w:tcW w:w="9540" w:type="dxa"/>
            <w:vAlign w:val="bottom"/>
            <w:tcBorders>
              <w:bottom w:val="single" w:sz="8" w:color="0000FF"/>
            </w:tcBorders>
            <w:gridSpan w:val="22"/>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Form of Director Restricted Stock Unit Award Agreement (Annual Base Retainer Award) (incorporated by reference to Exhibit</w:t>
              </w:r>
            </w:hyperlink>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gridSpan w:val="27"/>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of the Company's Quarterly Report on Form 10-Q filed with the SEC on November 5, 2021).</w:t>
              </w:r>
            </w:hyperlink>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(d)(xix)</w:t>
            </w:r>
          </w:p>
        </w:tc>
        <w:tc>
          <w:tcPr>
            <w:tcW w:w="480" w:type="dxa"/>
            <w:vAlign w:val="bottom"/>
          </w:tcPr>
          <w:p>
            <w:pPr>
              <w:spacing w:after="0"/>
              <w:rPr>
                <w:sz w:val="19"/>
                <w:szCs w:val="19"/>
                <w:color w:val="auto"/>
              </w:rPr>
            </w:pPr>
          </w:p>
        </w:tc>
        <w:tc>
          <w:tcPr>
            <w:tcW w:w="9500" w:type="dxa"/>
            <w:vAlign w:val="bottom"/>
            <w:tcBorders>
              <w:bottom w:val="single" w:sz="8" w:color="0000FF"/>
            </w:tcBorders>
            <w:gridSpan w:val="20"/>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Form of Dealer Manager Agreement (incorporated by reference to exhibit 10.18 to the Registration Statement on Form S-4 filed</w:t>
              </w:r>
            </w:hyperlink>
          </w:p>
        </w:tc>
        <w:tc>
          <w:tcPr>
            <w:tcW w:w="20" w:type="dxa"/>
            <w:vAlign w:val="bottom"/>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gridSpan w:val="27"/>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by the Company with the SEC on July 22, 2022).</w:t>
              </w:r>
            </w:hyperlink>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88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(d)(xx)</w:t>
            </w:r>
          </w:p>
        </w:tc>
        <w:tc>
          <w:tcPr>
            <w:tcW w:w="480" w:type="dxa"/>
            <w:vAlign w:val="bottom"/>
          </w:tcPr>
          <w:p>
            <w:pPr>
              <w:spacing w:after="0"/>
              <w:rPr>
                <w:sz w:val="19"/>
                <w:szCs w:val="19"/>
                <w:color w:val="auto"/>
              </w:rPr>
            </w:pPr>
          </w:p>
        </w:tc>
        <w:tc>
          <w:tcPr>
            <w:tcW w:w="9620" w:type="dxa"/>
            <w:vAlign w:val="bottom"/>
            <w:tcBorders>
              <w:bottom w:val="single" w:sz="8" w:color="0000FF"/>
            </w:tcBorders>
            <w:gridSpan w:val="26"/>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Tender and Support Agreement, dated as of July 21, 2022, by and between the Company and each of the persons listed on</w:t>
              </w:r>
            </w:hyperlink>
          </w:p>
        </w:tc>
        <w:tc>
          <w:tcPr>
            <w:tcW w:w="20" w:type="dxa"/>
            <w:vAlign w:val="bottom"/>
          </w:tcPr>
          <w:p>
            <w:pPr>
              <w:spacing w:after="0"/>
              <w:rPr>
                <w:sz w:val="19"/>
                <w:szCs w:val="19"/>
                <w:color w:val="auto"/>
              </w:rPr>
            </w:pPr>
          </w:p>
        </w:tc>
      </w:tr>
      <w:tr>
        <w:trPr>
          <w:trHeight w:val="155"/>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20" w:type="dxa"/>
            <w:vAlign w:val="bottom"/>
            <w:gridSpan w:val="26"/>
          </w:tcPr>
          <w:p>
            <w:pPr>
              <w:spacing w:after="0" w:line="15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Schedule A thereto (incorporated by reference to exhibit 10.19 to the Registration Statement on Form S-4 filed by the Company</w:t>
              </w:r>
            </w:hyperlink>
          </w:p>
        </w:tc>
        <w:tc>
          <w:tcPr>
            <w:tcW w:w="20" w:type="dxa"/>
            <w:vAlign w:val="bottom"/>
          </w:tcPr>
          <w:p>
            <w:pPr>
              <w:spacing w:after="0"/>
              <w:rPr>
                <w:sz w:val="13"/>
                <w:szCs w:val="13"/>
                <w:color w:val="auto"/>
              </w:rPr>
            </w:pPr>
          </w:p>
        </w:tc>
      </w:tr>
      <w:tr>
        <w:trPr>
          <w:trHeight w:val="169"/>
        </w:trPr>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5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53">
              <w:r>
                <w:rPr>
                  <w:rFonts w:ascii="Arial" w:cs="Arial" w:eastAsia="Arial" w:hAnsi="Arial"/>
                  <w:sz w:val="18"/>
                  <w:szCs w:val="18"/>
                  <w:color w:val="0000FF"/>
                </w:rPr>
                <w:t>with the SEC on July 22, 2022)</w:t>
              </w:r>
              <w:r>
                <w:rPr>
                  <w:rFonts w:ascii="Arial" w:cs="Arial" w:eastAsia="Arial" w:hAnsi="Arial"/>
                  <w:sz w:val="18"/>
                  <w:szCs w:val="18"/>
                  <w:color w:val="000000"/>
                </w:rPr>
                <w:t>.</w:t>
              </w:r>
            </w:hyperlink>
          </w:p>
        </w:tc>
        <w:tc>
          <w:tcPr>
            <w:tcW w:w="120" w:type="dxa"/>
            <w:vAlign w:val="bottom"/>
            <w:gridSpan w:val="6"/>
          </w:tcPr>
          <w:p>
            <w:pPr>
              <w:spacing w:after="0"/>
              <w:rPr>
                <w:sz w:val="14"/>
                <w:szCs w:val="14"/>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4000" w:type="dxa"/>
            <w:vAlign w:val="bottom"/>
            <w:gridSpan w:val="18"/>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(g)</w:t>
            </w:r>
          </w:p>
        </w:tc>
        <w:tc>
          <w:tcPr>
            <w:tcW w:w="10120" w:type="dxa"/>
            <w:vAlign w:val="bottom"/>
            <w:gridSpan w:val="28"/>
          </w:tcPr>
          <w:p>
            <w:pPr>
              <w:ind w:left="440"/>
              <w:spacing w:after="0"/>
              <w:rPr>
                <w:sz w:val="20"/>
                <w:szCs w:val="20"/>
                <w:color w:val="auto"/>
              </w:rPr>
            </w:pPr>
            <w:r>
              <w:rPr>
                <w:rFonts w:ascii="Arial" w:cs="Arial" w:eastAsia="Arial" w:hAnsi="Arial"/>
                <w:sz w:val="18"/>
                <w:szCs w:val="18"/>
                <w:color w:val="auto"/>
              </w:rPr>
              <w:t>Not applicable.</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rPr>
              <w:t>(h)</w:t>
            </w:r>
          </w:p>
        </w:tc>
        <w:tc>
          <w:tcPr>
            <w:tcW w:w="480" w:type="dxa"/>
            <w:vAlign w:val="bottom"/>
          </w:tcPr>
          <w:p>
            <w:pPr>
              <w:spacing w:after="0"/>
              <w:rPr>
                <w:sz w:val="19"/>
                <w:szCs w:val="19"/>
                <w:color w:val="auto"/>
              </w:rPr>
            </w:pPr>
          </w:p>
        </w:tc>
        <w:tc>
          <w:tcPr>
            <w:tcW w:w="9480" w:type="dxa"/>
            <w:vAlign w:val="bottom"/>
            <w:tcBorders>
              <w:bottom w:val="single" w:sz="8" w:color="0000FF"/>
            </w:tcBorders>
            <w:gridSpan w:val="19"/>
          </w:tcPr>
          <w:p>
            <w:pPr>
              <w:spacing w:after="0"/>
              <w:rPr>
                <w:rFonts w:ascii="Arial" w:cs="Arial" w:eastAsia="Arial" w:hAnsi="Arial"/>
                <w:sz w:val="18"/>
                <w:szCs w:val="18"/>
                <w:color w:val="0000FF"/>
                <w:w w:val="99"/>
              </w:rPr>
            </w:pPr>
            <w:hyperlink r:id="rId54">
              <w:r>
                <w:rPr>
                  <w:rFonts w:ascii="Arial" w:cs="Arial" w:eastAsia="Arial" w:hAnsi="Arial"/>
                  <w:sz w:val="18"/>
                  <w:szCs w:val="18"/>
                  <w:color w:val="0000FF"/>
                  <w:w w:val="99"/>
                </w:rPr>
                <w:t>Tax Opinion of Skadden, Arps, Slate, Meagher &amp; Flom LLP (incorporated by reference to Exhibit 8.1 to the Registration</w:t>
              </w:r>
            </w:hyperlink>
          </w:p>
        </w:tc>
        <w:tc>
          <w:tcPr>
            <w:tcW w:w="160" w:type="dxa"/>
            <w:vAlign w:val="bottom"/>
            <w:gridSpan w:val="8"/>
          </w:tcPr>
          <w:p>
            <w:pPr>
              <w:spacing w:after="0"/>
              <w:rPr>
                <w:sz w:val="19"/>
                <w:szCs w:val="19"/>
                <w:color w:val="auto"/>
              </w:rPr>
            </w:pPr>
          </w:p>
        </w:tc>
      </w:tr>
      <w:tr>
        <w:trPr>
          <w:trHeight w:val="156"/>
        </w:trPr>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40" w:type="dxa"/>
            <w:vAlign w:val="bottom"/>
            <w:tcBorders>
              <w:bottom w:val="single" w:sz="8" w:color="0000FF"/>
            </w:tcBorders>
            <w:gridSpan w:val="9"/>
          </w:tcPr>
          <w:p>
            <w:pPr>
              <w:spacing w:after="0" w:line="15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Statement on Form S-4 filed by the Company with the SEC on July 22, 2022).</w:t>
              </w:r>
            </w:hyperlink>
          </w:p>
        </w:tc>
        <w:tc>
          <w:tcPr>
            <w:tcW w:w="3840" w:type="dxa"/>
            <w:vAlign w:val="bottom"/>
            <w:gridSpan w:val="10"/>
          </w:tcPr>
          <w:p>
            <w:pPr>
              <w:spacing w:after="0"/>
              <w:rPr>
                <w:sz w:val="13"/>
                <w:szCs w:val="13"/>
                <w:color w:val="auto"/>
              </w:rPr>
            </w:pPr>
          </w:p>
        </w:tc>
        <w:tc>
          <w:tcPr>
            <w:tcW w:w="160" w:type="dxa"/>
            <w:vAlign w:val="bottom"/>
            <w:gridSpan w:val="8"/>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-3788410</wp:posOffset>
            </wp:positionV>
            <wp:extent cx="4763"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-3522980</wp:posOffset>
            </wp:positionV>
            <wp:extent cx="4763"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-3256915</wp:posOffset>
            </wp:positionV>
            <wp:extent cx="4763"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-2991485</wp:posOffset>
            </wp:positionV>
            <wp:extent cx="4763"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-2613660</wp:posOffset>
            </wp:positionV>
            <wp:extent cx="4763"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9">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-1859915</wp:posOffset>
            </wp:positionV>
            <wp:extent cx="4763"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1015365</wp:posOffset>
            </wp:positionH>
            <wp:positionV relativeFrom="paragraph">
              <wp:posOffset>-1482090</wp:posOffset>
            </wp:positionV>
            <wp:extent cx="4763"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99" w:lineRule="exact"/>
        <w:rPr>
          <w:sz w:val="20"/>
          <w:szCs w:val="20"/>
          <w:color w:val="auto"/>
        </w:rPr>
      </w:pPr>
    </w:p>
    <w:p>
      <w:pPr>
        <w:ind w:left="580" w:hanging="408"/>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Filing Fee Exhibit</w:t>
      </w:r>
      <w:r>
        <w:rPr>
          <w:rFonts w:ascii="Arial" w:cs="Arial" w:eastAsia="Arial" w:hAnsi="Arial"/>
          <w:sz w:val="18"/>
          <w:szCs w:val="18"/>
          <w:b w:val="1"/>
          <w:bCs w:val="1"/>
          <w:color w:val="auto"/>
        </w:rPr>
        <w: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Filing Fee Table.*</w:t>
      </w:r>
    </w:p>
    <w:p>
      <w:pPr>
        <w:ind w:left="500"/>
        <w:spacing w:after="0" w:line="219" w:lineRule="auto"/>
        <w:rPr>
          <w:sz w:val="20"/>
          <w:szCs w:val="20"/>
          <w:color w:val="auto"/>
        </w:rPr>
      </w:pPr>
      <w:r>
        <w:rPr>
          <w:rFonts w:ascii="Arial" w:cs="Arial" w:eastAsia="Arial" w:hAnsi="Arial"/>
          <w:sz w:val="18"/>
          <w:szCs w:val="18"/>
          <w:color w:val="auto"/>
        </w:rPr>
        <w:t>___________________</w:t>
      </w:r>
    </w:p>
    <w:p>
      <w:pPr>
        <w:ind w:left="500"/>
        <w:spacing w:after="0"/>
        <w:rPr>
          <w:sz w:val="20"/>
          <w:szCs w:val="20"/>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80" w:top="1425" w:right="399" w:bottom="1440" w:gutter="0" w:footer="0" w:header="0"/>
        </w:sectPr>
      </w:pPr>
    </w:p>
    <w:bookmarkStart w:id="4" w:name="page5"/>
    <w:bookmarkEnd w:id="4"/>
    <w:p>
      <w:pPr>
        <w:ind w:left="5040"/>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PERELLA WEINBERG PARTNERS</w:t>
      </w:r>
    </w:p>
    <w:p>
      <w:pPr>
        <w:spacing w:after="0" w:line="360" w:lineRule="exact"/>
        <w:rPr>
          <w:sz w:val="20"/>
          <w:szCs w:val="20"/>
          <w:color w:val="auto"/>
        </w:rPr>
      </w:pPr>
    </w:p>
    <w:p>
      <w:pPr>
        <w:ind w:left="5540"/>
        <w:spacing w:after="0"/>
        <w:tabs>
          <w:tab w:leader="none" w:pos="6040" w:val="left"/>
        </w:tabs>
        <w:rPr>
          <w:sz w:val="20"/>
          <w:szCs w:val="20"/>
          <w:color w:val="auto"/>
        </w:rPr>
      </w:pPr>
      <w:r>
        <w:rPr>
          <w:rFonts w:ascii="Arial" w:cs="Arial" w:eastAsia="Arial" w:hAnsi="Arial"/>
          <w:sz w:val="18"/>
          <w:szCs w:val="18"/>
          <w:color w:val="auto"/>
        </w:rPr>
        <w:t>By:</w:t>
        <w:tab/>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40640</wp:posOffset>
            </wp:positionV>
            <wp:extent cx="3300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S. Barancik</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sectPr>
      <w:pgSz w:w="11900" w:h="16838" w:orient="portrait"/>
      <w:cols w:equalWidth="0" w:num="1">
        <w:col w:w="10540"/>
      </w:cols>
      <w:pgMar w:left="320" w:top="1404"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55"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59" Type="http://schemas.openxmlformats.org/officeDocument/2006/relationships/image" Target="media/image19.png"/><Relationship Id="rId60" Type="http://schemas.openxmlformats.org/officeDocument/2006/relationships/image" Target="media/image20.png"/><Relationship Id="rId61" Type="http://schemas.openxmlformats.org/officeDocument/2006/relationships/image" Target="media/image21.png"/><Relationship Id="rId62" Type="http://schemas.openxmlformats.org/officeDocument/2006/relationships/image" Target="media/image22.png"/><Relationship Id="rId18" Type="http://schemas.openxmlformats.org/officeDocument/2006/relationships/hyperlink" Target="https://www.sec.gov/Archives/edgar/data/0001777835/000162828022022908/pwp-424b3.htm" TargetMode="External"/><Relationship Id="rId19" Type="http://schemas.openxmlformats.org/officeDocument/2006/relationships/hyperlink" Target="https://www.sec.gov/Archives/edgar/data/1777835/000162828022019278/exhibit991-sx4.htm" TargetMode="External"/><Relationship Id="rId20" Type="http://schemas.openxmlformats.org/officeDocument/2006/relationships/hyperlink" Target="https://www.sec.gov/Archives/edgar/data/1777835/000162828022019278/exhibit992-sx4.htm" TargetMode="External"/><Relationship Id="rId21" Type="http://schemas.openxmlformats.org/officeDocument/2006/relationships/hyperlink" Target="https://www.sec.gov/Archives/edgar/data/1777835/000162828022019278/exhibit993-sx4.htm" TargetMode="External"/><Relationship Id="rId22" Type="http://schemas.openxmlformats.org/officeDocument/2006/relationships/hyperlink" Target="https://www.sec.gov/Archives/edgar/data/1777835/000162828022019278/exhibit994-sx4.htm" TargetMode="External"/><Relationship Id="rId23" Type="http://schemas.openxmlformats.org/officeDocument/2006/relationships/hyperlink" Target="https://www.sec.gov/Archives/edgar/data/0001777835/000162828022019279/exhibit991-8xk.htm" TargetMode="External"/><Relationship Id="rId24" Type="http://schemas.openxmlformats.org/officeDocument/2006/relationships/hyperlink" Target="https://www.sec.gov/ix?doc=/Archives/edgar/data/0001777835/000162828022022911/pwp-20220815.htm" TargetMode="External"/><Relationship Id="rId25" Type="http://schemas.openxmlformats.org/officeDocument/2006/relationships/hyperlink" Target="https://www.sec.gov/Archives/edgar/data/1777835/000121390020045792/ea132500ex2-1_fintechacq4.htm" TargetMode="External"/><Relationship Id="rId26" Type="http://schemas.openxmlformats.org/officeDocument/2006/relationships/hyperlink" Target="https://www.sec.gov/Archives/edgar/data/1777835/000162828022000893/exhibit31-sx1a1.htm" TargetMode="External"/><Relationship Id="rId27" Type="http://schemas.openxmlformats.org/officeDocument/2006/relationships/hyperlink" Target="https://www.sec.gov/Archives/edgar/data/1777835/000119312521204696/d119701dex32.htm" TargetMode="External"/><Relationship Id="rId28" Type="http://schemas.openxmlformats.org/officeDocument/2006/relationships/hyperlink" Target="https://www.sec.gov/Archives/edgar/data/1777835/000119312521204696/d119701dex41.htm" TargetMode="External"/><Relationship Id="rId29" Type="http://schemas.openxmlformats.org/officeDocument/2006/relationships/hyperlink" Target="https://www.sec.gov/Archives/edgar/data/1777835/000121390020029071/ea127460ex4-1_fintechacq4.htm" TargetMode="External"/><Relationship Id="rId30" Type="http://schemas.openxmlformats.org/officeDocument/2006/relationships/hyperlink" Target="https://www.sec.gov/Archives/edgar/data/1777835/000162828021025439/exhibit43-sx1.htm" TargetMode="External"/><Relationship Id="rId31" Type="http://schemas.openxmlformats.org/officeDocument/2006/relationships/hyperlink" Target="https://www.sec.gov/Archives/edgar/data/1777835/000121390020045792/ea132500ex10-1_fintechacq4.htm" TargetMode="External"/><Relationship Id="rId32" Type="http://schemas.openxmlformats.org/officeDocument/2006/relationships/hyperlink" Target="https://www.sec.gov/Archives/edgar/data/1777835/000119312521204696/d119701dex101.htm" TargetMode="External"/><Relationship Id="rId33" Type="http://schemas.openxmlformats.org/officeDocument/2006/relationships/hyperlink" Target="https://www.sec.gov/Archives/edgar/data/1777835/000119312521204696/d119701dex103.htm" TargetMode="External"/><Relationship Id="rId34" Type="http://schemas.openxmlformats.org/officeDocument/2006/relationships/hyperlink" Target="https://www.sec.gov/Archives/edgar/data/1777835/000119312521204696/d119701dex102.htm" TargetMode="External"/><Relationship Id="rId35" Type="http://schemas.openxmlformats.org/officeDocument/2006/relationships/hyperlink" Target="https://www.sec.gov/Archives/edgar/data/1777835/000121390020045792/ea132500ex2-1_fintechacq4.htm#ex_008" TargetMode="External"/><Relationship Id="rId36" Type="http://schemas.openxmlformats.org/officeDocument/2006/relationships/hyperlink" Target="https://www.sec.gov/Archives/edgar/data/0001777835/000119312521175488/d101000ddefm14a.htm" TargetMode="External"/><Relationship Id="rId37" Type="http://schemas.openxmlformats.org/officeDocument/2006/relationships/hyperlink" Target="https://www.sec.gov/Archives/edgar/data/1777835/000119312521204696/d119701dex104.htm" TargetMode="External"/><Relationship Id="rId38" Type="http://schemas.openxmlformats.org/officeDocument/2006/relationships/hyperlink" Target="https://www.sec.gov/Archives/edgar/data/1777835/000119312521204696/d119701dex105.htm" TargetMode="External"/><Relationship Id="rId43" Type="http://schemas.openxmlformats.org/officeDocument/2006/relationships/hyperlink" Target="https://www.sec.gov/Archives/edgar/data/1777835/000119312521204696/d119701dex106.htm" TargetMode="External"/><Relationship Id="rId44" Type="http://schemas.openxmlformats.org/officeDocument/2006/relationships/hyperlink" Target="https://www.sec.gov/Archives/edgar/data/1777835/000119312521204696/d119701dex107.htm" TargetMode="External"/><Relationship Id="rId45" Type="http://schemas.openxmlformats.org/officeDocument/2006/relationships/hyperlink" Target="https://www.sec.gov/Archives/edgar/data/1777835/000119312521204696/d119701dex108.htm" TargetMode="External"/><Relationship Id="rId46" Type="http://schemas.openxmlformats.org/officeDocument/2006/relationships/hyperlink" Target="https://www.sec.gov/Archives/edgar/data/1777835/000121390020029071/ea127460ex10-1_fintechacq4.htm" TargetMode="External"/><Relationship Id="rId47" Type="http://schemas.openxmlformats.org/officeDocument/2006/relationships/hyperlink" Target="https://www.sec.gov/Archives/edgar/data/1777835/000095017021003237/pwp-ex10_1.htm" TargetMode="External"/><Relationship Id="rId48" Type="http://schemas.openxmlformats.org/officeDocument/2006/relationships/hyperlink" Target="https://www.sec.gov/Archives/edgar/data/1777835/000095017021003237/pwp-ex10_2.htm" TargetMode="External"/><Relationship Id="rId49" Type="http://schemas.openxmlformats.org/officeDocument/2006/relationships/hyperlink" Target="https://www.sec.gov/Archives/edgar/data/1777835/000095017021003237/pwp-ex10_3.htm" TargetMode="External"/><Relationship Id="rId50" Type="http://schemas.openxmlformats.org/officeDocument/2006/relationships/hyperlink" Target="https://www.sec.gov/Archives/edgar/data/1777835/000095017021003237/pwp-ex10_4.htm" TargetMode="External"/><Relationship Id="rId51" Type="http://schemas.openxmlformats.org/officeDocument/2006/relationships/hyperlink" Target="https://www.sec.gov/Archives/edgar/data/1777835/000095017021003237/pwp-ex10_5.htm" TargetMode="External"/><Relationship Id="rId52" Type="http://schemas.openxmlformats.org/officeDocument/2006/relationships/hyperlink" Target="https://www.sec.gov/Archives/edgar/data/1777835/000162828022019278/exhibit1018-sx4.htm" TargetMode="External"/><Relationship Id="rId53" Type="http://schemas.openxmlformats.org/officeDocument/2006/relationships/hyperlink" Target="https://www.sec.gov/Archives/edgar/data/1777835/000162828022019278/exhibit1019-sx4.htm" TargetMode="External"/><Relationship Id="rId54" Type="http://schemas.openxmlformats.org/officeDocument/2006/relationships/hyperlink" Target="https://www.sec.gov/Archives/edgar/data/1777835/000162828022019278/exhibit81-sx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2022-08-16T05:29:08Z</dcterms:created>
  <dcterms:modified xsi:type="dcterms:W3CDTF">2022-08-16T05:29:08Z</dcterms:modified>
</cp:coreProperties>
</file>