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36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-232410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8"/>
        </w:trPr>
        <w:tc>
          <w:tcPr>
            <w:tcW w:w="626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8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5243195</wp:posOffset>
            </wp:positionH>
            <wp:positionV relativeFrom="paragraph">
              <wp:posOffset>-616585</wp:posOffset>
            </wp:positionV>
            <wp:extent cx="57785" cy="629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-616585</wp:posOffset>
            </wp:positionV>
            <wp:extent cx="57785" cy="6299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13335</wp:posOffset>
            </wp:positionV>
            <wp:extent cx="7047230" cy="4836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836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Barancik Gary</w:t>
        </w:r>
      </w:hyperlink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8"/>
          <w:szCs w:val="18"/>
          <w:color w:val="0000EE"/>
        </w:rPr>
      </w:pPr>
      <w:hyperlink r:id="rId13">
        <w:r>
          <w:rPr>
            <w:rFonts w:ascii="Arial" w:cs="Arial" w:eastAsia="Arial" w:hAnsi="Arial"/>
            <w:sz w:val="18"/>
            <w:szCs w:val="18"/>
            <w:u w:val="single" w:color="auto"/>
            <w:color w:val="0000EE"/>
          </w:rPr>
          <w:t>Perella Weinberg Partners</w:t>
        </w:r>
        <w:r>
          <w:rPr>
            <w:rFonts w:ascii="Arial" w:cs="Arial" w:eastAsia="Arial" w:hAnsi="Arial"/>
            <w:sz w:val="18"/>
            <w:szCs w:val="18"/>
            <w:color w:val="0000EE"/>
          </w:rPr>
          <w:t xml:space="preserve"> </w:t>
        </w:r>
      </w:hyperlink>
      <w:r>
        <w:rPr>
          <w:rFonts w:ascii="Arial" w:cs="Arial" w:eastAsia="Arial" w:hAnsi="Arial"/>
          <w:sz w:val="18"/>
          <w:szCs w:val="18"/>
          <w:color w:val="000000"/>
        </w:rPr>
        <w:t>[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PWP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00"/>
        </w:rPr>
        <w:t>]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06/24/2021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-2" w:right="660" w:firstLine="2"/>
        <w:spacing w:after="0" w:line="234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81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Chief Financial Officer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2" w:space="720"/>
            <w:col w:w="3338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NEW YORK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10153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B-1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PWP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727.06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Professional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06/24/2021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727,060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727,060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2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LP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PWP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PWP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Holdings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727,060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Professional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LP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2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06/24/2021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727,060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$</w:t>
            </w: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0.00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727,060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vertAlign w:val="subscript"/>
              </w:rPr>
              <w:t>LP</w:t>
            </w: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160"/>
        <w:spacing w:after="0" w:line="232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Concurrently with an exchange of PWP Holdings LP Common Units (which represent Class A partnership units of PWP Holdings LP) ("PWP OpCo Units") for shares of Class A common stock ("Class A Shares") or cash by a PWP Holdings LP unitholder ("Unitholder") who also holds shares of Class B-1 common stock ("Class B-1 Shares"), such Unitholder will be required to surrender to the Issuer a number of Class B-1 Shares equal to the number of PWP OpCo Units exchanged, and such Class B-1 Shares will be converted into Class A Shares or, at the option of the Issuer, for an equivalent amount of cash, which will be delivered to such Unitholder at a conversion rate of 0.001 Class A Share for one Class B-1 Share.</w:t>
      </w:r>
    </w:p>
    <w:p>
      <w:pPr>
        <w:spacing w:after="0" w:line="3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disclaims beneficial ownership of the securities held by PWP Professional Partners LP, except to the extent of his pecuniary interest therein.</w:t>
      </w:r>
    </w:p>
    <w:p>
      <w:pPr>
        <w:spacing w:after="0" w:line="4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/>
        <w:spacing w:after="0" w:line="242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Subject to certain lock-up periods, PWP OpCo Units, upon the surrender of an equal number of Class B-1 Shares, may be exchanged for Class A Shares on a one-for-one basis or, at the option of the Issuer, for an equivalent amount of cash. PWP OpCo Units do not expire.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Mark Polemeni, as Attorney-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06/28/2021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-26035</wp:posOffset>
            </wp:positionV>
            <wp:extent cx="13468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-14605</wp:posOffset>
            </wp:positionV>
            <wp:extent cx="2965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5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5585460</wp:posOffset>
            </wp:positionH>
            <wp:positionV relativeFrom="paragraph">
              <wp:posOffset>-79375</wp:posOffset>
            </wp:positionV>
            <wp:extent cx="4768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/>
        <w:spacing w:after="0" w:line="327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58340" TargetMode="External"/><Relationship Id="rId13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2021-06-28T20:24:22Z</dcterms:created>
  <dcterms:modified xsi:type="dcterms:W3CDTF">2021-06-28T20:24:22Z</dcterms:modified>
</cp:coreProperties>
</file>