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12" w:before="0" w:after="0"/>
        <w:jc w:val="right"/>
        <w:rPr/>
      </w:pPr>
      <w:bookmarkStart w:id="0" w:name="pwp-20210630.htm"/>
      <w:bookmarkStart w:id="1" w:name="kspwp20210630"/>
      <w:bookmarkEnd w:id="0"/>
      <w:bookmarkEnd w:id="1"/>
      <w:r>
        <w:rPr/>
        <w:t> </w:t>
      </w:r>
    </w:p>
    <w:p>
      <w:pPr>
        <w:pStyle w:val="TextBody"/>
        <w:spacing w:lineRule="auto" w:line="312" w:before="0" w:after="0"/>
        <w:jc w:val="both"/>
        <w:rPr/>
      </w:pPr>
      <w:r>
        <w:rPr/>
        <w:t> </w:t>
      </w:r>
    </w:p>
    <w:p>
      <w:pPr>
        <w:pStyle w:val="TextBody"/>
        <w:pBdr>
          <w:top w:val="double" w:sz="18" w:space="1" w:color="000000"/>
        </w:pBdr>
        <w:spacing w:lineRule="auto" w:line="312" w:before="0" w:after="0"/>
        <w:jc w:val="left"/>
        <w:rPr/>
      </w:pPr>
      <w:r>
        <w:rPr/>
        <w:t> </w:t>
      </w:r>
    </w:p>
    <w:p>
      <w:pPr>
        <w:pStyle w:val="TextBody"/>
        <w:spacing w:lineRule="auto" w:line="312" w:before="0" w:after="0"/>
        <w:jc w:val="center"/>
        <w:rPr>
          <w:rFonts w:ascii="Times New Roman" w:hAnsi="Times New Roman"/>
          <w:b/>
          <w:sz w:val="36"/>
        </w:rPr>
      </w:pPr>
      <w:r>
        <w:rPr>
          <w:rFonts w:ascii="Times New Roman" w:hAnsi="Times New Roman"/>
          <w:b/>
          <w:sz w:val="36"/>
        </w:rPr>
        <w:t>UNITED STATES</w:t>
      </w:r>
    </w:p>
    <w:p>
      <w:pPr>
        <w:pStyle w:val="TextBody"/>
        <w:spacing w:lineRule="auto" w:line="312" w:before="0" w:after="0"/>
        <w:jc w:val="center"/>
        <w:rPr>
          <w:rFonts w:ascii="Times New Roman" w:hAnsi="Times New Roman"/>
          <w:b/>
          <w:sz w:val="36"/>
        </w:rPr>
      </w:pPr>
      <w:r>
        <w:rPr>
          <w:rFonts w:ascii="Times New Roman" w:hAnsi="Times New Roman"/>
          <w:b/>
          <w:sz w:val="36"/>
        </w:rPr>
        <w:t>SECURITIES AND EXCHANGE COMMISSION</w:t>
      </w:r>
    </w:p>
    <w:p>
      <w:pPr>
        <w:pStyle w:val="TextBody"/>
        <w:spacing w:lineRule="auto" w:line="312" w:before="0" w:after="0"/>
        <w:jc w:val="center"/>
        <w:rPr>
          <w:rFonts w:ascii="Times New Roman" w:hAnsi="Times New Roman"/>
          <w:b/>
          <w:sz w:val="24"/>
        </w:rPr>
      </w:pPr>
      <w:r>
        <w:rPr>
          <w:rFonts w:ascii="Times New Roman" w:hAnsi="Times New Roman"/>
          <w:b/>
          <w:sz w:val="24"/>
        </w:rPr>
        <w:t>WASHINGTON, DC 20549</w:t>
      </w:r>
    </w:p>
    <w:p>
      <w:pPr>
        <w:pStyle w:val="TextBody"/>
        <w:pBdr>
          <w:bottom w:val="single" w:sz="8" w:space="1" w:color="000000"/>
        </w:pBdr>
        <w:spacing w:lineRule="auto" w:line="312" w:before="0" w:after="0"/>
        <w:jc w:val="center"/>
        <w:rPr/>
      </w:pPr>
      <w:r>
        <w:rPr/>
        <w:t> </w:t>
      </w:r>
    </w:p>
    <w:p>
      <w:pPr>
        <w:pStyle w:val="TextBody"/>
        <w:spacing w:lineRule="auto" w:line="312" w:before="0" w:after="0"/>
        <w:jc w:val="center"/>
        <w:rPr>
          <w:rFonts w:ascii="Times New Roman" w:hAnsi="Times New Roman"/>
          <w:sz w:val="20"/>
        </w:rPr>
      </w:pPr>
      <w:r>
        <w:rPr>
          <w:rFonts w:ascii="Times New Roman" w:hAnsi="Times New Roman"/>
          <w:b/>
          <w:sz w:val="36"/>
        </w:rPr>
        <w:t>FORM 10-Q</w:t>
      </w:r>
      <w:r>
        <w:rPr>
          <w:rFonts w:ascii="Times New Roman" w:hAnsi="Times New Roman"/>
          <w:sz w:val="20"/>
        </w:rPr>
        <w:t xml:space="preserve"> </w:t>
      </w:r>
    </w:p>
    <w:p>
      <w:pPr>
        <w:pStyle w:val="TextBody"/>
        <w:pBdr>
          <w:bottom w:val="single" w:sz="8" w:space="1" w:color="000000"/>
        </w:pBdr>
        <w:spacing w:lineRule="auto" w:line="312" w:before="0" w:after="0"/>
        <w:jc w:val="center"/>
        <w:rPr/>
      </w:pPr>
      <w:r>
        <w:rPr/>
        <w:t> </w:t>
      </w:r>
    </w:p>
    <w:p>
      <w:pPr>
        <w:pStyle w:val="TextBody"/>
        <w:spacing w:lineRule="auto" w:line="312" w:before="0" w:after="0"/>
        <w:jc w:val="left"/>
        <w:rPr>
          <w:rFonts w:ascii="Times New Roman" w:hAnsi="Times New Roman"/>
          <w:b/>
          <w:sz w:val="16"/>
        </w:rPr>
      </w:pPr>
      <w:r>
        <w:rPr>
          <w:rFonts w:ascii="Times New Roman" w:hAnsi="Times New Roman"/>
          <w:b/>
          <w:sz w:val="16"/>
        </w:rPr>
        <w:t>(Mark One)</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94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QUARTERLY REPORT PURSUANT TO SECTION 13 OR 15(d) OF THE SECURITIES EXCHANGE ACT OF 1934</w:t>
            </w:r>
          </w:p>
        </w:tc>
      </w:tr>
    </w:tbl>
    <w:p>
      <w:pPr>
        <w:pStyle w:val="TextBody"/>
        <w:spacing w:lineRule="auto" w:line="312" w:before="0" w:after="0"/>
        <w:jc w:val="center"/>
        <w:rPr>
          <w:rFonts w:ascii="Times New Roman" w:hAnsi="Times New Roman"/>
          <w:b/>
          <w:sz w:val="20"/>
        </w:rPr>
      </w:pPr>
      <w:r>
        <w:rPr>
          <w:rFonts w:ascii="Times New Roman" w:hAnsi="Times New Roman"/>
          <w:b/>
          <w:sz w:val="20"/>
        </w:rPr>
        <w:t>FOR THE QUARTERLY PERIOD ENDED JUNE 30, 2021</w:t>
      </w:r>
    </w:p>
    <w:p>
      <w:pPr>
        <w:pStyle w:val="TextBody"/>
        <w:spacing w:lineRule="auto" w:line="312" w:before="0" w:after="0"/>
        <w:jc w:val="center"/>
        <w:rPr>
          <w:rFonts w:ascii="Times New Roman" w:hAnsi="Times New Roman"/>
          <w:b/>
          <w:sz w:val="20"/>
        </w:rPr>
      </w:pPr>
      <w:r>
        <w:rPr>
          <w:rFonts w:ascii="Times New Roman" w:hAnsi="Times New Roman"/>
          <w:b/>
          <w:sz w:val="20"/>
        </w:rPr>
        <w:t>OR</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94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TRANSITION REPORT PURSUANT TO SECTION 13 OR 15(d) OF THE SECURITIES EXCHANGE ACT OF 1934</w:t>
            </w:r>
          </w:p>
        </w:tc>
      </w:tr>
    </w:tbl>
    <w:p>
      <w:pPr>
        <w:pStyle w:val="TextBody"/>
        <w:spacing w:lineRule="auto" w:line="312" w:before="0" w:after="0"/>
        <w:jc w:val="center"/>
        <w:rPr>
          <w:rFonts w:ascii="Times New Roman" w:hAnsi="Times New Roman"/>
          <w:sz w:val="20"/>
        </w:rPr>
      </w:pPr>
      <w:r>
        <w:rPr>
          <w:rFonts w:ascii="Times New Roman" w:hAnsi="Times New Roman"/>
          <w:b/>
          <w:sz w:val="20"/>
        </w:rPr>
        <w:t>FOR THE TRANSITION PERIOD FROM TO</w:t>
      </w:r>
      <w:r>
        <w:rPr>
          <w:rFonts w:ascii="Times New Roman" w:hAnsi="Times New Roman"/>
          <w:sz w:val="20"/>
        </w:rPr>
        <w:t xml:space="preserve"> </w:t>
      </w:r>
    </w:p>
    <w:p>
      <w:pPr>
        <w:pStyle w:val="TextBody"/>
        <w:spacing w:lineRule="auto" w:line="312" w:before="0" w:after="0"/>
        <w:jc w:val="center"/>
        <w:rPr>
          <w:rFonts w:ascii="Times New Roman" w:hAnsi="Times New Roman"/>
          <w:b/>
          <w:sz w:val="16"/>
        </w:rPr>
      </w:pPr>
      <w:r>
        <w:rPr>
          <w:rFonts w:ascii="Times New Roman" w:hAnsi="Times New Roman"/>
          <w:b/>
          <w:sz w:val="16"/>
        </w:rPr>
        <w:t>Commission File Number: 001-39558</w:t>
      </w:r>
    </w:p>
    <w:p>
      <w:pPr>
        <w:pStyle w:val="TextBody"/>
        <w:pBdr>
          <w:bottom w:val="single" w:sz="8" w:space="1" w:color="000000"/>
        </w:pBdr>
        <w:spacing w:lineRule="auto" w:line="312" w:before="0" w:after="0"/>
        <w:jc w:val="center"/>
        <w:rPr/>
      </w:pPr>
      <w:r>
        <w:rPr/>
        <w:t> </w:t>
      </w:r>
    </w:p>
    <w:p>
      <w:pPr>
        <w:pStyle w:val="TextBody"/>
        <w:spacing w:lineRule="auto" w:line="312" w:before="0" w:after="0"/>
        <w:jc w:val="center"/>
        <w:rPr>
          <w:rFonts w:ascii="Times New Roman" w:hAnsi="Times New Roman"/>
          <w:b/>
          <w:sz w:val="48"/>
        </w:rPr>
      </w:pPr>
      <w:r>
        <w:rPr>
          <w:rFonts w:ascii="Times New Roman" w:hAnsi="Times New Roman"/>
          <w:b/>
          <w:sz w:val="48"/>
        </w:rPr>
        <w:t>PERELLA WEINBERG PARTNERS</w:t>
      </w:r>
    </w:p>
    <w:p>
      <w:pPr>
        <w:pStyle w:val="TextBody"/>
        <w:spacing w:lineRule="auto" w:line="312" w:before="0" w:after="0"/>
        <w:jc w:val="center"/>
        <w:rPr>
          <w:rFonts w:ascii="Times New Roman" w:hAnsi="Times New Roman"/>
          <w:b/>
          <w:sz w:val="14"/>
        </w:rPr>
      </w:pPr>
      <w:r>
        <w:rPr>
          <w:rFonts w:ascii="Times New Roman" w:hAnsi="Times New Roman"/>
          <w:b/>
          <w:sz w:val="14"/>
        </w:rPr>
        <w:t>(Exact Name of Registrant as Specified in its Charter)</w:t>
      </w:r>
    </w:p>
    <w:p>
      <w:pPr>
        <w:pStyle w:val="TextBody"/>
        <w:pBdr>
          <w:bottom w:val="single" w:sz="8" w:space="1" w:color="000000"/>
        </w:pBdr>
        <w:spacing w:lineRule="auto" w:line="312" w:before="0" w:after="0"/>
        <w:jc w:val="center"/>
        <w:rPr/>
      </w:pPr>
      <w:r>
        <w:rPr/>
        <w:t> </w:t>
      </w:r>
    </w:p>
    <w:p>
      <w:pPr>
        <w:pStyle w:val="TextBody"/>
        <w:spacing w:lineRule="auto" w:line="312" w:before="0" w:after="0"/>
        <w:jc w:val="left"/>
        <w:rPr/>
      </w:pPr>
      <w:r>
        <w:rPr/>
        <w:t> </w:t>
      </w:r>
    </w:p>
    <w:tbl>
      <w:tblPr>
        <w:tblW w:w="3677" w:type="dxa"/>
        <w:jc w:val="left"/>
        <w:tblInd w:w="0" w:type="dxa"/>
        <w:tblCellMar>
          <w:top w:w="28" w:type="dxa"/>
          <w:left w:w="28" w:type="dxa"/>
          <w:bottom w:w="28" w:type="dxa"/>
          <w:right w:w="28" w:type="dxa"/>
        </w:tblCellMar>
      </w:tblPr>
      <w:tblGrid>
        <w:gridCol w:w="2431"/>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Delaware</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84-1770732</w:t>
            </w:r>
          </w:p>
        </w:tc>
      </w:tr>
      <w:tr>
        <w:trPr/>
        <w:tc>
          <w:tcPr>
            <w:tcW w:w="24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 State or other jurisdiction of</w:t>
            </w:r>
          </w:p>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24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767 Fifth Avenue</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New York, NY</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10153</w:t>
            </w:r>
          </w:p>
        </w:tc>
      </w:tr>
      <w:tr>
        <w:trPr/>
        <w:tc>
          <w:tcPr>
            <w:tcW w:w="24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312" w:before="0" w:after="0"/>
        <w:jc w:val="center"/>
        <w:rPr>
          <w:rFonts w:ascii="Times New Roman" w:hAnsi="Times New Roman"/>
          <w:b/>
          <w:sz w:val="20"/>
        </w:rPr>
      </w:pPr>
      <w:r>
        <w:rPr>
          <w:rFonts w:ascii="Times New Roman" w:hAnsi="Times New Roman"/>
          <w:b/>
          <w:sz w:val="20"/>
        </w:rPr>
        <w:t>Registrant’s telephone number, including area code: (212) 287-3200</w:t>
      </w:r>
    </w:p>
    <w:p>
      <w:pPr>
        <w:pStyle w:val="TextBody"/>
        <w:pBdr>
          <w:bottom w:val="single" w:sz="8" w:space="1" w:color="000000"/>
        </w:pBdr>
        <w:spacing w:lineRule="auto" w:line="312" w:before="0" w:after="0"/>
        <w:jc w:val="center"/>
        <w:rPr/>
      </w:pPr>
      <w:r>
        <w:rPr/>
        <w:t> </w:t>
      </w:r>
    </w:p>
    <w:p>
      <w:pPr>
        <w:pStyle w:val="TextBody"/>
        <w:spacing w:lineRule="auto" w:line="312" w:before="0" w:after="0"/>
        <w:jc w:val="center"/>
        <w:rPr>
          <w:rFonts w:ascii="Times New Roman" w:hAnsi="Times New Roman"/>
          <w:sz w:val="20"/>
        </w:rPr>
      </w:pPr>
      <w:r>
        <w:rPr>
          <w:rFonts w:ascii="Times New Roman" w:hAnsi="Times New Roman"/>
          <w:b w:val="false"/>
          <w:sz w:val="18"/>
        </w:rPr>
        <w:t>Securities registered pursuant to Section 12(b) of the Act:</w:t>
      </w:r>
      <w:r>
        <w:rPr>
          <w:rFonts w:ascii="Times New Roman" w:hAnsi="Times New Roman"/>
          <w:sz w:val="20"/>
        </w:rPr>
        <w:t xml:space="preserve"> </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5443"/>
        <w:gridCol w:w="146"/>
        <w:gridCol w:w="1388"/>
        <w:gridCol w:w="146"/>
        <w:gridCol w:w="3082"/>
      </w:tblGrid>
      <w:tr>
        <w:trPr/>
        <w:tc>
          <w:tcPr>
            <w:tcW w:w="54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82" w:type="dxa"/>
            <w:tcBorders/>
            <w:shd w:fill="auto" w:val="clear"/>
            <w:vAlign w:val="center"/>
          </w:tcPr>
          <w:p>
            <w:pPr>
              <w:pStyle w:val="TableContents"/>
              <w:spacing w:before="0" w:after="283"/>
              <w:rPr>
                <w:sz w:val="4"/>
                <w:szCs w:val="4"/>
              </w:rPr>
            </w:pPr>
            <w:r>
              <w:rPr>
                <w:sz w:val="4"/>
                <w:szCs w:val="4"/>
              </w:rPr>
            </w:r>
          </w:p>
        </w:tc>
      </w:tr>
      <w:tr>
        <w:trPr/>
        <w:tc>
          <w:tcPr>
            <w:tcW w:w="5443"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88"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Trading Symbol(s)</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3082"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5443"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Class A Common Stock, par value $0.0001 per share</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3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18"/>
              </w:rPr>
              <w:t>PWP</w:t>
            </w:r>
            <w:r>
              <w:rPr>
                <w:rFonts w:ascii="Times New Roman" w:hAnsi="Times New Roman"/>
                <w:sz w:val="20"/>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308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Nasdaq Global Select Market</w:t>
            </w:r>
          </w:p>
        </w:tc>
      </w:tr>
      <w:tr>
        <w:trPr/>
        <w:tc>
          <w:tcPr>
            <w:tcW w:w="5443"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Warrants, each whole warrant exercisable for one share of Class A common stock</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3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PWPPW</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308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Nasdaq Global Select Market</w:t>
            </w:r>
          </w:p>
        </w:tc>
      </w:tr>
    </w:tbl>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    </w:t>
      </w:r>
      <w:r>
        <w:rPr>
          <w:rFonts w:ascii="Times New Roman" w:hAnsi="Times New Roman"/>
          <w:b w:val="false"/>
          <w:sz w:val="18"/>
        </w:rPr>
        <w:t>No  </w:t>
      </w:r>
      <w:r>
        <w:rPr>
          <w:rFonts w:ascii="Times New Roman" w:hAnsi="Times New Roman"/>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    </w:t>
      </w:r>
      <w:r>
        <w:rPr>
          <w:rFonts w:ascii="Times New Roman" w:hAnsi="Times New Roman"/>
          <w:b w:val="false"/>
          <w:sz w:val="18"/>
        </w:rPr>
        <w:t>No  </w:t>
      </w:r>
      <w:r>
        <w:rPr>
          <w:rFonts w:ascii="Times New Roman" w:hAnsi="Times New Roman"/>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18"/>
        </w:rPr>
      </w:pPr>
      <w:r>
        <w:rPr>
          <w:rFonts w:ascii="Times New Roman" w:hAnsi="Times New Roman"/>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312" w:before="0" w:after="0"/>
        <w:jc w:val="left"/>
        <w:rPr/>
      </w:pPr>
      <w:r>
        <w:rPr/>
        <w:t> </w:t>
      </w:r>
    </w:p>
    <w:tbl>
      <w:tblPr>
        <w:tblW w:w="4676" w:type="dxa"/>
        <w:jc w:val="left"/>
        <w:tblInd w:w="0" w:type="dxa"/>
        <w:tblCellMar>
          <w:top w:w="28" w:type="dxa"/>
          <w:left w:w="28" w:type="dxa"/>
          <w:bottom w:w="28" w:type="dxa"/>
          <w:right w:w="28" w:type="dxa"/>
        </w:tblCellMar>
      </w:tblPr>
      <w:tblGrid>
        <w:gridCol w:w="1666"/>
        <w:gridCol w:w="146"/>
        <w:gridCol w:w="31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20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20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r>
    </w:tbl>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Indicate by check mark whether the registrant is a shell company (as defined in Rule 12b-2 of the Exchange Act).    Yes  </w:t>
      </w:r>
      <w:r>
        <w:rPr>
          <w:rFonts w:ascii="Times New Roman" w:hAnsi="Times New Roman"/>
          <w:sz w:val="20"/>
        </w:rPr>
        <w:t>☐    </w:t>
      </w:r>
      <w:r>
        <w:rPr>
          <w:rFonts w:ascii="Times New Roman" w:hAnsi="Times New Roman"/>
          <w:b w:val="false"/>
          <w:sz w:val="18"/>
        </w:rPr>
        <w:t>No  </w:t>
      </w:r>
      <w:r>
        <w:rPr>
          <w:rFonts w:ascii="Times New Roman" w:hAnsi="Times New Roman"/>
          <w:sz w:val="20"/>
        </w:rPr>
        <w:t>☒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sz w:val="20"/>
        </w:rPr>
        <w:t>☒    </w:t>
      </w:r>
      <w:r>
        <w:rPr>
          <w:rFonts w:ascii="Times New Roman" w:hAnsi="Times New Roman"/>
          <w:b w:val="false"/>
          <w:sz w:val="18"/>
        </w:rPr>
        <w:t>No  </w:t>
      </w:r>
      <w:r>
        <w:rPr>
          <w:rFonts w:ascii="Times New Roman" w:hAnsi="Times New Roman"/>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As of August 10, 2021, the registrant had 41,956,667</w:t>
      </w:r>
      <w:r>
        <w:rPr>
          <w:rFonts w:ascii="Times New Roman" w:hAnsi="Times New Roman"/>
          <w:sz w:val="20"/>
        </w:rPr>
        <w:t xml:space="preserve"> </w:t>
      </w:r>
      <w:r>
        <w:rPr>
          <w:rFonts w:ascii="Times New Roman" w:hAnsi="Times New Roman"/>
          <w:b w:val="false"/>
          <w:sz w:val="18"/>
        </w:rPr>
        <w:t>shares of Class A common stock, par value $0.0001 per share, and 50,154,199</w:t>
      </w:r>
      <w:r>
        <w:rPr>
          <w:rFonts w:ascii="Times New Roman" w:hAnsi="Times New Roman"/>
          <w:sz w:val="20"/>
        </w:rPr>
        <w:t xml:space="preserve"> </w:t>
      </w:r>
      <w:r>
        <w:rPr>
          <w:rFonts w:ascii="Times New Roman" w:hAnsi="Times New Roman"/>
          <w:b w:val="false"/>
          <w:sz w:val="18"/>
        </w:rPr>
        <w:t>shares of Class B common stock, par value $0.0001 per share, outstanding.</w:t>
      </w:r>
    </w:p>
    <w:p>
      <w:pPr>
        <w:pStyle w:val="TextBody"/>
        <w:pBdr>
          <w:bottom w:val="double" w:sz="18" w:space="1" w:color="000000"/>
        </w:pBdr>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pPr>
      <w:r>
        <w:rPr/>
        <w:t> </w:t>
      </w:r>
    </w:p>
    <w:p>
      <w:pPr>
        <w:pStyle w:val="TextBody"/>
        <w:spacing w:lineRule="auto" w:line="312" w:before="0" w:after="0"/>
        <w:jc w:val="both"/>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0" w:after="0"/>
        <w:jc w:val="center"/>
        <w:rPr>
          <w:rFonts w:ascii="Times New Roman" w:hAnsi="Times New Roman"/>
          <w:b/>
          <w:sz w:val="20"/>
        </w:rPr>
      </w:pPr>
      <w:r>
        <w:rPr>
          <w:rFonts w:ascii="Times New Roman" w:hAnsi="Times New Roman"/>
          <w:b/>
          <w:sz w:val="20"/>
        </w:rPr>
        <w:t>Table of Contents</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836"/>
        <w:gridCol w:w="8857"/>
        <w:gridCol w:w="512"/>
      </w:tblGrid>
      <w:tr>
        <w:trPr/>
        <w:tc>
          <w:tcPr>
            <w:tcW w:w="836" w:type="dxa"/>
            <w:tcBorders/>
            <w:shd w:fill="auto" w:val="clear"/>
            <w:vAlign w:val="center"/>
          </w:tcPr>
          <w:p>
            <w:pPr>
              <w:pStyle w:val="TableContents"/>
              <w:spacing w:before="0" w:after="283"/>
              <w:rPr>
                <w:sz w:val="4"/>
                <w:szCs w:val="4"/>
              </w:rPr>
            </w:pPr>
            <w:r>
              <w:rPr>
                <w:sz w:val="4"/>
                <w:szCs w:val="4"/>
              </w:rPr>
            </w:r>
          </w:p>
        </w:tc>
        <w:tc>
          <w:tcPr>
            <w:tcW w:w="8857"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5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Page</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PART I.</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art_i_financial_information">
              <w:r>
                <w:rPr>
                  <w:rStyle w:val="InternetLink"/>
                  <w:rFonts w:ascii="Times New Roman" w:hAnsi="Times New Roman"/>
                  <w:b w:val="false"/>
                  <w:sz w:val="20"/>
                  <w:u w:val="single"/>
                </w:rPr>
                <w:t>FINANCIAL INFORMATION</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pPr>
            <w:r>
              <w:rPr/>
              <w:t> </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inancial_statements">
              <w:r>
                <w:rPr>
                  <w:rStyle w:val="InternetLink"/>
                  <w:rFonts w:ascii="Times New Roman" w:hAnsi="Times New Roman"/>
                  <w:b w:val="false"/>
                  <w:sz w:val="20"/>
                  <w:u w:val="single"/>
                </w:rPr>
                <w:t>Financial Statements (Unaudited)</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balance_sheet">
              <w:r>
                <w:rPr>
                  <w:rStyle w:val="InternetLink"/>
                  <w:rFonts w:ascii="Times New Roman" w:hAnsi="Times New Roman"/>
                  <w:b w:val="false"/>
                  <w:sz w:val="20"/>
                  <w:u w:val="single"/>
                </w:rPr>
                <w:t>Condensed Consolidated Statements of Financial Condition as of June 30, 2021 and December 31, 2020</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_of_operations">
              <w:r>
                <w:rPr>
                  <w:rStyle w:val="InternetLink"/>
                  <w:rFonts w:ascii="Times New Roman" w:hAnsi="Times New Roman"/>
                  <w:b w:val="false"/>
                  <w:sz w:val="20"/>
                  <w:u w:val="single"/>
                </w:rPr>
                <w:t>Condensed Consolidated Statements of Operations for the Three and Six Months Ended June 30, 2021 and 2020</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_of_oci">
              <w:r>
                <w:rPr>
                  <w:rStyle w:val="InternetLink"/>
                  <w:rFonts w:ascii="Times New Roman" w:hAnsi="Times New Roman"/>
                  <w:b w:val="false"/>
                  <w:sz w:val="20"/>
                  <w:u w:val="single"/>
                </w:rPr>
                <w:t>Condensed Consolidated Statements of Comprehensive Income (Loss) for the Three and Six Months Ended June 30, 2021 and 2020</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_of_equity">
              <w:r>
                <w:rPr>
                  <w:rStyle w:val="InternetLink"/>
                  <w:rFonts w:ascii="Times New Roman" w:hAnsi="Times New Roman"/>
                  <w:b w:val="false"/>
                  <w:sz w:val="20"/>
                  <w:u w:val="single"/>
                </w:rPr>
                <w:t>Condensed Consolidated Statements of Changes in Equity for the Three and Six Months Ended June 30, 2021 and 2020</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_of_cash_flows">
              <w:r>
                <w:rPr>
                  <w:rStyle w:val="InternetLink"/>
                  <w:rFonts w:ascii="Times New Roman" w:hAnsi="Times New Roman"/>
                  <w:b w:val="false"/>
                  <w:sz w:val="20"/>
                  <w:u w:val="single"/>
                </w:rPr>
                <w:t>Condensed Consolidated Statements of Cash Flows for the Six Months Ended June 30, 2021 and 2020</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notes_to_financial_statements">
              <w:r>
                <w:rPr>
                  <w:rStyle w:val="InternetLink"/>
                  <w:rFonts w:ascii="Times New Roman" w:hAnsi="Times New Roman"/>
                  <w:b w:val="false"/>
                  <w:sz w:val="20"/>
                  <w:u w:val="single"/>
                </w:rPr>
                <w:t>Notes to Condensed Consolidated Financial Statements (Unaudited)</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2_mda">
              <w:r>
                <w:rPr>
                  <w:rStyle w:val="InternetLink"/>
                  <w:rFonts w:ascii="Times New Roman" w:hAnsi="Times New Roman"/>
                  <w:b w:val="false"/>
                  <w:sz w:val="20"/>
                  <w:u w:val="single"/>
                </w:rPr>
                <w:t>Management’s Discussion and Analysis of Financial Condition and Results of Operations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3_market_risk">
              <w:r>
                <w:rPr>
                  <w:rStyle w:val="InternetLink"/>
                  <w:rFonts w:ascii="Times New Roman" w:hAnsi="Times New Roman"/>
                  <w:b w:val="false"/>
                  <w:sz w:val="20"/>
                  <w:u w:val="single"/>
                </w:rPr>
                <w:t>Quantitative and Qualitative Disclosures About Market Risk</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4_controls">
              <w:r>
                <w:rPr>
                  <w:rStyle w:val="InternetLink"/>
                  <w:rFonts w:ascii="Times New Roman" w:hAnsi="Times New Roman"/>
                  <w:b w:val="false"/>
                  <w:sz w:val="20"/>
                  <w:u w:val="single"/>
                </w:rPr>
                <w:t>Controls and Procedures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PART II.</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art_ii_other_information">
              <w:r>
                <w:rPr>
                  <w:rStyle w:val="InternetLink"/>
                  <w:rFonts w:ascii="Times New Roman" w:hAnsi="Times New Roman"/>
                  <w:b w:val="false"/>
                  <w:sz w:val="20"/>
                  <w:u w:val="single"/>
                </w:rPr>
                <w:t>OTHER INFORMATION</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pPr>
            <w:r>
              <w:rPr/>
              <w:t> </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1_legal_proceedings">
              <w:r>
                <w:rPr>
                  <w:rStyle w:val="InternetLink"/>
                  <w:rFonts w:ascii="Times New Roman" w:hAnsi="Times New Roman"/>
                  <w:b w:val="false"/>
                  <w:sz w:val="20"/>
                  <w:u w:val="single"/>
                </w:rPr>
                <w:t>Legal Proceedings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1a_risk_factors">
              <w:r>
                <w:rPr>
                  <w:rStyle w:val="InternetLink"/>
                  <w:rFonts w:ascii="Times New Roman" w:hAnsi="Times New Roman"/>
                  <w:b w:val="false"/>
                  <w:sz w:val="20"/>
                  <w:u w:val="single"/>
                </w:rPr>
                <w:t>Risk Factors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2_unregistered_sales_securities">
              <w:r>
                <w:rPr>
                  <w:rStyle w:val="InternetLink"/>
                  <w:rFonts w:ascii="Times New Roman" w:hAnsi="Times New Roman"/>
                  <w:b w:val="false"/>
                  <w:sz w:val="20"/>
                  <w:u w:val="single"/>
                </w:rPr>
                <w:t>Unregistered Sales of Equity Securities and Use of Proceeds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87</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3_defaults_upon_senior_securities">
              <w:r>
                <w:rPr>
                  <w:rStyle w:val="InternetLink"/>
                  <w:rFonts w:ascii="Times New Roman" w:hAnsi="Times New Roman"/>
                  <w:b w:val="false"/>
                  <w:sz w:val="20"/>
                  <w:u w:val="single"/>
                </w:rPr>
                <w:t>Defaults Upon Senior Securities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4_mine_safety">
              <w:r>
                <w:rPr>
                  <w:rStyle w:val="InternetLink"/>
                  <w:rFonts w:ascii="Times New Roman" w:hAnsi="Times New Roman"/>
                  <w:b w:val="false"/>
                  <w:sz w:val="20"/>
                  <w:u w:val="single"/>
                </w:rPr>
                <w:t>Mine Safety Disclosures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5_other_information">
              <w:r>
                <w:rPr>
                  <w:rStyle w:val="InternetLink"/>
                  <w:rFonts w:ascii="Times New Roman" w:hAnsi="Times New Roman"/>
                  <w:b w:val="false"/>
                  <w:sz w:val="20"/>
                  <w:u w:val="single"/>
                </w:rPr>
                <w:t>Other Information</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w:t>
            </w:r>
          </w:p>
        </w:tc>
      </w:tr>
      <w:tr>
        <w:trPr/>
        <w:tc>
          <w:tcPr>
            <w:tcW w:w="83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885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6_exhibits">
              <w:r>
                <w:rPr>
                  <w:rStyle w:val="InternetLink"/>
                  <w:rFonts w:ascii="Times New Roman" w:hAnsi="Times New Roman"/>
                  <w:b w:val="false"/>
                  <w:sz w:val="20"/>
                  <w:u w:val="single"/>
                </w:rPr>
                <w:t>Exhibits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89</w:t>
            </w:r>
          </w:p>
        </w:tc>
      </w:tr>
      <w:tr>
        <w:trPr/>
        <w:tc>
          <w:tcPr>
            <w:tcW w:w="9693" w:type="dxa"/>
            <w:gridSpan w:val="2"/>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51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w:t>
            </w:r>
          </w:p>
        </w:tc>
      </w:tr>
    </w:tbl>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312" w:before="240" w:after="0"/>
        <w:jc w:val="both"/>
        <w:rPr>
          <w:rFonts w:ascii="Times New Roman" w:hAnsi="Times New Roman"/>
          <w:sz w:val="20"/>
        </w:rPr>
      </w:pPr>
      <w:r>
        <w:rPr>
          <w:rFonts w:ascii="Times New Roman" w:hAnsi="Times New Roman"/>
          <w:b w:val="false"/>
          <w:sz w:val="20"/>
        </w:rPr>
        <w:t>On June 24, 2021 (the “Closing Date”), Perella Weinberg Partners (formerly known as FinTech Acquisition Corp. IV (“FTIV”)) consummated its previously announced business combination pursuant to that certain Business Combination Agreement, dated as of December 29, 2020.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r>
        <w:rPr>
          <w:rFonts w:ascii="Times New Roman" w:hAnsi="Times New Roman"/>
          <w:sz w:val="20"/>
        </w:rPr>
        <w:t xml:space="preserve"> </w:t>
      </w:r>
    </w:p>
    <w:p>
      <w:pPr>
        <w:pStyle w:val="TextBody"/>
        <w:spacing w:lineRule="auto" w:line="312" w:before="240" w:after="0"/>
        <w:jc w:val="both"/>
        <w:rPr>
          <w:rFonts w:ascii="Times New Roman" w:hAnsi="Times New Roman"/>
          <w:b/>
          <w:sz w:val="20"/>
        </w:rPr>
      </w:pPr>
      <w:r>
        <w:rPr>
          <w:rFonts w:ascii="Times New Roman" w:hAnsi="Times New Roman"/>
          <w:b/>
          <w:sz w:val="20"/>
        </w:rPr>
        <w:t>CAUTIONARY STATEMENTREGARDING FORWARD-LOOKING STATEMENTS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projected financial information, anticipated growth rate, and market opportunity of the Company;</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ability to maintain the listing of the Company’s Class A common stock and warrants on Nasdaq following the Business Combination;</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public securities’ potential liquidity and trading;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success in retaining or recruiting partners and other employees, or changes related to, our officers, key employees or directors following the completion of the Business Combination;</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members of our management team allocating their time to other businesses and potentially having conflicts of interest with our business;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factors relating to the business, operations and financial performance of the Company, including:</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whether the Company realizes all or any of the anticipated benefits from the Business Combination;</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whether the Business Combination results in any increased or unforeseen costs or has an impact on the Company’s ability to retain or compete for professional talent or investor capital;</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global economic, business, market and geopolitical conditions, including the impact of public health crises, such as the ongoing rapid, worldwide spread of a novel strain of coronavirus and the pandemic caused thereby (collectively, “COVID-19”);</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Company’s dependence on and ability to retain working partners and other key employees;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Company’s ability to successfully identify, recruit and develop talent;</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risks associated with strategic transactions, such as joint ventures, strategic investments, acquisitions and dispositions;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conditions impacting the corporate advisory industry;</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283"/>
        <w:rPr>
          <w:rFonts w:ascii="Times New Roman" w:hAnsi="Times New Roman"/>
          <w:b w:val="false"/>
          <w:sz w:val="20"/>
        </w:rPr>
      </w:pPr>
      <w:r>
        <w:rPr>
          <w:rFonts w:ascii="Times New Roman" w:hAnsi="Times New Roman"/>
          <w:b w:val="false"/>
          <w:sz w:val="20"/>
        </w:rPr>
        <w:t>the Company’s dependence on its fee-paying clients and fluctuating revenues from its non-exclusive, engagement-by-engagement business model;</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high volatility of the Company’s revenue as a result of its reliance on advisory fees that are largely contingent on the completion of events which may be out of its control;</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ability of the Company’s clients to pay for its services, including its restructuring clients;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strong competition from other financial advisory and investment banking firms;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potential impairment of goodwill and other intangible assets, which represent a significant portion of the Company’s assets;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Company’s successful formulation and execution of its business and growth strategies;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outcome of third-party litigation involving the Company;</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substantial litigation risks in the financial services industry;</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cybersecurity and other operational risks;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Company’s ability to expand into new markets and lines of businesses for the advisory business;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exposure to fluctuations in foreign currency exchange rates;</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assumptions relating to the Company’s operations, financial results, financial condition, business prospects, growth strategy and liquidity;</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0"/>
        <w:rPr>
          <w:rFonts w:ascii="Times New Roman" w:hAnsi="Times New Roman"/>
          <w:b w:val="false"/>
          <w:sz w:val="20"/>
        </w:rPr>
      </w:pPr>
      <w:r>
        <w:rPr>
          <w:rFonts w:ascii="Times New Roman" w:hAnsi="Times New Roman"/>
          <w:b w:val="false"/>
          <w:sz w:val="20"/>
        </w:rPr>
        <w:t>the impact of the global COVID-19 pandemic on any of the foregoing risks; and</w:t>
      </w:r>
    </w:p>
    <w:p>
      <w:pPr>
        <w:pStyle w:val="TextBody"/>
        <w:spacing w:lineRule="auto" w:line="312" w:before="120" w:after="0"/>
        <w:rPr>
          <w:rFonts w:ascii="Symbol" w:hAnsi="Symbol"/>
          <w:b w:val="false"/>
          <w:sz w:val="20"/>
        </w:rPr>
      </w:pPr>
      <w:r>
        <w:rPr>
          <w:rFonts w:ascii="Symbol" w:hAnsi="Symbol"/>
          <w:b w:val="false"/>
          <w:sz w:val="20"/>
        </w:rPr>
        <w:t>o</w:t>
      </w:r>
    </w:p>
    <w:p>
      <w:pPr>
        <w:pStyle w:val="TextBody"/>
        <w:spacing w:lineRule="auto" w:line="312" w:before="120" w:after="283"/>
        <w:rPr/>
      </w:pPr>
      <w:r>
        <w:rPr>
          <w:rFonts w:ascii="Times New Roman" w:hAnsi="Times New Roman"/>
          <w:b w:val="false"/>
          <w:sz w:val="20"/>
        </w:rPr>
        <w:t>other risks and uncertainties described under the section entitled “</w:t>
      </w:r>
      <w:r>
        <w:rPr>
          <w:rFonts w:ascii="Times New Roman" w:hAnsi="Times New Roman"/>
          <w:b w:val="false"/>
          <w:i/>
          <w:sz w:val="20"/>
        </w:rPr>
        <w:t>Risk Factors</w:t>
      </w:r>
      <w:r>
        <w:rPr/>
        <w:t xml:space="preserve">” </w:t>
      </w:r>
      <w:r>
        <w:rPr>
          <w:rFonts w:ascii="Times New Roman" w:hAnsi="Times New Roman"/>
          <w:b w:val="false"/>
          <w:sz w:val="20"/>
        </w:rPr>
        <w:t>included elsewhere in this Form 10-Q.</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pStyle w:val="TextBody"/>
        <w:spacing w:lineRule="auto" w:line="312" w:before="240" w:after="0"/>
        <w:jc w:val="both"/>
        <w:rPr>
          <w:rFonts w:ascii="Times New Roman" w:hAnsi="Times New Roman"/>
          <w:b/>
          <w:sz w:val="20"/>
        </w:rPr>
      </w:pPr>
      <w:r>
        <w:rPr>
          <w:rFonts w:ascii="Times New Roman" w:hAnsi="Times New Roman"/>
          <w:b/>
          <w:sz w:val="20"/>
        </w:rPr>
        <w:t>Website Disclosure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312" w:before="40" w:after="0"/>
        <w:jc w:val="left"/>
        <w:rPr>
          <w:rFonts w:ascii="Times New Roman" w:hAnsi="Times New Roman"/>
          <w:b/>
          <w:sz w:val="20"/>
        </w:rPr>
      </w:pPr>
      <w:bookmarkStart w:id="2" w:name="part_i_financial_information"/>
      <w:bookmarkEnd w:id="2"/>
      <w:r>
        <w:rPr>
          <w:rFonts w:ascii="Times New Roman" w:hAnsi="Times New Roman"/>
          <w:b/>
          <w:sz w:val="20"/>
        </w:rPr>
        <w:t>PART I. FINANCIAL INFORMATION</w:t>
      </w:r>
    </w:p>
    <w:p>
      <w:pPr>
        <w:pStyle w:val="TextBody"/>
        <w:spacing w:lineRule="auto" w:line="312" w:before="240" w:after="0"/>
        <w:jc w:val="left"/>
        <w:rPr>
          <w:rFonts w:ascii="Times New Roman" w:hAnsi="Times New Roman"/>
          <w:b/>
          <w:sz w:val="20"/>
        </w:rPr>
      </w:pPr>
      <w:bookmarkStart w:id="3" w:name="financial_statements"/>
      <w:bookmarkEnd w:id="3"/>
      <w:r>
        <w:rPr>
          <w:rFonts w:ascii="Times New Roman" w:hAnsi="Times New Roman"/>
          <w:b/>
          <w:sz w:val="20"/>
        </w:rPr>
        <w:t>Item 1. Financial Statements (Unaudited)</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bookmarkStart w:id="4" w:name="balance_sheet"/>
      <w:bookmarkEnd w:id="4"/>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Condensed Consolidated Statements of Financial Condition</w:t>
      </w:r>
    </w:p>
    <w:p>
      <w:pPr>
        <w:pStyle w:val="TextBody"/>
        <w:spacing w:lineRule="auto" w:line="312" w:before="4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312" w:before="40" w:after="240"/>
        <w:jc w:val="center"/>
        <w:rPr>
          <w:rFonts w:ascii="Times New Roman" w:hAnsi="Times New Roman"/>
          <w:b/>
          <w:sz w:val="20"/>
        </w:rPr>
      </w:pPr>
      <w:r>
        <w:rPr>
          <w:rFonts w:ascii="Times New Roman" w:hAnsi="Times New Roman"/>
          <w:b/>
          <w:sz w:val="20"/>
        </w:rPr>
        <w:t>(Dollars in Thousands, Except Per Share Amounts)</w:t>
      </w:r>
    </w:p>
    <w:tbl>
      <w:tblPr>
        <w:tblW w:w="10205" w:type="dxa"/>
        <w:jc w:val="left"/>
        <w:tblInd w:w="0" w:type="dxa"/>
        <w:tblCellMar>
          <w:top w:w="28" w:type="dxa"/>
          <w:left w:w="28" w:type="dxa"/>
          <w:bottom w:w="28" w:type="dxa"/>
          <w:right w:w="28" w:type="dxa"/>
        </w:tblCellMar>
      </w:tblPr>
      <w:tblGrid>
        <w:gridCol w:w="6520"/>
        <w:gridCol w:w="146"/>
        <w:gridCol w:w="240"/>
        <w:gridCol w:w="889"/>
        <w:gridCol w:w="166"/>
        <w:gridCol w:w="146"/>
        <w:gridCol w:w="315"/>
        <w:gridCol w:w="1170"/>
        <w:gridCol w:w="613"/>
      </w:tblGrid>
      <w:tr>
        <w:trPr/>
        <w:tc>
          <w:tcPr>
            <w:tcW w:w="65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6520"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December 31, 2020</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520"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85" w:type="dxa"/>
            <w:gridSpan w:val="2"/>
            <w:tcBorders/>
            <w:shd w:fill="auto" w:val="clear"/>
            <w:vAlign w:val="center"/>
          </w:tcPr>
          <w:p>
            <w:pPr>
              <w:pStyle w:val="TableContents"/>
              <w:spacing w:lineRule="auto" w:line="312" w:before="0" w:after="0"/>
              <w:ind w:left="0" w:right="0" w:hanging="0"/>
              <w:jc w:val="right"/>
              <w:rPr/>
            </w:pPr>
            <w:r>
              <w:rPr/>
              <w:t> </w:t>
            </w:r>
          </w:p>
        </w:tc>
        <w:tc>
          <w:tcPr>
            <w:tcW w:w="613" w:type="dxa"/>
            <w:tcBorders/>
            <w:shd w:fill="auto" w:val="clear"/>
            <w:vAlign w:val="center"/>
          </w:tcPr>
          <w:p>
            <w:pPr>
              <w:pStyle w:val="TableContents"/>
              <w:spacing w:lineRule="auto" w:line="312" w:before="0" w:after="0"/>
              <w:ind w:left="0" w:right="0" w:firstLine="140"/>
              <w:jc w:val="righ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349,677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329,063</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1,845</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Accounts receivable, net of allowance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85,089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40,802</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Due from related parties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289</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Fixed assets, net of accumulated 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13,282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17,189</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Intangible assets, net of accumulated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35,642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38,932</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Goodwill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34,383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34,383</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Prepaid expenses and other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21,319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25,792</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Right-of-use lease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50,008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53,444</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Deferred tax asset,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17,961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1,214</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6520"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610,452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542,953</w:t>
            </w:r>
          </w:p>
        </w:tc>
        <w:tc>
          <w:tcPr>
            <w:tcW w:w="61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520"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Liabilities and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85" w:type="dxa"/>
            <w:gridSpan w:val="2"/>
            <w:tcBorders/>
            <w:shd w:fill="auto" w:val="clear"/>
            <w:vAlign w:val="center"/>
          </w:tcPr>
          <w:p>
            <w:pPr>
              <w:pStyle w:val="TableContents"/>
              <w:spacing w:lineRule="auto" w:line="312" w:before="0" w:after="0"/>
              <w:ind w:left="0" w:right="0" w:hanging="0"/>
              <w:jc w:val="right"/>
              <w:rPr/>
            </w:pPr>
            <w:r>
              <w:rPr/>
              <w:t> </w:t>
            </w:r>
          </w:p>
        </w:tc>
        <w:tc>
          <w:tcPr>
            <w:tcW w:w="613" w:type="dxa"/>
            <w:tcBorders/>
            <w:shd w:fill="auto" w:val="clear"/>
            <w:vAlign w:val="center"/>
          </w:tcPr>
          <w:p>
            <w:pPr>
              <w:pStyle w:val="TableContents"/>
              <w:spacing w:lineRule="auto" w:line="312" w:before="0" w:after="0"/>
              <w:ind w:left="0" w:right="0" w:firstLine="140"/>
              <w:jc w:val="righ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Accrued compensation and benefits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212,349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213,524</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Deferred compensation programs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17,591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17,208</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Accounts payable, accrued expenses and other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25,736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22,246</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Deferred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3,977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10,598</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Lease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54,426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58,229</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Debt, net of unamortized debt discounts and issuance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146,965</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Warrant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21,960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Amount due pursuant to tax receivable agreement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13,650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6520"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349,689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468,770</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52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Commitments and Contingencies (Note 18)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85" w:type="dxa"/>
            <w:gridSpan w:val="2"/>
            <w:tcBorders/>
            <w:shd w:fill="auto" w:val="clear"/>
            <w:vAlign w:val="center"/>
          </w:tcPr>
          <w:p>
            <w:pPr>
              <w:pStyle w:val="TableContents"/>
              <w:spacing w:lineRule="auto" w:line="312" w:before="0" w:after="0"/>
              <w:ind w:left="0" w:right="0" w:hanging="0"/>
              <w:jc w:val="right"/>
              <w:rPr/>
            </w:pPr>
            <w:r>
              <w:rPr/>
              <w:t> </w:t>
            </w:r>
          </w:p>
        </w:tc>
        <w:tc>
          <w:tcPr>
            <w:tcW w:w="613" w:type="dxa"/>
            <w:tcBorders/>
            <w:shd w:fill="auto" w:val="clear"/>
            <w:vAlign w:val="center"/>
          </w:tcPr>
          <w:p>
            <w:pPr>
              <w:pStyle w:val="TableContents"/>
              <w:spacing w:lineRule="auto" w:line="312" w:before="0" w:after="0"/>
              <w:ind w:left="0" w:right="0" w:firstLine="140"/>
              <w:jc w:val="righ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sz w:val="20"/>
              </w:rPr>
            </w:pPr>
            <w:r>
              <w:rPr>
                <w:rFonts w:ascii="Times New Roman" w:hAnsi="Times New Roman"/>
                <w:b w:val="false"/>
                <w:sz w:val="20"/>
              </w:rPr>
              <w:t>Class A common stock, par value $0.0001</w:t>
            </w:r>
            <w:r>
              <w:rPr>
                <w:rFonts w:ascii="Times New Roman" w:hAnsi="Times New Roman"/>
                <w:sz w:val="20"/>
              </w:rPr>
              <w:t> </w:t>
            </w:r>
            <w:r>
              <w:rPr>
                <w:rFonts w:ascii="Times New Roman" w:hAnsi="Times New Roman"/>
                <w:b w:val="false"/>
                <w:sz w:val="20"/>
              </w:rPr>
              <w:t>per share (1,500,000,000</w:t>
            </w:r>
            <w:r>
              <w:rPr>
                <w:rFonts w:ascii="Times New Roman" w:hAnsi="Times New Roman"/>
                <w:sz w:val="20"/>
              </w:rPr>
              <w:t> </w:t>
            </w:r>
            <w:r>
              <w:rPr>
                <w:rFonts w:ascii="Times New Roman" w:hAnsi="Times New Roman"/>
                <w:b w:val="false"/>
                <w:sz w:val="20"/>
              </w:rPr>
              <w:t>shares authorized, 42,956,667</w:t>
            </w:r>
            <w:r>
              <w:rPr>
                <w:rFonts w:ascii="Times New Roman" w:hAnsi="Times New Roman"/>
                <w:sz w:val="20"/>
              </w:rPr>
              <w:t> </w:t>
            </w:r>
            <w:r>
              <w:rPr>
                <w:rFonts w:ascii="Times New Roman" w:hAnsi="Times New Roman"/>
                <w:b w:val="false"/>
                <w:sz w:val="20"/>
              </w:rPr>
              <w:t>issued and outstanding at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sz w:val="20"/>
              </w:rPr>
            </w:pPr>
            <w:r>
              <w:rPr>
                <w:rFonts w:ascii="Times New Roman" w:hAnsi="Times New Roman"/>
                <w:b w:val="false"/>
                <w:sz w:val="20"/>
              </w:rPr>
              <w:t>Class B common stock, par value $0.0001</w:t>
            </w:r>
            <w:r>
              <w:rPr>
                <w:rFonts w:ascii="Times New Roman" w:hAnsi="Times New Roman"/>
                <w:sz w:val="20"/>
              </w:rPr>
              <w:t> </w:t>
            </w:r>
            <w:r>
              <w:rPr>
                <w:rFonts w:ascii="Times New Roman" w:hAnsi="Times New Roman"/>
                <w:b w:val="false"/>
                <w:sz w:val="20"/>
              </w:rPr>
              <w:t>per share (600,000,000</w:t>
            </w:r>
            <w:r>
              <w:rPr>
                <w:rFonts w:ascii="Times New Roman" w:hAnsi="Times New Roman"/>
                <w:sz w:val="20"/>
              </w:rPr>
              <w:t> </w:t>
            </w:r>
            <w:r>
              <w:rPr>
                <w:rFonts w:ascii="Times New Roman" w:hAnsi="Times New Roman"/>
                <w:b w:val="false"/>
                <w:sz w:val="20"/>
              </w:rPr>
              <w:t>shares authorized, 50,154,199</w:t>
            </w:r>
            <w:r>
              <w:rPr>
                <w:rFonts w:ascii="Times New Roman" w:hAnsi="Times New Roman"/>
                <w:sz w:val="20"/>
              </w:rPr>
              <w:t> </w:t>
            </w:r>
            <w:r>
              <w:rPr>
                <w:rFonts w:ascii="Times New Roman" w:hAnsi="Times New Roman"/>
                <w:b w:val="false"/>
                <w:sz w:val="20"/>
              </w:rPr>
              <w:t>issued and outstanding at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Additional paid-in-capital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135,293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Retained earnings (accumulated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3" w:type="dxa"/>
            <w:tcBorders/>
            <w:shd w:fill="auto" w:val="cle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Accumulated other comprehensive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88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5" w:type="dxa"/>
            <w:tcBorders/>
            <w:shd w:fill="auto" w:val="clear"/>
            <w:vAlign w:val="center"/>
          </w:tcPr>
          <w:p>
            <w:pPr>
              <w:pStyle w:val="TableContents"/>
              <w:spacing w:lineRule="auto" w:line="312" w:before="0" w:after="0"/>
              <w:ind w:left="0" w:right="0" w:hanging="0"/>
              <w:jc w:val="left"/>
              <w:rPr/>
            </w:pPr>
            <w:r>
              <w:rPr/>
              <w:t> </w:t>
            </w:r>
          </w:p>
        </w:tc>
        <w:tc>
          <w:tcPr>
            <w:tcW w:w="11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(2,326</w:t>
            </w:r>
          </w:p>
        </w:tc>
        <w:tc>
          <w:tcPr>
            <w:tcW w:w="613" w:type="dxa"/>
            <w:tcBorders/>
            <w:shd w:fill="auto" w:val="cle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Partners’ capital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76,509</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6520"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Perella Weinberg Partners equity / Partners’ capital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121,985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74,183</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pPr>
            <w:r>
              <w:rPr/>
              <w:t> </w:t>
            </w:r>
          </w:p>
        </w:tc>
      </w:tr>
      <w:tr>
        <w:trPr/>
        <w:tc>
          <w:tcPr>
            <w:tcW w:w="6520"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Non-controlling interests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138,778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6520"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260,763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74,183</w:t>
            </w:r>
          </w:p>
        </w:tc>
        <w:tc>
          <w:tcPr>
            <w:tcW w:w="6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20"/>
              <w:jc w:val="left"/>
              <w:rPr/>
            </w:pPr>
            <w:r>
              <w:rPr/>
              <w:t> </w:t>
            </w:r>
          </w:p>
        </w:tc>
      </w:tr>
      <w:tr>
        <w:trPr/>
        <w:tc>
          <w:tcPr>
            <w:tcW w:w="6520" w:type="dxa"/>
            <w:tcBorders/>
            <w:shd w:fill="auto" w:val="clear"/>
            <w:vAlign w:val="center"/>
          </w:tcPr>
          <w:p>
            <w:pPr>
              <w:pStyle w:val="TableContents"/>
              <w:spacing w:lineRule="auto" w:line="312" w:before="0" w:after="0"/>
              <w:ind w:left="420" w:right="0" w:hanging="0"/>
              <w:jc w:val="left"/>
              <w:rPr>
                <w:rFonts w:ascii="Times New Roman" w:hAnsi="Times New Roman"/>
                <w:b w:val="false"/>
                <w:sz w:val="20"/>
              </w:rPr>
            </w:pPr>
            <w:r>
              <w:rPr>
                <w:rFonts w:ascii="Times New Roman" w:hAnsi="Times New Roman"/>
                <w:b w:val="false"/>
                <w:sz w:val="20"/>
              </w:rPr>
              <w:t>Total liabilities and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610,452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542,953</w:t>
            </w:r>
          </w:p>
        </w:tc>
        <w:tc>
          <w:tcPr>
            <w:tcW w:w="61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tLeast" w:line="141" w:before="240" w:after="0"/>
        <w:jc w:val="center"/>
        <w:rPr/>
      </w:pPr>
      <w:r>
        <w:rPr/>
        <w:t> </w:t>
      </w:r>
    </w:p>
    <w:p>
      <w:pPr>
        <w:pStyle w:val="TextBody"/>
        <w:spacing w:lineRule="atLeast" w:line="141" w:before="240" w:after="240"/>
        <w:jc w:val="center"/>
        <w:rPr>
          <w:rFonts w:ascii="Times New Roman" w:hAnsi="Times New Roman"/>
          <w:b w:val="false"/>
          <w:i/>
          <w:sz w:val="20"/>
        </w:rPr>
      </w:pPr>
      <w:r>
        <w:rPr>
          <w:rFonts w:ascii="Times New Roman" w:hAnsi="Times New Roman"/>
          <w:b w:val="false"/>
          <w:i/>
          <w:sz w:val="20"/>
        </w:rPr>
        <w:t>The accompanying notes are an integral part of these condensed consolidated financial statements (unaudited).</w:t>
      </w:r>
    </w:p>
    <w:p>
      <w:pPr>
        <w:pStyle w:val="TextBody"/>
        <w:spacing w:lineRule="auto" w:line="312" w:before="240" w:after="0"/>
        <w:jc w:val="center"/>
        <w:rPr/>
      </w:pPr>
      <w:r>
        <w:rPr/>
        <w:t> </w:t>
      </w:r>
    </w:p>
    <w:p>
      <w:pPr>
        <w:pStyle w:val="TextBody"/>
        <w:spacing w:lineRule="auto" w:line="312" w:before="40" w:after="0"/>
        <w:jc w:val="center"/>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312" w:before="40" w:after="0"/>
        <w:jc w:val="center"/>
        <w:rPr>
          <w:rFonts w:ascii="Times New Roman" w:hAnsi="Times New Roman"/>
          <w:sz w:val="20"/>
        </w:rPr>
      </w:pPr>
      <w:bookmarkStart w:id="5" w:name="statement_of_operations"/>
      <w:bookmarkEnd w:id="5"/>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Condensed Consolidated Statements of Operations</w:t>
      </w:r>
    </w:p>
    <w:p>
      <w:pPr>
        <w:pStyle w:val="TextBody"/>
        <w:spacing w:lineRule="auto" w:line="312" w:before="4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312" w:before="40" w:after="240"/>
        <w:jc w:val="center"/>
        <w:rPr>
          <w:rFonts w:ascii="Times New Roman" w:hAnsi="Times New Roman"/>
          <w:b/>
          <w:sz w:val="20"/>
        </w:rPr>
      </w:pPr>
      <w:r>
        <w:rPr>
          <w:rFonts w:ascii="Times New Roman" w:hAnsi="Times New Roman"/>
          <w:b/>
          <w:sz w:val="20"/>
        </w:rPr>
        <w:t>(Dollars in Thousands, Except Per Share Amounts)</w:t>
      </w:r>
    </w:p>
    <w:tbl>
      <w:tblPr>
        <w:tblW w:w="10672" w:type="dxa"/>
        <w:jc w:val="left"/>
        <w:tblInd w:w="0" w:type="dxa"/>
        <w:tblCellMar>
          <w:top w:w="28" w:type="dxa"/>
          <w:left w:w="28" w:type="dxa"/>
          <w:bottom w:w="28" w:type="dxa"/>
          <w:right w:w="28" w:type="dxa"/>
        </w:tblCellMar>
      </w:tblPr>
      <w:tblGrid>
        <w:gridCol w:w="4501"/>
        <w:gridCol w:w="146"/>
        <w:gridCol w:w="211"/>
        <w:gridCol w:w="1036"/>
        <w:gridCol w:w="166"/>
        <w:gridCol w:w="146"/>
        <w:gridCol w:w="211"/>
        <w:gridCol w:w="781"/>
        <w:gridCol w:w="166"/>
        <w:gridCol w:w="146"/>
        <w:gridCol w:w="211"/>
        <w:gridCol w:w="1036"/>
        <w:gridCol w:w="166"/>
        <w:gridCol w:w="146"/>
        <w:gridCol w:w="211"/>
        <w:gridCol w:w="781"/>
        <w:gridCol w:w="611"/>
      </w:tblGrid>
      <w:tr>
        <w:trPr/>
        <w:tc>
          <w:tcPr>
            <w:tcW w:w="4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450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55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55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0"/>
              </w:rPr>
              <w:t>Six Months Ended June 30,</w:t>
            </w:r>
            <w:r>
              <w:rPr>
                <w:rFonts w:ascii="Times New Roman" w:hAnsi="Times New Roman"/>
                <w:sz w:val="20"/>
              </w:rPr>
              <w:t xml:space="preserve"> </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0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255,520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114,601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425,322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206,997</w:t>
            </w:r>
          </w:p>
        </w:tc>
        <w:tc>
          <w:tcPr>
            <w:tcW w:w="611" w:type="dxa"/>
            <w:tcBorders/>
            <w:shd w:fill="auto" w:val="clear"/>
            <w:vAlign w:val="center"/>
          </w:tcPr>
          <w:p>
            <w:pPr>
              <w:pStyle w:val="TableContents"/>
              <w:spacing w:lineRule="auto" w:line="312" w:before="0" w:after="0"/>
              <w:ind w:left="0" w:right="0" w:hanging="0"/>
              <w:jc w:val="left"/>
              <w:rPr/>
            </w:pPr>
            <w:r>
              <w:rPr/>
              <w:t> </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140"/>
              <w:jc w:val="righ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Compensation and benefits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164,404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86,254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273,874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144,765</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Equity-based compensation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6,179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12,364</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450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compensation and benefits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171,469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92,433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287,096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157,129</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Professional fees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12,220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22,341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17,948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28,363</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Technology and infrastructure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7,141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14,097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13,238</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Rent and occupancy</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6,593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6,849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13,295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13,818</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Travel and related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4,590</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General, administrative and other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5,878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6,361</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Depreciation and amortization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3,833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7,602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7,794</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20"/>
              <w:jc w:val="left"/>
              <w:rPr/>
            </w:pPr>
            <w:r>
              <w:rPr/>
              <w:t> </w:t>
            </w:r>
          </w:p>
        </w:tc>
      </w:tr>
      <w:tr>
        <w:trPr/>
        <w:tc>
          <w:tcPr>
            <w:tcW w:w="4501" w:type="dxa"/>
            <w:tcBorders/>
            <w:shd w:fill="auto" w:val="clear"/>
            <w:vAlign w:val="center"/>
          </w:tcPr>
          <w:p>
            <w:pPr>
              <w:pStyle w:val="TableContents"/>
              <w:spacing w:lineRule="auto" w:line="312" w:before="0" w:after="0"/>
              <w:ind w:left="420" w:right="0" w:hanging="0"/>
              <w:jc w:val="left"/>
              <w:rPr>
                <w:rFonts w:ascii="Times New Roman" w:hAnsi="Times New Roman"/>
                <w:b w:val="false"/>
                <w:sz w:val="20"/>
              </w:rPr>
            </w:pPr>
            <w:r>
              <w:rPr>
                <w:rFonts w:ascii="Times New Roman" w:hAnsi="Times New Roman"/>
                <w:b w:val="false"/>
                <w:sz w:val="20"/>
              </w:rPr>
              <w:t>Total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206,034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135,302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347,792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231,293</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Operating income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49,486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(20,701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77,530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(24,296</w:t>
            </w:r>
          </w:p>
        </w:tc>
        <w:tc>
          <w:tcPr>
            <w:tcW w:w="6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Non-operating income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140"/>
              <w:jc w:val="righ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Related party income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1,565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4,771</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Other income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2,850</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Change in fair value of warrant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Loss on debt extinguishment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(39,408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(39,408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611" w:type="dxa"/>
            <w:tcBorders/>
            <w:shd w:fill="auto" w:val="clear"/>
            <w:vAlign w:val="center"/>
          </w:tcPr>
          <w:p>
            <w:pPr>
              <w:pStyle w:val="TableContents"/>
              <w:spacing w:lineRule="auto" w:line="312" w:before="0" w:after="0"/>
              <w:ind w:left="0" w:right="0" w:firstLine="140"/>
              <w:jc w:val="lef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(7,970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450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non-operating income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(39,965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(43,478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Income (loss) before income taxes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9,521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(21,293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34,052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(24,645</w:t>
            </w:r>
          </w:p>
        </w:tc>
        <w:tc>
          <w:tcPr>
            <w:tcW w:w="611" w:type="dxa"/>
            <w:tcBorders/>
            <w:shd w:fill="auto" w:val="cle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Income tax benefit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(1,544</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(22,127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31,507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(26,189</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Net income (loss) attributable to non-controlling interests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21,499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44,006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 attributable to Perella Weinberg Partners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 per share attributable to Class A common shareholders (1)</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140"/>
              <w:jc w:val="righ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Basic</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140"/>
              <w:jc w:val="righ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Diluted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(0.32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(0.32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r>
        <w:trPr/>
        <w:tc>
          <w:tcPr>
            <w:tcW w:w="45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Weighted-average shares of Class A common stock outstanding (1)</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140"/>
              <w:jc w:val="righ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Basic</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42,956,667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42,956,667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140"/>
              <w:jc w:val="right"/>
              <w:rPr/>
            </w:pPr>
            <w:r>
              <w:rPr/>
              <w:t> </w:t>
            </w:r>
          </w:p>
        </w:tc>
      </w:tr>
      <w:tr>
        <w:trPr/>
        <w:tc>
          <w:tcPr>
            <w:tcW w:w="45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Diluted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94,013,583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94,013,583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bl>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283"/>
        <w:rPr/>
      </w:pPr>
      <w:r>
        <w:rPr>
          <w:rFonts w:ascii="Times New Roman" w:hAnsi="Times New Roman"/>
          <w:b w:val="false"/>
          <w:sz w:val="20"/>
        </w:rPr>
        <w:t>Represents net income (loss) per share of Class A common stock and weighted-average shares of Class A common stock outstanding for the period from June 24, 2021 through June 30, 2021, the period following the Business Combination, as defined</w:t>
      </w:r>
      <w:r>
        <w:rPr/>
        <w:t xml:space="preserve"> </w:t>
      </w:r>
      <w:r>
        <w:rPr>
          <w:rFonts w:ascii="Times New Roman" w:hAnsi="Times New Roman"/>
          <w:b w:val="false"/>
          <w:sz w:val="20"/>
        </w:rPr>
        <w:t>in Note 1 – Organization and Nature of Business. For more information, refer to Note 15 – Net Income (Loss) Per Share Attributable to Class A Common Shareholders.</w:t>
      </w:r>
    </w:p>
    <w:p>
      <w:pPr>
        <w:pStyle w:val="TextBody"/>
        <w:spacing w:lineRule="auto" w:line="312" w:before="240" w:after="0"/>
        <w:jc w:val="center"/>
        <w:rPr>
          <w:rFonts w:ascii="Times New Roman" w:hAnsi="Times New Roman"/>
          <w:b w:val="false"/>
          <w:i/>
          <w:sz w:val="20"/>
        </w:rPr>
      </w:pPr>
      <w:r>
        <w:rPr>
          <w:rFonts w:ascii="Times New Roman" w:hAnsi="Times New Roman"/>
          <w:b w:val="false"/>
          <w:i/>
          <w:sz w:val="20"/>
        </w:rPr>
        <w:t>The accompanying notes are an integral part of these condensed consolidated financial statements (unaudited).</w:t>
      </w:r>
    </w:p>
    <w:p>
      <w:pPr>
        <w:pStyle w:val="TextBody"/>
        <w:spacing w:lineRule="auto" w:line="312" w:before="0" w:after="0"/>
        <w:jc w:val="both"/>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312" w:before="40" w:after="0"/>
        <w:jc w:val="center"/>
        <w:rPr>
          <w:rFonts w:ascii="Times New Roman" w:hAnsi="Times New Roman"/>
          <w:sz w:val="20"/>
        </w:rPr>
      </w:pPr>
      <w:bookmarkStart w:id="6" w:name="statement_of_oci"/>
      <w:bookmarkEnd w:id="6"/>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Condensed Consolidated Statements of Comprehensive Income (Loss)</w:t>
      </w:r>
    </w:p>
    <w:p>
      <w:pPr>
        <w:pStyle w:val="TextBody"/>
        <w:spacing w:lineRule="auto" w:line="312" w:before="4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312" w:before="40" w:after="240"/>
        <w:jc w:val="center"/>
        <w:rPr>
          <w:rFonts w:ascii="Times New Roman" w:hAnsi="Times New Roman"/>
          <w:b/>
          <w:sz w:val="20"/>
        </w:rPr>
      </w:pPr>
      <w:r>
        <w:rPr>
          <w:rFonts w:ascii="Times New Roman" w:hAnsi="Times New Roman"/>
          <w:b/>
          <w:sz w:val="20"/>
        </w:rPr>
        <w:t>(Dollars in Thousands)</w:t>
      </w:r>
    </w:p>
    <w:tbl>
      <w:tblPr>
        <w:tblW w:w="10205" w:type="dxa"/>
        <w:jc w:val="left"/>
        <w:tblInd w:w="0" w:type="dxa"/>
        <w:tblCellMar>
          <w:top w:w="28" w:type="dxa"/>
          <w:left w:w="28" w:type="dxa"/>
          <w:bottom w:w="28" w:type="dxa"/>
          <w:right w:w="28" w:type="dxa"/>
        </w:tblCellMar>
      </w:tblPr>
      <w:tblGrid>
        <w:gridCol w:w="4567"/>
        <w:gridCol w:w="146"/>
        <w:gridCol w:w="237"/>
        <w:gridCol w:w="827"/>
        <w:gridCol w:w="186"/>
        <w:gridCol w:w="163"/>
        <w:gridCol w:w="237"/>
        <w:gridCol w:w="827"/>
        <w:gridCol w:w="166"/>
        <w:gridCol w:w="146"/>
        <w:gridCol w:w="224"/>
        <w:gridCol w:w="784"/>
        <w:gridCol w:w="176"/>
        <w:gridCol w:w="155"/>
        <w:gridCol w:w="224"/>
        <w:gridCol w:w="784"/>
        <w:gridCol w:w="356"/>
      </w:tblGrid>
      <w:tr>
        <w:trPr/>
        <w:tc>
          <w:tcPr>
            <w:tcW w:w="45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4567"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477"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347"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0"/>
              </w:rPr>
              <w:t>Six Months Ended June 30,</w:t>
            </w:r>
            <w:r>
              <w:rPr>
                <w:rFonts w:ascii="Times New Roman" w:hAnsi="Times New Roman"/>
                <w:sz w:val="20"/>
              </w:rPr>
              <w:t xml:space="preserve">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67"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6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67"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2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9,000</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63" w:type="dxa"/>
            <w:tcBorders/>
            <w:shd w:fill="auto" w:val="clear"/>
            <w:vAlign w:val="center"/>
          </w:tcPr>
          <w:p>
            <w:pPr>
              <w:pStyle w:val="TableContents"/>
              <w:spacing w:lineRule="auto" w:line="312" w:before="0" w:after="0"/>
              <w:ind w:left="0" w:right="0" w:hanging="0"/>
              <w:jc w:val="right"/>
              <w:rPr/>
            </w:pPr>
            <w:r>
              <w:rPr/>
              <w:t> </w:t>
            </w:r>
          </w:p>
        </w:tc>
        <w:tc>
          <w:tcPr>
            <w:tcW w:w="23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2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(22,127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2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31,507</w:t>
            </w:r>
          </w:p>
        </w:tc>
        <w:tc>
          <w:tcPr>
            <w:tcW w:w="176" w:type="dxa"/>
            <w:tcBorders/>
            <w:shd w:fill="auto" w:val="clear"/>
            <w:vAlign w:val="center"/>
          </w:tcPr>
          <w:p>
            <w:pPr>
              <w:pStyle w:val="TableContents"/>
              <w:spacing w:lineRule="auto" w:line="312" w:before="0" w:after="0"/>
              <w:ind w:left="0" w:right="0" w:hanging="0"/>
              <w:jc w:val="left"/>
              <w:rPr/>
            </w:pPr>
            <w:r>
              <w:rPr/>
              <w:t> </w:t>
            </w:r>
          </w:p>
        </w:tc>
        <w:tc>
          <w:tcPr>
            <w:tcW w:w="155" w:type="dxa"/>
            <w:tcBorders/>
            <w:shd w:fill="auto" w:val="clear"/>
            <w:vAlign w:val="center"/>
          </w:tcPr>
          <w:p>
            <w:pPr>
              <w:pStyle w:val="TableContents"/>
              <w:spacing w:lineRule="auto" w:line="312" w:before="0" w:after="0"/>
              <w:ind w:left="0" w:right="0" w:hanging="0"/>
              <w:jc w:val="right"/>
              <w:rPr/>
            </w:pPr>
            <w:r>
              <w:rPr/>
              <w:t> </w:t>
            </w:r>
          </w:p>
        </w:tc>
        <w:tc>
          <w:tcPr>
            <w:tcW w:w="22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(26,189</w:t>
            </w:r>
          </w:p>
        </w:tc>
        <w:tc>
          <w:tcPr>
            <w:tcW w:w="356" w:type="dxa"/>
            <w:tcBorders/>
            <w:shd w:fill="auto" w:val="cle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4567"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Foreign currency translation gain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316</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544</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(2,491</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67"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Comprehensive income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7" w:type="dxa"/>
            <w:tcBorders/>
            <w:shd w:fill="auto" w:val="clear"/>
            <w:vAlign w:val="center"/>
          </w:tcPr>
          <w:p>
            <w:pPr>
              <w:pStyle w:val="TableContents"/>
              <w:spacing w:lineRule="auto" w:line="312" w:before="0" w:after="0"/>
              <w:ind w:left="0" w:right="0" w:hanging="0"/>
              <w:jc w:val="left"/>
              <w:rPr/>
            </w:pPr>
            <w:r>
              <w:rPr/>
              <w:t> </w:t>
            </w:r>
          </w:p>
        </w:tc>
        <w:tc>
          <w:tcPr>
            <w:tcW w:w="82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9,316</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63" w:type="dxa"/>
            <w:tcBorders/>
            <w:shd w:fill="auto" w:val="clear"/>
            <w:vAlign w:val="center"/>
          </w:tcPr>
          <w:p>
            <w:pPr>
              <w:pStyle w:val="TableContents"/>
              <w:spacing w:lineRule="auto" w:line="312" w:before="0" w:after="0"/>
              <w:ind w:left="0" w:right="0" w:hanging="0"/>
              <w:jc w:val="righ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(22,006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4" w:type="dxa"/>
            <w:tcBorders/>
            <w:shd w:fill="auto" w:val="clear"/>
            <w:vAlign w:val="center"/>
          </w:tcPr>
          <w:p>
            <w:pPr>
              <w:pStyle w:val="TableContents"/>
              <w:spacing w:lineRule="auto" w:line="312" w:before="0" w:after="0"/>
              <w:ind w:left="0" w:right="0" w:hanging="0"/>
              <w:jc w:val="left"/>
              <w:rPr/>
            </w:pPr>
            <w:r>
              <w:rPr/>
              <w:t> </w:t>
            </w:r>
          </w:p>
        </w:tc>
        <w:tc>
          <w:tcPr>
            <w:tcW w:w="78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32,051</w:t>
            </w:r>
          </w:p>
        </w:tc>
        <w:tc>
          <w:tcPr>
            <w:tcW w:w="176" w:type="dxa"/>
            <w:tcBorders/>
            <w:shd w:fill="auto" w:val="clear"/>
            <w:vAlign w:val="center"/>
          </w:tcPr>
          <w:p>
            <w:pPr>
              <w:pStyle w:val="TableContents"/>
              <w:spacing w:lineRule="auto" w:line="312" w:before="0" w:after="0"/>
              <w:ind w:left="0" w:right="0" w:hanging="0"/>
              <w:jc w:val="left"/>
              <w:rPr/>
            </w:pPr>
            <w:r>
              <w:rPr/>
              <w:t> </w:t>
            </w:r>
          </w:p>
        </w:tc>
        <w:tc>
          <w:tcPr>
            <w:tcW w:w="155" w:type="dxa"/>
            <w:tcBorders/>
            <w:shd w:fill="auto" w:val="clear"/>
            <w:vAlign w:val="center"/>
          </w:tcPr>
          <w:p>
            <w:pPr>
              <w:pStyle w:val="TableContents"/>
              <w:spacing w:lineRule="auto" w:line="312" w:before="0" w:after="0"/>
              <w:ind w:left="0" w:right="0" w:hanging="0"/>
              <w:jc w:val="righ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(28,680</w:t>
            </w:r>
          </w:p>
        </w:tc>
        <w:tc>
          <w:tcPr>
            <w:tcW w:w="35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6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Comprehensive income (loss) attributable to non-controlling interests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21,807</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64"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44,542</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08" w:type="dxa"/>
            <w:gridSpan w:val="2"/>
            <w:tcBorders/>
            <w:shd w:fill="auto" w:val="clear"/>
            <w:vAlign w:val="center"/>
          </w:tcPr>
          <w:p>
            <w:pPr>
              <w:pStyle w:val="TableContents"/>
              <w:spacing w:lineRule="auto" w:line="312" w:before="0" w:after="0"/>
              <w:ind w:left="0" w:right="0" w:hanging="0"/>
              <w:jc w:val="right"/>
              <w:rPr/>
            </w:pPr>
            <w:r>
              <w:rPr/>
              <w:t> </w:t>
            </w:r>
          </w:p>
        </w:tc>
        <w:tc>
          <w:tcPr>
            <w:tcW w:w="356" w:type="dxa"/>
            <w:tcBorders/>
            <w:shd w:fill="auto" w:val="clear"/>
            <w:vAlign w:val="center"/>
          </w:tcPr>
          <w:p>
            <w:pPr>
              <w:pStyle w:val="TableContents"/>
              <w:spacing w:lineRule="auto" w:line="312" w:before="0" w:after="0"/>
              <w:ind w:left="0" w:right="0" w:hanging="0"/>
              <w:jc w:val="right"/>
              <w:rPr/>
            </w:pPr>
            <w:r>
              <w:rPr/>
              <w:t> </w:t>
            </w:r>
          </w:p>
        </w:tc>
      </w:tr>
      <w:tr>
        <w:trPr/>
        <w:tc>
          <w:tcPr>
            <w:tcW w:w="4567"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Comprehensive income (loss) attributable to Perella Weinberg Partners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(12,491</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64"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(12,491</w:t>
            </w:r>
          </w:p>
        </w:tc>
        <w:tc>
          <w:tcPr>
            <w:tcW w:w="1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5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08" w:type="dxa"/>
            <w:gridSpan w:val="2"/>
            <w:tcBorders/>
            <w:shd w:fill="auto" w:val="clear"/>
            <w:vAlign w:val="center"/>
          </w:tcPr>
          <w:p>
            <w:pPr>
              <w:pStyle w:val="TableContents"/>
              <w:spacing w:lineRule="auto" w:line="312" w:before="0" w:after="0"/>
              <w:ind w:left="0" w:right="0" w:hanging="0"/>
              <w:jc w:val="right"/>
              <w:rPr/>
            </w:pPr>
            <w:r>
              <w:rPr/>
              <w:t> </w:t>
            </w:r>
          </w:p>
        </w:tc>
        <w:tc>
          <w:tcPr>
            <w:tcW w:w="356" w:type="dxa"/>
            <w:tcBorders/>
            <w:shd w:fill="auto" w:val="clear"/>
            <w:vAlign w:val="center"/>
          </w:tcPr>
          <w:p>
            <w:pPr>
              <w:pStyle w:val="TableContents"/>
              <w:spacing w:lineRule="auto" w:line="312" w:before="0" w:after="0"/>
              <w:ind w:left="0" w:right="0" w:hanging="0"/>
              <w:jc w:val="right"/>
              <w:rPr/>
            </w:pPr>
            <w:r>
              <w:rPr/>
              <w:t> </w:t>
            </w:r>
          </w:p>
        </w:tc>
      </w:tr>
    </w:tbl>
    <w:p>
      <w:pPr>
        <w:pStyle w:val="TextBody"/>
        <w:spacing w:lineRule="auto" w:line="312" w:before="240" w:after="0"/>
        <w:jc w:val="center"/>
        <w:rPr>
          <w:rFonts w:ascii="Times New Roman" w:hAnsi="Times New Roman"/>
          <w:b w:val="false"/>
          <w:i/>
          <w:sz w:val="20"/>
        </w:rPr>
      </w:pPr>
      <w:r>
        <w:rPr>
          <w:rFonts w:ascii="Times New Roman" w:hAnsi="Times New Roman"/>
          <w:b w:val="false"/>
          <w:i/>
          <w:sz w:val="20"/>
        </w:rPr>
        <w:t>The accompanying notes are an integral part of these condensed consolidated financial statements (unaudited).</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312" w:before="0" w:after="0"/>
        <w:jc w:val="center"/>
        <w:rPr>
          <w:rFonts w:ascii="Times New Roman" w:hAnsi="Times New Roman"/>
          <w:sz w:val="20"/>
        </w:rPr>
      </w:pPr>
      <w:bookmarkStart w:id="7" w:name="statement_of_equity"/>
      <w:bookmarkEnd w:id="7"/>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Condensed Consolidated Statements of Changes in Equity</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240"/>
        <w:jc w:val="center"/>
        <w:rPr>
          <w:rFonts w:ascii="Times New Roman" w:hAnsi="Times New Roman"/>
          <w:b/>
          <w:sz w:val="20"/>
        </w:rPr>
      </w:pPr>
      <w:r>
        <w:rPr>
          <w:rFonts w:ascii="Times New Roman" w:hAnsi="Times New Roman"/>
          <w:b/>
          <w:sz w:val="20"/>
        </w:rPr>
        <w:t>(Dollars in Thousands)</w:t>
      </w:r>
    </w:p>
    <w:tbl>
      <w:tblPr>
        <w:tblW w:w="11373" w:type="dxa"/>
        <w:jc w:val="left"/>
        <w:tblInd w:w="0" w:type="dxa"/>
        <w:tblCellMar>
          <w:top w:w="28" w:type="dxa"/>
          <w:left w:w="28" w:type="dxa"/>
          <w:bottom w:w="28" w:type="dxa"/>
          <w:right w:w="28" w:type="dxa"/>
        </w:tblCellMar>
      </w:tblPr>
      <w:tblGrid>
        <w:gridCol w:w="1111"/>
        <w:gridCol w:w="146"/>
        <w:gridCol w:w="196"/>
        <w:gridCol w:w="661"/>
        <w:gridCol w:w="166"/>
        <w:gridCol w:w="146"/>
        <w:gridCol w:w="274"/>
        <w:gridCol w:w="312"/>
        <w:gridCol w:w="146"/>
        <w:gridCol w:w="146"/>
        <w:gridCol w:w="274"/>
        <w:gridCol w:w="312"/>
        <w:gridCol w:w="146"/>
        <w:gridCol w:w="146"/>
        <w:gridCol w:w="317"/>
        <w:gridCol w:w="269"/>
        <w:gridCol w:w="146"/>
        <w:gridCol w:w="146"/>
        <w:gridCol w:w="317"/>
        <w:gridCol w:w="269"/>
        <w:gridCol w:w="146"/>
        <w:gridCol w:w="146"/>
        <w:gridCol w:w="341"/>
        <w:gridCol w:w="290"/>
        <w:gridCol w:w="146"/>
        <w:gridCol w:w="146"/>
        <w:gridCol w:w="455"/>
        <w:gridCol w:w="386"/>
        <w:gridCol w:w="146"/>
        <w:gridCol w:w="146"/>
        <w:gridCol w:w="234"/>
        <w:gridCol w:w="682"/>
        <w:gridCol w:w="166"/>
        <w:gridCol w:w="146"/>
        <w:gridCol w:w="374"/>
        <w:gridCol w:w="317"/>
        <w:gridCol w:w="146"/>
        <w:gridCol w:w="146"/>
        <w:gridCol w:w="196"/>
        <w:gridCol w:w="661"/>
        <w:gridCol w:w="311"/>
      </w:tblGrid>
      <w:tr>
        <w:trPr/>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11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58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63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4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1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69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311" w:type="dxa"/>
            <w:tcBorders/>
            <w:shd w:fill="auto" w:val="clear"/>
            <w:vAlign w:val="center"/>
          </w:tcPr>
          <w:p>
            <w:pPr>
              <w:pStyle w:val="TableContents"/>
              <w:spacing w:lineRule="auto" w:line="312" w:before="0" w:after="0"/>
              <w:ind w:left="0" w:right="0" w:hanging="0"/>
              <w:jc w:val="center"/>
              <w:rPr/>
            </w:pPr>
            <w:r>
              <w:rPr/>
              <w:t> </w:t>
            </w:r>
          </w:p>
        </w:tc>
      </w:tr>
      <w:tr>
        <w:trPr/>
        <w:tc>
          <w:tcPr>
            <w:tcW w:w="111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Partners’</w:t>
              <w:b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A</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B</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A</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B</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Additional</w:t>
              <w:br/>
              <w:t>Paid-In</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Retained</w:t>
              <w:br/>
              <w:t>Earnings</w:t>
              <w:br/>
              <w:t>(Accumulated</w:t>
              <w:br/>
              <w:t>Deficit)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Accumulated</w:t>
              <w:br/>
              <w:t>Other</w:t>
              <w:br/>
              <w:t>Comprehensive</w:t>
              <w:b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Non-</w:t>
              <w:br/>
              <w:t>Controlling</w:t>
              <w:br/>
              <w:t>Interests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Total</w:t>
              <w:br/>
              <w:t>Equity</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11"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Balance at December 31, 2019</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87,725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(5,820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81,905</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Cumulative effect of accounting change</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(188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(188</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Net income (loss)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(4,062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(4,062</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Equity-based compensation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6,185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6,185</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Distributions to partners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(9,429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(9,429</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Other</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(44</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(44</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Foreign currency translation gain (loss)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(2,612</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Balance at March 31, 2020</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80,187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(8,432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71,755</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Net income (loss)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(22,127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(22,127</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Equity-based compensation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6,179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6,179</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Other</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4" w:type="dxa"/>
            <w:tcBorders/>
            <w:shd w:fill="auto" w:val="clear"/>
            <w:vAlign w:val="center"/>
          </w:tcPr>
          <w:p>
            <w:pPr>
              <w:pStyle w:val="TableContents"/>
              <w:spacing w:lineRule="auto" w:line="312" w:before="0" w:after="0"/>
              <w:ind w:left="0" w:right="0" w:hanging="0"/>
              <w:jc w:val="left"/>
              <w:rPr/>
            </w:pPr>
            <w:r>
              <w:rPr/>
              <w:t> </w:t>
            </w:r>
          </w:p>
        </w:tc>
        <w:tc>
          <w:tcPr>
            <w:tcW w:w="31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26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1"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55" w:type="dxa"/>
            <w:tcBorders/>
            <w:shd w:fill="auto" w:val="clear"/>
            <w:vAlign w:val="center"/>
          </w:tcPr>
          <w:p>
            <w:pPr>
              <w:pStyle w:val="TableContents"/>
              <w:spacing w:lineRule="auto" w:line="312" w:before="0" w:after="0"/>
              <w:ind w:left="0" w:right="0" w:hanging="0"/>
              <w:jc w:val="left"/>
              <w:rPr/>
            </w:pPr>
            <w:r>
              <w:rPr/>
              <w:t> </w:t>
            </w:r>
          </w:p>
        </w:tc>
        <w:tc>
          <w:tcPr>
            <w:tcW w:w="38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74"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Foreign currency translation gain (loss)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121</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111"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Balance at June 30, 2020</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64,213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6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6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5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8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(8,311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55,902</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The accompanying notes are an integral part of these condensed consolidated financial statements (unaudited).</w:t>
      </w:r>
    </w:p>
    <w:p>
      <w:pPr>
        <w:pStyle w:val="TextBody"/>
        <w:spacing w:lineRule="auto" w:line="312" w:before="0" w:after="0"/>
        <w:jc w:val="center"/>
        <w:rPr/>
      </w:pPr>
      <w:r>
        <w:rPr/>
        <w:t> </w:t>
      </w:r>
    </w:p>
    <w:p>
      <w:pPr>
        <w:pStyle w:val="TextBody"/>
        <w:spacing w:lineRule="auto" w:line="312" w:before="0" w:after="0"/>
        <w:jc w:val="center"/>
        <w:rPr/>
      </w:pPr>
      <w:r>
        <w:rPr/>
        <w:t> </w:t>
      </w:r>
    </w:p>
    <w:p>
      <w:pPr>
        <w:pStyle w:val="TextBody"/>
        <w:spacing w:lineRule="auto" w:line="312" w:before="0" w:after="0"/>
        <w:jc w:val="center"/>
        <w:rPr/>
      </w:pPr>
      <w:r>
        <w:rPr/>
        <w:t> </w:t>
      </w:r>
    </w:p>
    <w:p>
      <w:pPr>
        <w:pStyle w:val="TextBody"/>
        <w:spacing w:lineRule="auto" w:line="312" w:before="0" w:after="0"/>
        <w:jc w:val="center"/>
        <w:rPr/>
      </w:pPr>
      <w:r>
        <w:rPr/>
        <w:t> </w:t>
      </w:r>
    </w:p>
    <w:p>
      <w:pPr>
        <w:pStyle w:val="TextBody"/>
        <w:spacing w:lineRule="auto" w:line="312" w:before="0" w:after="0"/>
        <w:jc w:val="center"/>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312"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Condensed Consolidated Statements of Changes in Equity</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240"/>
        <w:jc w:val="center"/>
        <w:rPr>
          <w:rFonts w:ascii="Times New Roman" w:hAnsi="Times New Roman"/>
          <w:b/>
          <w:sz w:val="20"/>
        </w:rPr>
      </w:pPr>
      <w:r>
        <w:rPr>
          <w:rFonts w:ascii="Times New Roman" w:hAnsi="Times New Roman"/>
          <w:b/>
          <w:sz w:val="20"/>
        </w:rPr>
        <w:t>(Dollars in Thousands)</w:t>
      </w:r>
    </w:p>
    <w:tbl>
      <w:tblPr>
        <w:tblW w:w="12953" w:type="dxa"/>
        <w:jc w:val="left"/>
        <w:tblInd w:w="0" w:type="dxa"/>
        <w:tblCellMar>
          <w:top w:w="28" w:type="dxa"/>
          <w:left w:w="28" w:type="dxa"/>
          <w:bottom w:w="28" w:type="dxa"/>
          <w:right w:w="28" w:type="dxa"/>
        </w:tblCellMar>
      </w:tblPr>
      <w:tblGrid>
        <w:gridCol w:w="1111"/>
        <w:gridCol w:w="146"/>
        <w:gridCol w:w="196"/>
        <w:gridCol w:w="751"/>
        <w:gridCol w:w="166"/>
        <w:gridCol w:w="146"/>
        <w:gridCol w:w="146"/>
        <w:gridCol w:w="916"/>
        <w:gridCol w:w="146"/>
        <w:gridCol w:w="146"/>
        <w:gridCol w:w="146"/>
        <w:gridCol w:w="916"/>
        <w:gridCol w:w="146"/>
        <w:gridCol w:w="146"/>
        <w:gridCol w:w="293"/>
        <w:gridCol w:w="293"/>
        <w:gridCol w:w="146"/>
        <w:gridCol w:w="146"/>
        <w:gridCol w:w="293"/>
        <w:gridCol w:w="293"/>
        <w:gridCol w:w="146"/>
        <w:gridCol w:w="146"/>
        <w:gridCol w:w="196"/>
        <w:gridCol w:w="691"/>
        <w:gridCol w:w="146"/>
        <w:gridCol w:w="146"/>
        <w:gridCol w:w="196"/>
        <w:gridCol w:w="661"/>
        <w:gridCol w:w="166"/>
        <w:gridCol w:w="146"/>
        <w:gridCol w:w="234"/>
        <w:gridCol w:w="682"/>
        <w:gridCol w:w="166"/>
        <w:gridCol w:w="146"/>
        <w:gridCol w:w="196"/>
        <w:gridCol w:w="691"/>
        <w:gridCol w:w="166"/>
        <w:gridCol w:w="146"/>
        <w:gridCol w:w="196"/>
        <w:gridCol w:w="691"/>
        <w:gridCol w:w="311"/>
      </w:tblGrid>
      <w:tr>
        <w:trPr/>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11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4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41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58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16"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311" w:type="dxa"/>
            <w:tcBorders/>
            <w:shd w:fill="auto" w:val="clear"/>
            <w:vAlign w:val="center"/>
          </w:tcPr>
          <w:p>
            <w:pPr>
              <w:pStyle w:val="TableContents"/>
              <w:spacing w:lineRule="auto" w:line="312" w:before="0" w:after="0"/>
              <w:ind w:left="0" w:right="0" w:hanging="0"/>
              <w:jc w:val="right"/>
              <w:rPr/>
            </w:pPr>
            <w:r>
              <w:rPr/>
              <w:t> </w:t>
            </w:r>
          </w:p>
        </w:tc>
      </w:tr>
      <w:tr>
        <w:trPr/>
        <w:tc>
          <w:tcPr>
            <w:tcW w:w="111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Partners’</w:t>
              <w:b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A</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B</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A</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Class B</w:t>
              <w:br/>
              <w:t>Common</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Additional</w:t>
              <w:br/>
              <w:t>Paid-In</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Retained</w:t>
              <w:br/>
              <w:t>Earnings</w:t>
              <w:b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Accumulated</w:t>
              <w:br/>
              <w:t>Other</w:t>
              <w:br/>
              <w:t>Comprehensive</w:t>
              <w:b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Non-</w:t>
              <w:br/>
              <w:t>Controlling</w:t>
              <w:br/>
              <w:t>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2"/>
              </w:rPr>
            </w:pPr>
            <w:r>
              <w:rPr>
                <w:rFonts w:ascii="Times New Roman" w:hAnsi="Times New Roman"/>
                <w:b/>
                <w:sz w:val="12"/>
              </w:rPr>
              <w:t>Total</w:t>
              <w:br/>
              <w:t>Equity</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11"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Balance at December 31, 2020</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76,509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(2,326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74,183</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Net income (loss)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22,507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22,507</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Equity-based compensation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6,157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6,157</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Distributions to partners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(9,816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(9,816</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Other</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384</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Foreign currency translation gain (loss)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228</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111"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Balance at March 31, 2021</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95,741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(2,098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93,643</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Net income (loss) prior to Business Combination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37,350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37,350</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Equity-based compensation prior to Business Combination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5,604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5,604</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Foreign currency translation gain (loss) prior to Business Combination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298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298</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Distributions to partners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(37,573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(37,573</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Other</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Effect of Business Combination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(101,112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42,956,667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50,154,199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133,832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154,619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188,322</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Net income (loss) after Business Combination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(12,499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(15,851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(28,350</w:t>
            </w:r>
          </w:p>
        </w:tc>
        <w:tc>
          <w:tcPr>
            <w:tcW w:w="3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6"/>
              </w:rPr>
            </w:pPr>
            <w:r>
              <w:rPr>
                <w:rFonts w:ascii="Times New Roman" w:hAnsi="Times New Roman"/>
                <w:b w:val="false"/>
                <w:sz w:val="16"/>
              </w:rPr>
              <w:t>)</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Equity-based compensation after Business Combination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3" w:type="dxa"/>
            <w:tcBorders/>
            <w:shd w:fill="auto" w:val="clear"/>
            <w:vAlign w:val="center"/>
          </w:tcPr>
          <w:p>
            <w:pPr>
              <w:pStyle w:val="TableContents"/>
              <w:spacing w:lineRule="auto" w:line="312" w:before="0" w:after="0"/>
              <w:ind w:left="0" w:right="0" w:hanging="0"/>
              <w:jc w:val="left"/>
              <w:rPr/>
            </w:pPr>
            <w:r>
              <w:rPr/>
              <w:t> </w:t>
            </w:r>
          </w:p>
        </w:tc>
        <w:tc>
          <w:tcPr>
            <w:tcW w:w="29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1,461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68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1,461</w:t>
            </w:r>
          </w:p>
        </w:tc>
        <w:tc>
          <w:tcPr>
            <w:tcW w:w="311" w:type="dxa"/>
            <w:tcBorders/>
            <w:shd w:fill="auto" w:val="clear"/>
            <w:vAlign w:val="center"/>
          </w:tcPr>
          <w:p>
            <w:pPr>
              <w:pStyle w:val="TableContents"/>
              <w:spacing w:lineRule="auto" w:line="312" w:before="0" w:after="0"/>
              <w:ind w:left="0" w:right="0" w:firstLine="100"/>
              <w:jc w:val="left"/>
              <w:rPr/>
            </w:pPr>
            <w:r>
              <w:rPr/>
              <w:t> </w:t>
            </w:r>
          </w:p>
        </w:tc>
      </w:tr>
      <w:tr>
        <w:trPr/>
        <w:tc>
          <w:tcPr>
            <w:tcW w:w="1111" w:type="dxa"/>
            <w:tcBorders/>
            <w:shd w:fill="auto" w:val="clear"/>
            <w:vAlign w:val="center"/>
          </w:tcPr>
          <w:p>
            <w:pPr>
              <w:pStyle w:val="TableContents"/>
              <w:spacing w:lineRule="auto" w:line="312" w:before="0" w:after="0"/>
              <w:ind w:left="100" w:right="0" w:hanging="0"/>
              <w:jc w:val="left"/>
              <w:rPr>
                <w:rFonts w:ascii="Times New Roman" w:hAnsi="Times New Roman"/>
                <w:b w:val="false"/>
                <w:sz w:val="16"/>
              </w:rPr>
            </w:pPr>
            <w:r>
              <w:rPr>
                <w:rFonts w:ascii="Times New Roman" w:hAnsi="Times New Roman"/>
                <w:b w:val="false"/>
                <w:sz w:val="16"/>
              </w:rPr>
              <w:t>Foreign currency translation gain (loss) after Business Combination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18</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111"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Balance at June 30, 2021</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42,956,667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50,154,199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29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135,293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(12,499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8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(818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138,778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260,763</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The accompanying notes are an integral part of these condensed consolidated financial statements (unaudited).</w:t>
      </w:r>
    </w:p>
    <w:p>
      <w:pPr>
        <w:pStyle w:val="TextBody"/>
        <w:spacing w:lineRule="auto" w:line="312" w:before="0" w:after="0"/>
        <w:jc w:val="center"/>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312" w:before="0" w:after="0"/>
        <w:jc w:val="right"/>
        <w:rPr/>
      </w:pPr>
      <w:r>
        <w:rPr/>
        <w:t> </w:t>
      </w:r>
    </w:p>
    <w:p>
      <w:pPr>
        <w:pStyle w:val="TextBody"/>
        <w:spacing w:lineRule="auto" w:line="312" w:before="0" w:after="0"/>
        <w:jc w:val="both"/>
        <w:rPr/>
      </w:pPr>
      <w:r>
        <w:rPr/>
        <w:t> </w:t>
      </w:r>
    </w:p>
    <w:p>
      <w:pPr>
        <w:pStyle w:val="TextBody"/>
        <w:spacing w:lineRule="auto" w:line="280" w:before="0" w:after="0"/>
        <w:jc w:val="center"/>
        <w:rPr>
          <w:rFonts w:ascii="Times New Roman" w:hAnsi="Times New Roman"/>
          <w:sz w:val="20"/>
        </w:rPr>
      </w:pPr>
      <w:bookmarkStart w:id="8" w:name="statement_of_cash_flows"/>
      <w:bookmarkEnd w:id="8"/>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Condensed Consolidated Statements of Cash Flows</w:t>
      </w:r>
    </w:p>
    <w:p>
      <w:pPr>
        <w:pStyle w:val="TextBody"/>
        <w:spacing w:lineRule="auto" w:line="312" w:before="4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312" w:before="40" w:after="240"/>
        <w:jc w:val="center"/>
        <w:rPr>
          <w:rFonts w:ascii="Times New Roman" w:hAnsi="Times New Roman"/>
          <w:b/>
          <w:sz w:val="20"/>
        </w:rPr>
      </w:pPr>
      <w:r>
        <w:rPr>
          <w:rFonts w:ascii="Times New Roman" w:hAnsi="Times New Roman"/>
          <w:b/>
          <w:sz w:val="20"/>
        </w:rPr>
        <w:t>(Dollars in Thousands)</w:t>
      </w:r>
    </w:p>
    <w:tbl>
      <w:tblPr>
        <w:tblW w:w="9850" w:type="dxa"/>
        <w:jc w:val="left"/>
        <w:tblInd w:w="0" w:type="dxa"/>
        <w:tblCellMar>
          <w:top w:w="28" w:type="dxa"/>
          <w:left w:w="28" w:type="dxa"/>
          <w:bottom w:w="28" w:type="dxa"/>
          <w:right w:w="28" w:type="dxa"/>
        </w:tblCellMar>
      </w:tblPr>
      <w:tblGrid>
        <w:gridCol w:w="6916"/>
        <w:gridCol w:w="146"/>
        <w:gridCol w:w="202"/>
        <w:gridCol w:w="776"/>
        <w:gridCol w:w="171"/>
        <w:gridCol w:w="150"/>
        <w:gridCol w:w="202"/>
        <w:gridCol w:w="776"/>
        <w:gridCol w:w="511"/>
      </w:tblGrid>
      <w:tr>
        <w:trPr/>
        <w:tc>
          <w:tcPr>
            <w:tcW w:w="6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69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277"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18"/>
              </w:rPr>
              <w:t>Six Months Ended June 30,</w:t>
            </w:r>
            <w:r>
              <w:rPr>
                <w:rFonts w:ascii="Times New Roman" w:hAnsi="Times New Roman"/>
                <w:sz w:val="20"/>
              </w:rPr>
              <w:t xml:space="preserve">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9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8"/>
              </w:rPr>
            </w:pPr>
            <w:r>
              <w:rPr>
                <w:rFonts w:ascii="Times New Roman" w:hAnsi="Times New Roman"/>
                <w:b/>
                <w:sz w:val="18"/>
              </w:rPr>
              <w:t>2021</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8"/>
              </w:rPr>
            </w:pPr>
            <w:r>
              <w:rPr>
                <w:rFonts w:ascii="Times New Roman" w:hAnsi="Times New Roman"/>
                <w:b/>
                <w:sz w:val="18"/>
              </w:rPr>
              <w:t>2020</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flows from operating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100"/>
              <w:jc w:val="right"/>
              <w:rPr/>
            </w:pPr>
            <w:r>
              <w:rPr/>
              <w:t> </w:t>
            </w:r>
          </w:p>
        </w:tc>
      </w:tr>
      <w:tr>
        <w:trPr/>
        <w:tc>
          <w:tcPr>
            <w:tcW w:w="6916" w:type="dxa"/>
            <w:tcBorders/>
            <w:shd w:fill="auto" w:val="clear"/>
            <w:vAlign w:val="center"/>
          </w:tcPr>
          <w:p>
            <w:pPr>
              <w:pStyle w:val="TableContents"/>
              <w:spacing w:lineRule="auto" w:line="312" w:before="0" w:after="0"/>
              <w:ind w:left="100" w:right="0" w:hanging="0"/>
              <w:jc w:val="left"/>
              <w:rPr>
                <w:rFonts w:ascii="Times New Roman" w:hAnsi="Times New Roman"/>
                <w:b w:val="false"/>
                <w:sz w:val="18"/>
              </w:rPr>
            </w:pPr>
            <w:r>
              <w:rPr>
                <w:rFonts w:ascii="Times New Roman" w:hAnsi="Times New Roman"/>
                <w:b w:val="false"/>
                <w:sz w:val="18"/>
              </w:rPr>
              <w:t>Net income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31,507</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(26,189</w:t>
            </w:r>
          </w:p>
        </w:tc>
        <w:tc>
          <w:tcPr>
            <w:tcW w:w="5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100" w:right="0" w:hanging="0"/>
              <w:jc w:val="left"/>
              <w:rPr>
                <w:rFonts w:ascii="Times New Roman" w:hAnsi="Times New Roman"/>
                <w:b w:val="false"/>
                <w:sz w:val="18"/>
              </w:rPr>
            </w:pPr>
            <w:r>
              <w:rPr>
                <w:rFonts w:ascii="Times New Roman" w:hAnsi="Times New Roman"/>
                <w:b w:val="false"/>
                <w:sz w:val="18"/>
              </w:rPr>
              <w:t>Adjustments to reconcile net income (loss) to net cash provided by (used in) operating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200"/>
              <w:jc w:val="righ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Loss on debt extinguishment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39,408</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Equity-based compensation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13,222</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12,364</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Depreciation and amortization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7,602</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7,794</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Amortization of debt discounts and deferred financing costs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2,247</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1,943</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Change in fair value of warrant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(948</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Non-cash operating lease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8,624</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8,471</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Other</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(390</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(272</w:t>
            </w:r>
          </w:p>
        </w:tc>
        <w:tc>
          <w:tcPr>
            <w:tcW w:w="5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100" w:right="0" w:hanging="0"/>
              <w:jc w:val="left"/>
              <w:rPr>
                <w:rFonts w:ascii="Times New Roman" w:hAnsi="Times New Roman"/>
                <w:b w:val="false"/>
                <w:sz w:val="18"/>
              </w:rPr>
            </w:pPr>
            <w:r>
              <w:rPr>
                <w:rFonts w:ascii="Times New Roman" w:hAnsi="Times New Roman"/>
                <w:b w:val="false"/>
                <w:sz w:val="18"/>
              </w:rPr>
              <w:t>Decrease (increase) in operating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200"/>
              <w:jc w:val="righ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Accounts receivable, net of allowance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(43,509</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10,908</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Due from related parties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(637</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662</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Prepaid expenses and other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(12,635</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8,485</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Deferred tax asset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(1,030</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(985</w:t>
            </w:r>
          </w:p>
        </w:tc>
        <w:tc>
          <w:tcPr>
            <w:tcW w:w="511" w:type="dxa"/>
            <w:tcBorders/>
            <w:shd w:fill="auto" w:val="clear"/>
            <w:vAlign w:val="center"/>
          </w:tcPr>
          <w:p>
            <w:pPr>
              <w:pStyle w:val="TableContents"/>
              <w:spacing w:lineRule="auto" w:line="312" w:before="0" w:after="0"/>
              <w:ind w:left="0" w:right="0" w:firstLine="1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100" w:right="0" w:hanging="0"/>
              <w:jc w:val="left"/>
              <w:rPr>
                <w:rFonts w:ascii="Times New Roman" w:hAnsi="Times New Roman"/>
                <w:b w:val="false"/>
                <w:sz w:val="18"/>
              </w:rPr>
            </w:pPr>
            <w:r>
              <w:rPr>
                <w:rFonts w:ascii="Times New Roman" w:hAnsi="Times New Roman"/>
                <w:b w:val="false"/>
                <w:sz w:val="18"/>
              </w:rPr>
              <w:t>Increase (decrease) in operating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200"/>
              <w:jc w:val="righ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Accrued compensation and benefits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(1,383</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(122,444</w:t>
            </w:r>
          </w:p>
        </w:tc>
        <w:tc>
          <w:tcPr>
            <w:tcW w:w="5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Deferred compensation programs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348</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2,931</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Accounts payable, accrued expenses and other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1,063</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(3,587</w:t>
            </w:r>
          </w:p>
        </w:tc>
        <w:tc>
          <w:tcPr>
            <w:tcW w:w="5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Deferred revenue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(6,676</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1,517</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Lease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(8,984</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(9,997</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3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300" w:right="0" w:hanging="0"/>
              <w:jc w:val="left"/>
              <w:rPr>
                <w:rFonts w:ascii="Times New Roman" w:hAnsi="Times New Roman"/>
                <w:b w:val="false"/>
                <w:sz w:val="18"/>
              </w:rPr>
            </w:pPr>
            <w:r>
              <w:rPr>
                <w:rFonts w:ascii="Times New Roman" w:hAnsi="Times New Roman"/>
                <w:b w:val="false"/>
                <w:sz w:val="18"/>
              </w:rPr>
              <w:t>Net cash provided by (used in) operating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27,829</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(108,399</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flows from investing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200"/>
              <w:jc w:val="righ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Purchases of fixed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(451</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(4,104</w:t>
            </w:r>
          </w:p>
        </w:tc>
        <w:tc>
          <w:tcPr>
            <w:tcW w:w="5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Other</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(978</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300"/>
              <w:jc w:val="left"/>
              <w:rPr/>
            </w:pPr>
            <w:r>
              <w:rPr/>
              <w:t> </w:t>
            </w:r>
          </w:p>
        </w:tc>
      </w:tr>
      <w:tr>
        <w:trPr/>
        <w:tc>
          <w:tcPr>
            <w:tcW w:w="6916" w:type="dxa"/>
            <w:tcBorders/>
            <w:shd w:fill="auto" w:val="clear"/>
            <w:vAlign w:val="center"/>
          </w:tcPr>
          <w:p>
            <w:pPr>
              <w:pStyle w:val="TableContents"/>
              <w:spacing w:lineRule="auto" w:line="312" w:before="0" w:after="0"/>
              <w:ind w:left="300" w:right="0" w:hanging="0"/>
              <w:jc w:val="left"/>
              <w:rPr>
                <w:rFonts w:ascii="Times New Roman" w:hAnsi="Times New Roman"/>
                <w:b w:val="false"/>
                <w:sz w:val="18"/>
              </w:rPr>
            </w:pPr>
            <w:r>
              <w:rPr>
                <w:rFonts w:ascii="Times New Roman" w:hAnsi="Times New Roman"/>
                <w:b w:val="false"/>
                <w:sz w:val="18"/>
              </w:rPr>
              <w:t>Net cash provided by (used in) investing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(1,429</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(4,104</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flows from financing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200"/>
              <w:jc w:val="righ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Proceeds from Business Combination, including PIPE Investment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355,021</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Payment of Business Combination costs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(20,570</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Draw down on Revolving Credit Facility</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22,000</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Principal payment on Revolving Credit Facility</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(27,690</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(10,000</w:t>
            </w:r>
          </w:p>
        </w:tc>
        <w:tc>
          <w:tcPr>
            <w:tcW w:w="5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Redemption of Convertible Notes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(160,930</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Redemption of partners’ interests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(104,540</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Distributions to partners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(47,389</w:t>
            </w:r>
          </w:p>
        </w:tc>
        <w:tc>
          <w:tcPr>
            <w:tcW w:w="1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(9,430</w:t>
            </w:r>
          </w:p>
        </w:tc>
        <w:tc>
          <w:tcPr>
            <w:tcW w:w="5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Debt issuance costs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(361</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300"/>
              <w:jc w:val="left"/>
              <w:rPr/>
            </w:pPr>
            <w:r>
              <w:rPr/>
              <w:t> </w:t>
            </w:r>
          </w:p>
        </w:tc>
      </w:tr>
      <w:tr>
        <w:trPr/>
        <w:tc>
          <w:tcPr>
            <w:tcW w:w="6916" w:type="dxa"/>
            <w:tcBorders/>
            <w:shd w:fill="auto" w:val="clear"/>
            <w:vAlign w:val="center"/>
          </w:tcPr>
          <w:p>
            <w:pPr>
              <w:pStyle w:val="TableContents"/>
              <w:spacing w:lineRule="auto" w:line="312" w:before="0" w:after="0"/>
              <w:ind w:left="300" w:right="0" w:hanging="0"/>
              <w:jc w:val="left"/>
              <w:rPr>
                <w:rFonts w:ascii="Times New Roman" w:hAnsi="Times New Roman"/>
                <w:b w:val="false"/>
                <w:sz w:val="18"/>
              </w:rPr>
            </w:pPr>
            <w:r>
              <w:rPr>
                <w:rFonts w:ascii="Times New Roman" w:hAnsi="Times New Roman"/>
                <w:b w:val="false"/>
                <w:sz w:val="18"/>
              </w:rPr>
              <w:t>Net cash provided by (used in) financing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(6,459</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2,570</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Effect of exchange rate changes on cash, cash equivalents and restricted cash</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668</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(3,130</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Net increase (decrease) in cash, cash equivalents and restricted cash</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20,609</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(113,063</w:t>
            </w:r>
          </w:p>
        </w:tc>
        <w:tc>
          <w:tcPr>
            <w:tcW w:w="51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Cash, cash equivalents and restricted cash, beginning of period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330,908</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266,582</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Cash, cash equivalents and restricted cash, end of period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351,517</w:t>
            </w:r>
          </w:p>
        </w:tc>
        <w:tc>
          <w:tcPr>
            <w:tcW w:w="1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153,519</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Supplemental disclosure of non-cash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200"/>
              <w:jc w:val="righ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Lease liabilities arising from obtaining right-of-use lease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5,215</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363</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Net assets of deconsolidated affiliate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394</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312" w:before="0" w:after="0"/>
              <w:ind w:left="0" w:right="0" w:hanging="0"/>
              <w:jc w:val="left"/>
              <w:rPr/>
            </w:pPr>
            <w:r>
              <w:rPr/>
              <w:t> </w:t>
            </w:r>
          </w:p>
        </w:tc>
      </w:tr>
      <w:tr>
        <w:trPr/>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Supplemental disclosures of cash flow information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171" w:type="dxa"/>
            <w:tcBorders/>
            <w:shd w:fill="auto" w:val="clear"/>
            <w:vAlign w:val="center"/>
          </w:tcPr>
          <w:p>
            <w:pPr>
              <w:pStyle w:val="TableContents"/>
              <w:spacing w:lineRule="auto" w:line="312" w:before="0" w:after="0"/>
              <w:ind w:left="0" w:right="0" w:hanging="0"/>
              <w:jc w:val="righ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978" w:type="dxa"/>
            <w:gridSpan w:val="2"/>
            <w:tcBorders/>
            <w:shd w:fill="auto" w:val="clear"/>
            <w:vAlign w:val="center"/>
          </w:tcPr>
          <w:p>
            <w:pPr>
              <w:pStyle w:val="TableContents"/>
              <w:spacing w:lineRule="auto" w:line="312" w:before="0" w:after="0"/>
              <w:ind w:left="0" w:right="0" w:hanging="0"/>
              <w:jc w:val="right"/>
              <w:rPr/>
            </w:pPr>
            <w:r>
              <w:rPr/>
              <w:t> </w:t>
            </w:r>
          </w:p>
        </w:tc>
        <w:tc>
          <w:tcPr>
            <w:tcW w:w="511" w:type="dxa"/>
            <w:tcBorders/>
            <w:shd w:fill="auto" w:val="clear"/>
            <w:vAlign w:val="center"/>
          </w:tcPr>
          <w:p>
            <w:pPr>
              <w:pStyle w:val="TableContents"/>
              <w:spacing w:lineRule="auto" w:line="312" w:before="0" w:after="0"/>
              <w:ind w:left="0" w:right="0" w:firstLine="200"/>
              <w:jc w:val="righ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Cash paid for income taxes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2,272</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1,005</w:t>
            </w:r>
          </w:p>
        </w:tc>
        <w:tc>
          <w:tcPr>
            <w:tcW w:w="511" w:type="dxa"/>
            <w:tcBorders/>
            <w:shd w:fill="auto" w:val="clear"/>
            <w:vAlign w:val="center"/>
          </w:tcPr>
          <w:p>
            <w:pPr>
              <w:pStyle w:val="TableContents"/>
              <w:spacing w:lineRule="auto" w:line="312" w:before="0" w:after="0"/>
              <w:ind w:left="0" w:right="0" w:firstLine="200"/>
              <w:jc w:val="left"/>
              <w:rPr/>
            </w:pPr>
            <w:r>
              <w:rPr/>
              <w:t> </w:t>
            </w:r>
          </w:p>
        </w:tc>
      </w:tr>
      <w:tr>
        <w:trPr/>
        <w:tc>
          <w:tcPr>
            <w:tcW w:w="6916"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Cash paid for interest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5,452</w:t>
            </w:r>
          </w:p>
        </w:tc>
        <w:tc>
          <w:tcPr>
            <w:tcW w:w="171" w:type="dxa"/>
            <w:tcBorders/>
            <w:shd w:fill="auto" w:val="clear"/>
            <w:vAlign w:val="center"/>
          </w:tcPr>
          <w:p>
            <w:pPr>
              <w:pStyle w:val="TableContents"/>
              <w:spacing w:lineRule="auto" w:line="312" w:before="0" w:after="0"/>
              <w:ind w:left="0" w:right="0" w:hanging="0"/>
              <w:jc w:val="left"/>
              <w:rPr/>
            </w:pPr>
            <w:r>
              <w:rPr/>
              <w:t> </w:t>
            </w:r>
          </w:p>
        </w:tc>
        <w:tc>
          <w:tcPr>
            <w:tcW w:w="150" w:type="dxa"/>
            <w:tcBorders/>
            <w:shd w:fill="auto" w:val="clear"/>
            <w:vAlign w:val="center"/>
          </w:tcPr>
          <w:p>
            <w:pPr>
              <w:pStyle w:val="TableContents"/>
              <w:spacing w:lineRule="auto" w:line="312" w:before="0" w:after="0"/>
              <w:ind w:left="0" w:right="0" w:hanging="0"/>
              <w:jc w:val="righ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6,027</w:t>
            </w:r>
          </w:p>
        </w:tc>
        <w:tc>
          <w:tcPr>
            <w:tcW w:w="51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The accompanying notes are an integral part of these condensed consolidated financial statements (unaudited).</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336"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jc w:val="both"/>
        <w:rPr/>
      </w:pPr>
      <w:r>
        <w:rPr/>
        <w:t> </w:t>
      </w:r>
    </w:p>
    <w:p>
      <w:pPr>
        <w:pStyle w:val="TextBody"/>
        <w:pBdr/>
        <w:spacing w:lineRule="auto" w:line="312" w:before="0" w:after="0"/>
        <w:ind w:left="0" w:right="0" w:hanging="490"/>
        <w:jc w:val="left"/>
        <w:rPr>
          <w:rFonts w:ascii="Times New Roman" w:hAnsi="Times New Roman"/>
          <w:b/>
          <w:sz w:val="20"/>
        </w:rPr>
      </w:pPr>
      <w:bookmarkStart w:id="9" w:name="notes_to_financial_statements"/>
      <w:bookmarkEnd w:id="9"/>
      <w:r>
        <w:rPr>
          <w:rFonts w:ascii="Times New Roman" w:hAnsi="Times New Roman"/>
          <w:b/>
          <w:sz w:val="20"/>
        </w:rPr>
        <w:t>Note 1 – Organization and Nature of Business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Historical Transactions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w:t>
      </w:r>
      <w:r>
        <w:rPr>
          <w:rFonts w:ascii="Times New Roman" w:hAnsi="Times New Roman"/>
          <w:sz w:val="20"/>
        </w:rPr>
        <w:t xml:space="preserve"> </w:t>
      </w:r>
      <w:r>
        <w:rPr>
          <w:rFonts w:ascii="Times New Roman" w:hAnsi="Times New Roman"/>
          <w:b w:val="false"/>
          <w:sz w:val="20"/>
        </w:rPr>
        <w:t>hold equity in both PWP OpCo and PWP Capital Holdings LP.</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336"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jc w:val="both"/>
        <w:rPr/>
      </w:pPr>
      <w:r>
        <w:rPr/>
        <w:t> </w:t>
      </w:r>
    </w:p>
    <w:p>
      <w:pPr>
        <w:pStyle w:val="TextBody"/>
        <w:pBdr/>
        <w:spacing w:lineRule="auto" w:line="312" w:before="240" w:after="0"/>
        <w:ind w:left="0" w:right="0" w:hanging="490"/>
        <w:jc w:val="left"/>
        <w:rPr>
          <w:rFonts w:ascii="Times New Roman" w:hAnsi="Times New Roman"/>
          <w:b/>
          <w:sz w:val="20"/>
        </w:rPr>
      </w:pPr>
      <w:r>
        <w:rPr>
          <w:rFonts w:ascii="Times New Roman" w:hAnsi="Times New Roman"/>
          <w:b/>
          <w:sz w:val="20"/>
        </w:rPr>
        <w:t>Note 2 – Summary of Significant Accounting Policies</w:t>
      </w:r>
    </w:p>
    <w:p>
      <w:pPr>
        <w:pStyle w:val="TextBody"/>
        <w:pBdr/>
        <w:spacing w:lineRule="auto" w:line="312" w:before="240" w:after="0"/>
        <w:ind w:left="0" w:right="0" w:hanging="490"/>
        <w:jc w:val="left"/>
        <w:rPr>
          <w:rFonts w:ascii="Times New Roman" w:hAnsi="Times New Roman"/>
          <w:sz w:val="20"/>
        </w:rPr>
      </w:pPr>
      <w:r>
        <w:rPr>
          <w:rFonts w:ascii="Times New Roman" w:hAnsi="Times New Roman"/>
          <w:b/>
          <w:i/>
          <w:sz w:val="20"/>
        </w:rPr>
        <w:t>Basis of Presentation</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unaudited condensed consolidated financial statements reflect the financial condition, results of operations and cash flows of the Company and have been prepared in accordance with generally accepted accounting principles in the United States (“U.S. GAAP”).</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All intercompany balances and transactions between the consolidated subsidiaries comprising the Company have been eliminated in the accompanying condensed consolidated financial statements.</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Use of Estimates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r>
        <w:rPr>
          <w:rFonts w:ascii="Times New Roman" w:hAnsi="Times New Roman"/>
          <w:sz w:val="20"/>
        </w:rPr>
        <w:t xml:space="preserve"> </w:t>
      </w:r>
    </w:p>
    <w:p>
      <w:pPr>
        <w:pStyle w:val="TextBody"/>
        <w:spacing w:lineRule="auto" w:line="336" w:before="240" w:after="0"/>
        <w:ind w:left="0" w:right="0" w:firstLine="360"/>
        <w:jc w:val="both"/>
        <w:rPr>
          <w:rFonts w:ascii="Times New Roman" w:hAnsi="Times New Roman"/>
          <w:b w:val="false"/>
          <w:sz w:val="20"/>
        </w:rPr>
      </w:pPr>
      <w:r>
        <w:rPr>
          <w:rFonts w:ascii="Times New Roman" w:hAnsi="Times New Roman"/>
          <w:b w:val="false"/>
          <w:sz w:val="20"/>
        </w:rPr>
        <w:t>In preparing the condensed consolidated financial statements, management makes estimates regarding the following:</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adequacy of the allowance for credit losses;</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measurement and realization of deferred taxes;</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measurement of equity-based awards;</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evaluation of goodwill and intangible assets;</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fair value measurement of financial instruments; and </w:t>
      </w:r>
    </w:p>
    <w:p>
      <w:pPr>
        <w:pStyle w:val="TextBody"/>
        <w:spacing w:lineRule="auto" w:line="312" w:before="120" w:after="0"/>
        <w:ind w:left="489" w:right="0" w:hanging="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other matters that affect the reported amounts and disclosures of contingencies in the condensed consolidated financial statements.</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Cash, Cash Equivalents and Restricted Cash</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Cash and cash equivalents includes cash and highly liquid investments with original maturities of three months or less from the date of purchase. As of June 30, 2021 and December 31, 2020, the Company had no</w:t>
      </w:r>
      <w:r>
        <w:rPr>
          <w:rFonts w:ascii="Times New Roman" w:hAnsi="Times New Roman"/>
          <w:sz w:val="20"/>
        </w:rPr>
        <w:t xml:space="preserve"> </w:t>
      </w:r>
      <w:r>
        <w:rPr>
          <w:rFonts w:ascii="Times New Roman" w:hAnsi="Times New Roman"/>
          <w:b w:val="false"/>
          <w:sz w:val="20"/>
        </w:rPr>
        <w:t>cash equivalents. The Company maintains cash with banks and brokerage firms, which from time to time may exceed federally insured limits.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Restricted cash represents cash that is not readily available for general purpose cash needs. As of both June 30, 2021 and December 31, 2020, the Company had restricted cash of $1.8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maintained as collateral for letters of credit related to the Company’s New York City and Paris office leases.</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A reconciliation of the Company’s cash, cash equivalents and restricted cash as of June 30, 2021 and June 30, 2020 is presented below:</w:t>
      </w:r>
    </w:p>
    <w:tbl>
      <w:tblPr>
        <w:tblW w:w="9008" w:type="dxa"/>
        <w:jc w:val="left"/>
        <w:tblInd w:w="0" w:type="dxa"/>
        <w:tblCellMar>
          <w:top w:w="28" w:type="dxa"/>
          <w:left w:w="28" w:type="dxa"/>
          <w:bottom w:w="28" w:type="dxa"/>
          <w:right w:w="28" w:type="dxa"/>
        </w:tblCellMar>
      </w:tblPr>
      <w:tblGrid>
        <w:gridCol w:w="6541"/>
        <w:gridCol w:w="211"/>
        <w:gridCol w:w="781"/>
        <w:gridCol w:w="146"/>
        <w:gridCol w:w="146"/>
        <w:gridCol w:w="211"/>
        <w:gridCol w:w="781"/>
        <w:gridCol w:w="191"/>
      </w:tblGrid>
      <w:tr>
        <w:trPr/>
        <w:tc>
          <w:tcPr>
            <w:tcW w:w="65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541" w:type="dxa"/>
            <w:tcBorders/>
            <w:shd w:fill="auto" w:val="clear"/>
            <w:vAlign w:val="center"/>
          </w:tcPr>
          <w:p>
            <w:pPr>
              <w:pStyle w:val="TableContents"/>
              <w:spacing w:lineRule="auto" w:line="312" w:before="0" w:after="0"/>
              <w:ind w:left="0" w:right="0" w:hanging="0"/>
              <w:jc w:val="righ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June 30,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541"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5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349,677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151,693</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5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equivalents</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5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Restricted cash</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1,826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5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as shown on statements of cash flows</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351,517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153,519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Accounts Receivable</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Accounts receivable are presented net of allowance for credit losses based on the Company’s assessment of collectability. The Company regularly reviews its accounts receivable for collectability and an allowance is recognized for credit losses, if required. As of June 30, 2021 and December 31, 2020, $32.0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$5.1</w:t>
      </w:r>
      <w:r>
        <w:rPr>
          <w:rFonts w:ascii="Times New Roman" w:hAnsi="Times New Roman"/>
          <w:sz w:val="20"/>
        </w:rPr>
        <w:t xml:space="preserve"> </w:t>
      </w:r>
      <w:r>
        <w:rPr>
          <w:rFonts w:ascii="Times New Roman" w:hAnsi="Times New Roman"/>
          <w:b w:val="false"/>
          <w:sz w:val="20"/>
        </w:rPr>
        <w:t>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June 30, 2021 and December 31, 2020.</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Accounts receivable represents amounts due from clients from various industry and geographic backgrounds. As of June 30, 2021, certain accounts receivable in the aggregate amount of $30.1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were individually greater than 10% of the Company’s total accounts receivable and were concentrated with two</w:t>
      </w:r>
      <w:r>
        <w:rPr>
          <w:rFonts w:ascii="Times New Roman" w:hAnsi="Times New Roman"/>
          <w:sz w:val="20"/>
        </w:rPr>
        <w:t xml:space="preserve"> </w:t>
      </w:r>
      <w:r>
        <w:rPr>
          <w:rFonts w:ascii="Times New Roman" w:hAnsi="Times New Roman"/>
          <w:b w:val="false"/>
          <w:sz w:val="20"/>
        </w:rPr>
        <w:t>clients. Of that amount, $17.0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was subsequently received after June 30, 2021. As of December 31, 2020, there were no</w:t>
      </w:r>
      <w:r>
        <w:rPr>
          <w:rFonts w:ascii="Times New Roman" w:hAnsi="Times New Roman"/>
          <w:sz w:val="20"/>
        </w:rPr>
        <w:t xml:space="preserve"> </w:t>
      </w:r>
      <w:r>
        <w:rPr>
          <w:rFonts w:ascii="Times New Roman" w:hAnsi="Times New Roman"/>
          <w:b w:val="false"/>
          <w:sz w:val="20"/>
        </w:rPr>
        <w:t>accounts receivable individually greater than 10% of the Company’s total accounts receivable.</w:t>
      </w:r>
      <w:r>
        <w:rPr>
          <w:rFonts w:ascii="Times New Roman" w:hAnsi="Times New Roman"/>
          <w:sz w:val="20"/>
        </w:rPr>
        <w:t xml:space="preserve"> </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Allowance for Credit Losses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 xml:space="preserve">On January 1, 2020, the Company adopted Accounting Standards Update (“ASU”) No. 2016-13, </w:t>
      </w:r>
      <w:r>
        <w:rPr>
          <w:rFonts w:ascii="Times New Roman" w:hAnsi="Times New Roman"/>
          <w:b w:val="false"/>
          <w:i/>
          <w:sz w:val="20"/>
        </w:rPr>
        <w:t xml:space="preserve">Measurement of Credit Losses on Financial Instruments </w:t>
      </w:r>
      <w:r>
        <w:rPr>
          <w:rFonts w:ascii="Times New Roman" w:hAnsi="Times New Roman"/>
          <w:b w:val="false"/>
          <w:sz w:val="20"/>
        </w:rPr>
        <w:t>(“ASU 2016-13”), under the modified retrospective approach. This new standard replaces the incurred loss impairment methodology for financial instruments with the current expected credit loss (“CECL”) model which requires an estimate of future credit losses.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r>
        <w:rPr>
          <w:rFonts w:ascii="Times New Roman" w:hAnsi="Times New Roman"/>
          <w:sz w:val="20"/>
        </w:rPr>
        <w:t xml:space="preserve"> </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Consolidation</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Company’s policy is to consolidate entities in which the Company</w:t>
      </w:r>
      <w:r>
        <w:rPr>
          <w:rFonts w:ascii="Times New Roman" w:hAnsi="Times New Roman"/>
          <w:sz w:val="20"/>
        </w:rPr>
        <w:t xml:space="preserve"> </w:t>
      </w:r>
      <w:r>
        <w:rPr>
          <w:rFonts w:ascii="Times New Roman" w:hAnsi="Times New Roman"/>
          <w:b w:val="false"/>
          <w:sz w:val="20"/>
        </w:rPr>
        <w:t>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The assets and liabilities of PWP OpCo represent substantially all of the Company's consolidated assets and liabilities with the exception of certain income taxes payable, deferred taxes and liabilities under the tax receivable agreement. As of June 30, 2021 and December 31, 2020, the net assets of</w:t>
      </w:r>
      <w:r>
        <w:rPr>
          <w:rFonts w:ascii="Times New Roman" w:hAnsi="Times New Roman"/>
          <w:sz w:val="20"/>
        </w:rPr>
        <w:t xml:space="preserve"> </w:t>
      </w:r>
      <w:r>
        <w:rPr>
          <w:rFonts w:ascii="Times New Roman" w:hAnsi="Times New Roman"/>
          <w:b w:val="false"/>
          <w:sz w:val="20"/>
        </w:rPr>
        <w:t>PWP OpCo were $258.9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w:t>
      </w:r>
      <w:r>
        <w:rPr>
          <w:rFonts w:ascii="Times New Roman" w:hAnsi="Times New Roman"/>
          <w:b w:val="false"/>
          <w:sz w:val="20"/>
        </w:rPr>
        <w:t>and $74.2</w:t>
      </w:r>
      <w:r>
        <w:rPr>
          <w:rFonts w:ascii="Times New Roman" w:hAnsi="Times New Roman"/>
          <w:sz w:val="20"/>
        </w:rPr>
        <w:t xml:space="preserve"> </w:t>
      </w:r>
      <w:r>
        <w:rPr>
          <w:rFonts w:ascii="Times New Roman" w:hAnsi="Times New Roman"/>
          <w:b w:val="false"/>
          <w:sz w:val="20"/>
        </w:rPr>
        <w:t>million, respectively. As of June 30, 2021 and December 31, 2020, the Company did not consolidate any VIEs other than PWP OpCo that were deemed material to the condensed consolidated financial statements.</w:t>
      </w:r>
      <w:r>
        <w:rPr>
          <w:rFonts w:ascii="Times New Roman" w:hAnsi="Times New Roman"/>
          <w:sz w:val="20"/>
        </w:rPr>
        <w:t xml:space="preserve"> </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Equity Method Investments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Prepaid Expenses and Other Assets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majority of Prepaid expenses and other assets consists of prepaid expenses and deferred offering costs.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w:t>
      </w:r>
      <w:r>
        <w:rPr>
          <w:rFonts w:ascii="Times New Roman" w:hAnsi="Times New Roman"/>
          <w:sz w:val="20"/>
        </w:rPr>
        <w:t xml:space="preserve"> </w:t>
      </w:r>
      <w:r>
        <w:rPr>
          <w:rFonts w:ascii="Times New Roman" w:hAnsi="Times New Roman"/>
          <w:b w:val="false"/>
          <w:sz w:val="20"/>
        </w:rPr>
        <w:t>deferred offering costs are included within Prepaid expenses and other assets on the Condensed Consolidated Statements of Financial Condition as of June 30, 2021. As of December 31, 2020, cumulative offering costs of $9.1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were deferred within Prepaid expenses and other assets.</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Warrants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evaluated the public and private warrants under Accounting Standards Codification (“ASC”) Topic 815, </w:t>
      </w:r>
      <w:r>
        <w:rPr>
          <w:rFonts w:ascii="Times New Roman" w:hAnsi="Times New Roman"/>
          <w:b w:val="false"/>
          <w:i/>
          <w:sz w:val="20"/>
        </w:rPr>
        <w:t>Derivatives and Hedging,</w:t>
      </w:r>
      <w:r>
        <w:rPr>
          <w:rFonts w:ascii="Times New Roman" w:hAnsi="Times New Roman"/>
          <w:sz w:val="20"/>
        </w:rPr>
        <w:t xml:space="preserve"> </w:t>
      </w:r>
      <w:r>
        <w:rPr>
          <w:rFonts w:ascii="Times New Roman" w:hAnsi="Times New Roman"/>
          <w:b w:val="false"/>
          <w:sz w:val="20"/>
        </w:rPr>
        <w:t>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w:t>
      </w:r>
      <w:r>
        <w:rPr>
          <w:rFonts w:ascii="Times New Roman" w:hAnsi="Times New Roman"/>
          <w:sz w:val="20"/>
        </w:rPr>
        <w:t> </w:t>
      </w:r>
      <w:r>
        <w:rPr>
          <w:rFonts w:ascii="Times New Roman" w:hAnsi="Times New Roman"/>
          <w:b w:val="false"/>
          <w:i/>
          <w:sz w:val="20"/>
        </w:rPr>
        <w:t>Fair Value Measurement</w:t>
      </w:r>
      <w:r>
        <w:rPr>
          <w:rFonts w:ascii="Times New Roman" w:hAnsi="Times New Roman"/>
          <w:b w:val="false"/>
          <w:sz w:val="20"/>
        </w:rPr>
        <w:t>, with subsequent changes in their respective fair values recorded in Change in fair value of warrant liabilities on the Condensed Consolidated Statements of Operations and on the Condensed Consolidated Statements of Cash Flows.</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Tax Receivable Agreement</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 connection with the Business Combination as described in Note 3 – Business Combination,</w:t>
      </w:r>
      <w:r>
        <w:rPr>
          <w:rFonts w:ascii="Times New Roman" w:hAnsi="Times New Roman"/>
          <w:sz w:val="20"/>
        </w:rPr>
        <w:t xml:space="preserve"> </w:t>
      </w:r>
      <w:r>
        <w:rPr>
          <w:rFonts w:ascii="Times New Roman" w:hAnsi="Times New Roman"/>
          <w:b w:val="false"/>
          <w:sz w:val="20"/>
        </w:rPr>
        <w:t>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Income Taxes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income.</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 xml:space="preserve">Taxes are accounted for using the asset and liability method of accounting pursuant to ASC 740, </w:t>
      </w:r>
      <w:r>
        <w:rPr>
          <w:rFonts w:ascii="Times New Roman" w:hAnsi="Times New Roman"/>
          <w:b w:val="false"/>
          <w:i/>
          <w:sz w:val="20"/>
        </w:rPr>
        <w:t xml:space="preserve">Income Taxes </w:t>
      </w:r>
      <w:r>
        <w:rPr>
          <w:rFonts w:ascii="Times New Roman" w:hAnsi="Times New Roman"/>
          <w:b w:val="false"/>
          <w:sz w:val="20"/>
        </w:rPr>
        <w:t>(“ASC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Equity-Based Compensation</w:t>
      </w:r>
    </w:p>
    <w:p>
      <w:pPr>
        <w:pStyle w:val="TextBody"/>
        <w:spacing w:lineRule="auto" w:line="312" w:before="0" w:after="0"/>
        <w:ind w:left="0" w:right="0" w:hanging="0"/>
        <w:jc w:val="both"/>
        <w:rPr/>
      </w:pPr>
      <w:r>
        <w:rPr/>
        <w:t> </w:t>
      </w:r>
    </w:p>
    <w:p>
      <w:pPr>
        <w:pStyle w:val="TextBody"/>
        <w:spacing w:lineRule="auto" w:line="312" w:before="0" w:after="0"/>
        <w:ind w:left="0" w:right="0" w:firstLine="446"/>
        <w:jc w:val="both"/>
        <w:rPr>
          <w:rFonts w:ascii="Times New Roman" w:hAnsi="Times New Roman"/>
          <w:b w:val="false"/>
          <w:sz w:val="20"/>
        </w:rPr>
      </w:pPr>
      <w:r>
        <w:rPr>
          <w:rFonts w:ascii="Times New Roman" w:hAnsi="Times New Roman"/>
          <w:b w:val="false"/>
          <w:sz w:val="20"/>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Non-Controlling Interests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that gets fully attributed to non-controlling interests. Refer to Note 13 – Equity-Based Compensation for further information.</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Net Income (Loss) Per Share</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Recently Adopted Accounting Pronouncements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No changes to U.S. GAAP that went into effect during the six months ended June 30, 2021 had a material effect on the Company’s condensed consolidated financial statements.</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Future Adoption of Accounting Pronouncements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No changes to U.S. GAAP that are not yet effective are expected to have a material effect on the Company’s condensed consolidated financial statements.</w:t>
      </w:r>
      <w:r>
        <w:rPr>
          <w:rFonts w:ascii="Times New Roman" w:hAnsi="Times New Roman"/>
          <w:sz w:val="20"/>
        </w:rPr>
        <w:t> </w:t>
      </w:r>
    </w:p>
    <w:p>
      <w:pPr>
        <w:pStyle w:val="TextBody"/>
        <w:spacing w:lineRule="auto" w:line="312" w:before="240" w:after="0"/>
        <w:jc w:val="left"/>
        <w:rPr>
          <w:rFonts w:ascii="Times New Roman" w:hAnsi="Times New Roman"/>
          <w:sz w:val="20"/>
        </w:rPr>
      </w:pPr>
      <w:r>
        <w:rPr>
          <w:rFonts w:ascii="Times New Roman" w:hAnsi="Times New Roman"/>
          <w:b/>
          <w:sz w:val="20"/>
        </w:rPr>
        <w:t xml:space="preserve">Note 3 </w:t>
      </w:r>
      <w:r>
        <w:rPr>
          <w:rFonts w:ascii="Times New Roman" w:hAnsi="Times New Roman"/>
          <w:sz w:val="20"/>
        </w:rPr>
        <w:t xml:space="preserve">– </w:t>
      </w:r>
      <w:r>
        <w:rPr>
          <w:rFonts w:ascii="Times New Roman" w:hAnsi="Times New Roman"/>
          <w:b/>
          <w:sz w:val="20"/>
        </w:rPr>
        <w:t>Business Combination</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 June 24, 2021, the Company consummated a business combination pursuant to the Business Combination Agreement dated as of December 29, 2020, by and among the Company (previously FTIV), FinTech Investor Holdings IV, LLC a Delaware limited liability company, FinTech Masala Advisors, LLC, a Delaware limited liability company,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 December 29, 2020, concurrent with the execution of the Business Combination Agreement, FTIV also entered into subscription agreements with certain private investors (“PIPE Investors”), pursuant to which the PIPE Investors collectively subscribed for 12,500,000</w:t>
      </w:r>
      <w:r>
        <w:rPr>
          <w:rFonts w:ascii="Times New Roman" w:hAnsi="Times New Roman"/>
          <w:sz w:val="20"/>
        </w:rPr>
        <w:t xml:space="preserve"> </w:t>
      </w:r>
      <w:r>
        <w:rPr>
          <w:rFonts w:ascii="Times New Roman" w:hAnsi="Times New Roman"/>
          <w:b w:val="false"/>
          <w:sz w:val="20"/>
        </w:rPr>
        <w:t>shares of the Company’s Class A common stock for an aggregate purchase price equal to $125.0</w:t>
      </w:r>
      <w:r>
        <w:rPr>
          <w:rFonts w:ascii="Times New Roman" w:hAnsi="Times New Roman"/>
          <w:sz w:val="20"/>
        </w:rPr>
        <w:t xml:space="preserve"> </w:t>
      </w:r>
      <w:r>
        <w:rPr>
          <w:rFonts w:ascii="Times New Roman" w:hAnsi="Times New Roman"/>
          <w:b w:val="false"/>
          <w:sz w:val="20"/>
        </w:rPr>
        <w:t>million (the “PIPE Investment”), including $1.5</w:t>
      </w:r>
      <w:r>
        <w:rPr>
          <w:rFonts w:ascii="Times New Roman" w:hAnsi="Times New Roman"/>
          <w:sz w:val="20"/>
        </w:rPr>
        <w:t xml:space="preserve"> </w:t>
      </w:r>
      <w:r>
        <w:rPr>
          <w:rFonts w:ascii="Times New Roman" w:hAnsi="Times New Roman"/>
          <w:b w:val="false"/>
          <w:sz w:val="20"/>
        </w:rPr>
        <w:t>million subscribed by entities related to the Sponsor. The PIPE Investment was consummated concurrently with the Closing.</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In connection with the consummation of the Business Combination, the following occurred:</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sz w:val="24"/>
        </w:rPr>
      </w:pPr>
      <w:r>
        <w:rPr>
          <w:rFonts w:ascii="Times New Roman" w:hAnsi="Times New Roman"/>
          <w:b w:val="false"/>
          <w:sz w:val="20"/>
        </w:rPr>
        <w:t xml:space="preserve">Pursuant to the Sponsor Share Surrender and Share Restriction Agreement executed concurrently with the Business Combination Agreement among the Sponsor, FTIV, PWP OpCo and certain other parties (the </w:t>
      </w:r>
      <w:r>
        <w:rPr>
          <w:rFonts w:ascii="Times New Roman" w:hAnsi="Times New Roman"/>
          <w:sz w:val="24"/>
        </w:rPr>
        <w:t>“</w:t>
      </w:r>
      <w:r>
        <w:rPr>
          <w:rFonts w:ascii="Times New Roman" w:hAnsi="Times New Roman"/>
          <w:b w:val="false"/>
          <w:sz w:val="20"/>
        </w:rPr>
        <w:t>Surrender Agreement</w:t>
      </w:r>
      <w:r>
        <w:rPr>
          <w:rFonts w:ascii="Times New Roman" w:hAnsi="Times New Roman"/>
          <w:sz w:val="24"/>
        </w:rPr>
        <w:t>”</w:t>
      </w:r>
      <w:r>
        <w:rPr>
          <w:rFonts w:ascii="Times New Roman" w:hAnsi="Times New Roman"/>
          <w:b w:val="false"/>
          <w:sz w:val="20"/>
        </w:rPr>
        <w:t>), which was amended on May 4, 2021, Sponsor surrendered and forfeited to FTIV 1,023,333</w:t>
      </w:r>
      <w:r>
        <w:rPr>
          <w:rFonts w:ascii="Times New Roman" w:hAnsi="Times New Roman"/>
          <w:sz w:val="24"/>
        </w:rPr>
        <w:t xml:space="preserve"> </w:t>
      </w:r>
      <w:r>
        <w:rPr>
          <w:rFonts w:ascii="Times New Roman" w:hAnsi="Times New Roman"/>
          <w:b w:val="false"/>
          <w:sz w:val="20"/>
        </w:rPr>
        <w:t>shares of Class B common stock, par value $0.0001</w:t>
      </w:r>
      <w:r>
        <w:rPr>
          <w:rFonts w:ascii="Times New Roman" w:hAnsi="Times New Roman"/>
          <w:sz w:val="24"/>
        </w:rPr>
        <w:t xml:space="preserve"> </w:t>
      </w:r>
      <w:r>
        <w:rPr>
          <w:rFonts w:ascii="Times New Roman" w:hAnsi="Times New Roman"/>
          <w:b w:val="false"/>
          <w:sz w:val="20"/>
        </w:rPr>
        <w:t>per share, of FTIV;</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pStyle w:val="TextBody"/>
        <w:spacing w:lineRule="auto" w:line="312" w:before="120" w:after="0"/>
        <w:ind w:left="489" w:right="0" w:hanging="0"/>
        <w:rPr/>
      </w:pPr>
      <w:r>
        <w:rPr/>
        <w:t></w:t>
      </w:r>
    </w:p>
    <w:p>
      <w:pPr>
        <w:pStyle w:val="TextBody"/>
        <w:spacing w:lineRule="auto" w:line="312" w:before="120" w:after="283"/>
        <w:rPr>
          <w:rFonts w:ascii="Times New Roman" w:hAnsi="Times New Roman"/>
          <w:sz w:val="24"/>
        </w:rPr>
      </w:pPr>
      <w:r>
        <w:rPr>
          <w:rFonts w:ascii="Times New Roman" w:hAnsi="Times New Roman"/>
          <w:b w:val="false"/>
          <w:sz w:val="20"/>
        </w:rPr>
        <w:t>FTIV acquired newly-issued common units of PWP OpCo (“PWP OpCo Units</w:t>
      </w:r>
      <w:r>
        <w:rPr>
          <w:rFonts w:ascii="Times New Roman" w:hAnsi="Times New Roman"/>
          <w:sz w:val="24"/>
        </w:rPr>
        <w:t>”</w:t>
      </w:r>
      <w:r>
        <w:rPr>
          <w:rFonts w:ascii="Times New Roman" w:hAnsi="Times New Roman"/>
          <w:b w:val="false"/>
          <w:sz w:val="20"/>
        </w:rPr>
        <w:t>) in exchange for $355.0</w:t>
      </w:r>
      <w:r>
        <w:rPr>
          <w:rFonts w:ascii="Times New Roman" w:hAnsi="Times New Roman"/>
          <w:sz w:val="24"/>
        </w:rPr>
        <w:t xml:space="preserve"> </w:t>
      </w:r>
      <w:r>
        <w:rPr>
          <w:rFonts w:ascii="Times New Roman" w:hAnsi="Times New Roman"/>
          <w:b w:val="false"/>
          <w:sz w:val="20"/>
        </w:rPr>
        <w:t>million</w:t>
      </w:r>
      <w:r>
        <w:rPr>
          <w:rFonts w:ascii="Times New Roman" w:hAnsi="Times New Roman"/>
          <w:sz w:val="24"/>
        </w:rPr>
        <w:t xml:space="preserve"> </w:t>
      </w:r>
      <w:r>
        <w:rPr>
          <w:rFonts w:ascii="Times New Roman" w:hAnsi="Times New Roman"/>
          <w:b w:val="false"/>
          <w:sz w:val="20"/>
        </w:rPr>
        <w:t>in cash and 42,956,667</w:t>
      </w:r>
      <w:r>
        <w:rPr>
          <w:rFonts w:ascii="Times New Roman" w:hAnsi="Times New Roman"/>
          <w:sz w:val="24"/>
        </w:rPr>
        <w:t xml:space="preserve"> </w:t>
      </w:r>
      <w:r>
        <w:rPr>
          <w:rFonts w:ascii="Times New Roman" w:hAnsi="Times New Roman"/>
          <w:b w:val="false"/>
          <w:sz w:val="20"/>
        </w:rPr>
        <w:t>shares of Class A common stock. The cash contributed equated to the proceeds from the PIPE Investment and the outstanding cash balances and marketable securities held in a trust account of FTIV as of Closing;</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Professional Partners contributed the equity interests of PWP GP, the general partner of PWP OpCo, to FTIV;</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sz w:val="24"/>
        </w:rPr>
      </w:pPr>
      <w:r>
        <w:rPr>
          <w:rFonts w:ascii="Times New Roman" w:hAnsi="Times New Roman"/>
          <w:b w:val="false"/>
          <w:sz w:val="20"/>
        </w:rPr>
        <w:t>PWP OpCo repaid all of its indebtedness including $150.0</w:t>
      </w:r>
      <w:r>
        <w:rPr>
          <w:rFonts w:ascii="Times New Roman" w:hAnsi="Times New Roman"/>
          <w:sz w:val="24"/>
        </w:rPr>
        <w:t xml:space="preserve"> </w:t>
      </w:r>
      <w:r>
        <w:rPr>
          <w:rFonts w:ascii="Times New Roman" w:hAnsi="Times New Roman"/>
          <w:b w:val="false"/>
          <w:sz w:val="20"/>
        </w:rPr>
        <w:t>million</w:t>
      </w:r>
      <w:r>
        <w:rPr>
          <w:rFonts w:ascii="Times New Roman" w:hAnsi="Times New Roman"/>
          <w:sz w:val="24"/>
        </w:rPr>
        <w:t xml:space="preserve"> </w:t>
      </w:r>
      <w:r>
        <w:rPr>
          <w:rFonts w:ascii="Times New Roman" w:hAnsi="Times New Roman"/>
          <w:b w:val="false"/>
          <w:sz w:val="20"/>
        </w:rPr>
        <w:t>of Convertible Notes and $27.7</w:t>
      </w:r>
      <w:r>
        <w:rPr>
          <w:rFonts w:ascii="Times New Roman" w:hAnsi="Times New Roman"/>
          <w:sz w:val="24"/>
        </w:rPr>
        <w:t xml:space="preserve"> </w:t>
      </w:r>
      <w:r>
        <w:rPr>
          <w:rFonts w:ascii="Times New Roman" w:hAnsi="Times New Roman"/>
          <w:b w:val="false"/>
          <w:sz w:val="20"/>
        </w:rPr>
        <w:t>million</w:t>
      </w:r>
      <w:r>
        <w:rPr>
          <w:rFonts w:ascii="Times New Roman" w:hAnsi="Times New Roman"/>
          <w:sz w:val="24"/>
        </w:rPr>
        <w:t xml:space="preserve"> </w:t>
      </w:r>
      <w:r>
        <w:rPr>
          <w:rFonts w:ascii="Times New Roman" w:hAnsi="Times New Roman"/>
          <w:b w:val="false"/>
          <w:sz w:val="20"/>
        </w:rPr>
        <w:t>of the Revolving Credit Facility, both as defined in Note 10 – Debt, as well as accrued interest and applicable premium, resulting in a Loss on debt extinguishment of $39.4</w:t>
      </w:r>
      <w:r>
        <w:rPr>
          <w:rFonts w:ascii="Times New Roman" w:hAnsi="Times New Roman"/>
          <w:sz w:val="24"/>
        </w:rPr>
        <w:t xml:space="preserve"> </w:t>
      </w:r>
      <w:r>
        <w:rPr>
          <w:rFonts w:ascii="Times New Roman" w:hAnsi="Times New Roman"/>
          <w:b w:val="false"/>
          <w:sz w:val="20"/>
        </w:rPr>
        <w:t>million;</w:t>
      </w:r>
    </w:p>
    <w:p>
      <w:pPr>
        <w:pStyle w:val="TextBody"/>
        <w:spacing w:lineRule="auto" w:line="312" w:before="120" w:after="0"/>
        <w:ind w:left="489" w:right="0" w:hanging="0"/>
        <w:rPr/>
      </w:pPr>
      <w:r>
        <w:rPr/>
        <w:t></w:t>
      </w:r>
    </w:p>
    <w:p>
      <w:pPr>
        <w:pStyle w:val="TextBody"/>
        <w:spacing w:lineRule="auto" w:line="312" w:before="120" w:after="0"/>
        <w:rPr>
          <w:rFonts w:ascii="Times New Roman" w:hAnsi="Times New Roman"/>
          <w:sz w:val="24"/>
        </w:rPr>
      </w:pPr>
      <w:r>
        <w:rPr>
          <w:rFonts w:ascii="Times New Roman" w:hAnsi="Times New Roman"/>
          <w:b w:val="false"/>
          <w:sz w:val="20"/>
        </w:rPr>
        <w:t>PWP OpCo first redeemed PWP OpCo Units held by certain electing ILPs in the amount of $80.5</w:t>
      </w:r>
      <w:r>
        <w:rPr>
          <w:rFonts w:ascii="Times New Roman" w:hAnsi="Times New Roman"/>
          <w:sz w:val="24"/>
        </w:rPr>
        <w:t xml:space="preserve"> </w:t>
      </w:r>
      <w:r>
        <w:rPr>
          <w:rFonts w:ascii="Times New Roman" w:hAnsi="Times New Roman"/>
          <w:b w:val="false"/>
          <w:sz w:val="20"/>
        </w:rPr>
        <w:t>million, and second, redeemed PWP OpCo Units held by certain electing former working partners in the amount of $28.6</w:t>
      </w:r>
      <w:r>
        <w:rPr>
          <w:rFonts w:ascii="Times New Roman" w:hAnsi="Times New Roman"/>
          <w:sz w:val="24"/>
        </w:rPr>
        <w:t xml:space="preserve"> </w:t>
      </w:r>
      <w:r>
        <w:rPr>
          <w:rFonts w:ascii="Times New Roman" w:hAnsi="Times New Roman"/>
          <w:b w:val="false"/>
          <w:sz w:val="20"/>
        </w:rPr>
        <w:t xml:space="preserve">million; and </w:t>
      </w:r>
    </w:p>
    <w:p>
      <w:pPr>
        <w:pStyle w:val="TextBody"/>
        <w:spacing w:lineRule="auto" w:line="312" w:before="120" w:after="0"/>
        <w:ind w:left="489" w:right="0" w:hanging="0"/>
        <w:rPr/>
      </w:pPr>
      <w:r>
        <w:rPr/>
        <w:t></w:t>
      </w:r>
    </w:p>
    <w:p>
      <w:pPr>
        <w:pStyle w:val="TextBody"/>
        <w:spacing w:lineRule="auto" w:line="312" w:before="120" w:after="283"/>
        <w:rPr>
          <w:rFonts w:ascii="Times New Roman" w:hAnsi="Times New Roman"/>
          <w:sz w:val="24"/>
        </w:rPr>
      </w:pPr>
      <w:r>
        <w:rPr>
          <w:rFonts w:ascii="Times New Roman" w:hAnsi="Times New Roman"/>
          <w:b w:val="false"/>
          <w:sz w:val="20"/>
        </w:rPr>
        <w:t>FTIV was renamed “Perella Weinberg Partners.</w:t>
      </w:r>
      <w:r>
        <w:rPr>
          <w:rFonts w:ascii="Times New Roman" w:hAnsi="Times New Roman"/>
          <w:sz w:val="24"/>
        </w:rPr>
        <w:t>”</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 the date of the Closing, the Company recorded $22.2</w:t>
      </w:r>
      <w:r>
        <w:rPr>
          <w:rFonts w:ascii="Times New Roman" w:hAnsi="Times New Roman"/>
          <w:sz w:val="20"/>
        </w:rPr>
        <w:t xml:space="preserve"> </w:t>
      </w:r>
      <w:r>
        <w:rPr>
          <w:rFonts w:ascii="Times New Roman" w:hAnsi="Times New Roman"/>
          <w:b w:val="false"/>
          <w:sz w:val="20"/>
        </w:rPr>
        <w:t>million in public warrant liabilities and $0.7</w:t>
      </w:r>
      <w:r>
        <w:rPr>
          <w:rFonts w:ascii="Times New Roman" w:hAnsi="Times New Roman"/>
          <w:sz w:val="20"/>
        </w:rPr>
        <w:t xml:space="preserve"> </w:t>
      </w:r>
      <w:r>
        <w:rPr>
          <w:rFonts w:ascii="Times New Roman" w:hAnsi="Times New Roman"/>
          <w:b w:val="false"/>
          <w:sz w:val="20"/>
        </w:rPr>
        <w:t>million in private warrant liabilities. See Note 12 – Warrants for further information. In conjunction with the Business Combination, the Company incurred approximately $2.9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in transaction expenses, which were recorded in Professional fees on the Condensed Consolidated Statements of Operations, as</w:t>
      </w:r>
      <w:r>
        <w:rPr>
          <w:rFonts w:ascii="Times New Roman" w:hAnsi="Times New Roman"/>
          <w:sz w:val="20"/>
        </w:rPr>
        <w:t xml:space="preserve"> </w:t>
      </w:r>
      <w:r>
        <w:rPr>
          <w:rFonts w:ascii="Times New Roman" w:hAnsi="Times New Roman"/>
          <w:b w:val="false"/>
          <w:sz w:val="20"/>
        </w:rPr>
        <w:t>well as $27.6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offering costs which were offset against the proceeds of the Business Combination.</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At the time of the Closing and as of June 30, 2021, there were 42,956,667</w:t>
      </w:r>
      <w:r>
        <w:rPr>
          <w:rFonts w:ascii="Times New Roman" w:hAnsi="Times New Roman"/>
          <w:sz w:val="20"/>
        </w:rPr>
        <w:t xml:space="preserve"> </w:t>
      </w:r>
      <w:r>
        <w:rPr>
          <w:rFonts w:ascii="Times New Roman" w:hAnsi="Times New Roman"/>
          <w:b w:val="false"/>
          <w:sz w:val="20"/>
        </w:rPr>
        <w:t>shares of Class A common stock and 50,154,199</w:t>
      </w:r>
      <w:r>
        <w:rPr>
          <w:rFonts w:ascii="Times New Roman" w:hAnsi="Times New Roman"/>
          <w:sz w:val="20"/>
        </w:rPr>
        <w:t xml:space="preserve"> </w:t>
      </w:r>
      <w:r>
        <w:rPr>
          <w:rFonts w:ascii="Times New Roman" w:hAnsi="Times New Roman"/>
          <w:b w:val="false"/>
          <w:sz w:val="20"/>
        </w:rPr>
        <w:t>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Concurrent with the Closing, the Company entered into certain other related agreements which are discussed further in Note 11 – Stockholders’ Equity and Note 17 – Related Party Transactions.</w:t>
      </w:r>
    </w:p>
    <w:p>
      <w:pPr>
        <w:pStyle w:val="TextBody"/>
        <w:spacing w:lineRule="auto" w:line="312" w:before="240" w:after="0"/>
        <w:ind w:left="0" w:right="0" w:hanging="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w:t>
      </w:r>
      <w:r>
        <w:rPr>
          <w:rFonts w:ascii="Times New Roman" w:hAnsi="Times New Roman"/>
          <w:b/>
          <w:sz w:val="20"/>
        </w:rPr>
        <w:t xml:space="preserve">4 </w:t>
      </w:r>
      <w:r>
        <w:rPr>
          <w:rFonts w:ascii="Times New Roman" w:hAnsi="Times New Roman"/>
          <w:sz w:val="20"/>
        </w:rPr>
        <w:t xml:space="preserve">– </w:t>
      </w:r>
      <w:r>
        <w:rPr>
          <w:rFonts w:ascii="Times New Roman" w:hAnsi="Times New Roman"/>
          <w:b/>
          <w:sz w:val="20"/>
        </w:rPr>
        <w:t>Revenue and Receivables from Contracts with Customers</w:t>
      </w:r>
    </w:p>
    <w:p>
      <w:pPr>
        <w:pStyle w:val="TextBody"/>
        <w:spacing w:lineRule="auto" w:line="312" w:before="240" w:after="240"/>
        <w:ind w:left="0" w:right="0" w:firstLine="446"/>
        <w:jc w:val="both"/>
        <w:rPr>
          <w:rFonts w:ascii="Times New Roman" w:hAnsi="Times New Roman"/>
          <w:sz w:val="20"/>
        </w:rPr>
      </w:pPr>
      <w:r>
        <w:rPr>
          <w:rFonts w:ascii="Times New Roman" w:hAnsi="Times New Roman"/>
          <w:b w:val="false"/>
          <w:sz w:val="20"/>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r>
        <w:rPr>
          <w:rFonts w:ascii="Times New Roman" w:hAnsi="Times New Roman"/>
          <w:sz w:val="20"/>
        </w:rPr>
        <w:t xml:space="preserve"> </w:t>
      </w:r>
      <w:r>
        <w:rPr>
          <w:rFonts w:ascii="Times New Roman" w:hAnsi="Times New Roman"/>
          <w:b w:val="false"/>
          <w:sz w:val="20"/>
        </w:rPr>
        <w:t>The following table disaggregates the Company’s revenue between over time and point in time recognition:</w:t>
      </w:r>
    </w:p>
    <w:tbl>
      <w:tblPr>
        <w:tblW w:w="6812" w:type="dxa"/>
        <w:jc w:val="left"/>
        <w:tblInd w:w="0" w:type="dxa"/>
        <w:tblCellMar>
          <w:top w:w="28" w:type="dxa"/>
          <w:left w:w="28" w:type="dxa"/>
          <w:bottom w:w="28" w:type="dxa"/>
          <w:right w:w="28" w:type="dxa"/>
        </w:tblCellMar>
      </w:tblPr>
      <w:tblGrid>
        <w:gridCol w:w="1321"/>
        <w:gridCol w:w="243"/>
        <w:gridCol w:w="901"/>
        <w:gridCol w:w="168"/>
        <w:gridCol w:w="168"/>
        <w:gridCol w:w="243"/>
        <w:gridCol w:w="901"/>
        <w:gridCol w:w="146"/>
        <w:gridCol w:w="146"/>
        <w:gridCol w:w="221"/>
        <w:gridCol w:w="818"/>
        <w:gridCol w:w="153"/>
        <w:gridCol w:w="153"/>
        <w:gridCol w:w="221"/>
        <w:gridCol w:w="818"/>
        <w:gridCol w:w="191"/>
      </w:tblGrid>
      <w:tr>
        <w:trPr/>
        <w:tc>
          <w:tcPr>
            <w:tcW w:w="132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321" w:type="dxa"/>
            <w:tcBorders/>
            <w:shd w:fill="auto" w:val="clear"/>
            <w:vAlign w:val="center"/>
          </w:tcPr>
          <w:p>
            <w:pPr>
              <w:pStyle w:val="TableContents"/>
              <w:spacing w:lineRule="auto" w:line="312" w:before="0" w:after="0"/>
              <w:ind w:left="0" w:right="0" w:hanging="0"/>
              <w:jc w:val="right"/>
              <w:rPr/>
            </w:pPr>
            <w:r>
              <w:rPr/>
              <w:t> </w:t>
            </w:r>
          </w:p>
        </w:tc>
        <w:tc>
          <w:tcPr>
            <w:tcW w:w="262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8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321" w:type="dxa"/>
            <w:tcBorders/>
            <w:shd w:fill="auto" w:val="clear"/>
            <w:vAlign w:val="center"/>
          </w:tcPr>
          <w:p>
            <w:pPr>
              <w:pStyle w:val="TableContents"/>
              <w:spacing w:lineRule="auto" w:line="312" w:before="0" w:after="0"/>
              <w:ind w:left="0" w:right="0" w:hanging="0"/>
              <w:jc w:val="right"/>
              <w:rPr/>
            </w:pPr>
            <w:r>
              <w:rPr/>
              <w:t> </w:t>
            </w:r>
          </w:p>
        </w:tc>
        <w:tc>
          <w:tcPr>
            <w:tcW w:w="114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14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3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3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3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Over time</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236,382</w:t>
            </w:r>
          </w:p>
        </w:tc>
        <w:tc>
          <w:tcPr>
            <w:tcW w:w="168" w:type="dxa"/>
            <w:tcBorders/>
            <w:shd w:fill="auto" w:val="clear"/>
            <w:vAlign w:val="center"/>
          </w:tcPr>
          <w:p>
            <w:pPr>
              <w:pStyle w:val="TableContents"/>
              <w:spacing w:lineRule="auto" w:line="312" w:before="0" w:after="0"/>
              <w:ind w:left="0" w:right="0" w:hanging="0"/>
              <w:jc w:val="left"/>
              <w:rPr/>
            </w:pPr>
            <w:r>
              <w:rPr/>
              <w:t> </w:t>
            </w:r>
          </w:p>
        </w:tc>
        <w:tc>
          <w:tcPr>
            <w:tcW w:w="168" w:type="dxa"/>
            <w:tcBorders/>
            <w:shd w:fill="auto" w:val="clear"/>
            <w:vAlign w:val="center"/>
          </w:tcPr>
          <w:p>
            <w:pPr>
              <w:pStyle w:val="TableContents"/>
              <w:spacing w:lineRule="auto" w:line="312" w:before="0" w:after="0"/>
              <w:ind w:left="0" w:right="0" w:hanging="0"/>
              <w:jc w:val="right"/>
              <w:rPr/>
            </w:pPr>
            <w:r>
              <w:rPr/>
              <w:t> </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108,774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394,305</w:t>
            </w:r>
          </w:p>
        </w:tc>
        <w:tc>
          <w:tcPr>
            <w:tcW w:w="153" w:type="dxa"/>
            <w:tcBorders/>
            <w:shd w:fill="auto" w:val="clear"/>
            <w:vAlign w:val="center"/>
          </w:tcPr>
          <w:p>
            <w:pPr>
              <w:pStyle w:val="TableContents"/>
              <w:spacing w:lineRule="auto" w:line="312" w:before="0" w:after="0"/>
              <w:ind w:left="0" w:right="0" w:hanging="0"/>
              <w:jc w:val="left"/>
              <w:rPr/>
            </w:pPr>
            <w:r>
              <w:rPr/>
              <w:t> </w:t>
            </w:r>
          </w:p>
        </w:tc>
        <w:tc>
          <w:tcPr>
            <w:tcW w:w="153" w:type="dxa"/>
            <w:tcBorders/>
            <w:shd w:fill="auto" w:val="clear"/>
            <w:vAlign w:val="center"/>
          </w:tcPr>
          <w:p>
            <w:pPr>
              <w:pStyle w:val="TableContents"/>
              <w:spacing w:lineRule="auto" w:line="312" w:before="0" w:after="0"/>
              <w:ind w:left="0" w:right="0" w:hanging="0"/>
              <w:jc w:val="right"/>
              <w:rPr/>
            </w:pPr>
            <w:r>
              <w:rPr/>
              <w:t> </w:t>
            </w:r>
          </w:p>
        </w:tc>
        <w:tc>
          <w:tcPr>
            <w:tcW w:w="2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200,814</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3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Point in time</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19,138</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5,827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31,017</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6,183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3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revenues</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255,520</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114,601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425,322</w:t>
            </w:r>
          </w:p>
        </w:tc>
        <w:tc>
          <w:tcPr>
            <w:tcW w:w="15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206,997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Condensed Consolidated Statements of Operations. Reimbursable expenses billed to clients was $1.2</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$2.8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2021, respectively, and $1.4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$2.9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2020, respectively.</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Transaction-Related Advisory Services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Fairness Opinion Services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Research and Trading Services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Underwriting Services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Contract Costs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Remaining Performance Obligations and Revenue Recognized from Past Performance</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As of June 30, 2021, the aggregate amount of the transaction price allocated to performance obligations yet to be satisfied is $3.9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the Company generally expects to recognize this revenue within the next twelve months. Such amounts primarily relate to the Company’s performance obligations of providing transaction-related advisory services and fairness opinion services.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recognized revenue of $139.7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$255.5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2021, respectively, and $42.9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$108.1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2020, respectively, related to performance obligations that were satisfied or partially satisfied in prior periods, mainly due to constraints on variable consideration in prior periods being resolved for transaction-related advisory services.</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Contract Balances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timing of revenue recognition may differ from the timing of payment. The Company records a receivable when revenue is recognized prior to payment and the Company has an unconditional right to payment.</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June 30, 2021 and December 31, 2020, the Company recorded $4.0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$10.6</w:t>
      </w:r>
      <w:r>
        <w:rPr>
          <w:rFonts w:ascii="Times New Roman" w:hAnsi="Times New Roman"/>
          <w:sz w:val="20"/>
        </w:rPr>
        <w:t xml:space="preserve"> </w:t>
      </w:r>
      <w:r>
        <w:rPr>
          <w:rFonts w:ascii="Times New Roman" w:hAnsi="Times New Roman"/>
          <w:b w:val="false"/>
          <w:sz w:val="20"/>
        </w:rPr>
        <w:t>million, respectively, for these contract liabilities which are presented as Deferred revenue on the Condensed Consolidated Statements of Financial Condition. For the six months ended June 30, 2021 and 2020, $9.6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$1.5</w:t>
      </w:r>
      <w:r>
        <w:rPr>
          <w:rFonts w:ascii="Times New Roman" w:hAnsi="Times New Roman"/>
          <w:sz w:val="20"/>
        </w:rPr>
        <w:t xml:space="preserve"> </w:t>
      </w:r>
      <w:r>
        <w:rPr>
          <w:rFonts w:ascii="Times New Roman" w:hAnsi="Times New Roman"/>
          <w:b w:val="false"/>
          <w:sz w:val="20"/>
        </w:rPr>
        <w:t>million, respectively, of the respective beginning deferred revenue balance was recognized as revenue and was primarily related to transaction-related advisory services performance obligations that are recognized over time.</w:t>
      </w:r>
      <w:r>
        <w:rPr>
          <w:rFonts w:ascii="Times New Roman" w:hAnsi="Times New Roman"/>
          <w:sz w:val="20"/>
        </w:rPr>
        <w:t xml:space="preserve">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Allowance for Credit Losses</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The allowance for credit losses activity for the three and six months ended June 30, 2021 and 2020 is as follows:</w:t>
      </w:r>
    </w:p>
    <w:tbl>
      <w:tblPr>
        <w:tblW w:w="9777" w:type="dxa"/>
        <w:jc w:val="left"/>
        <w:tblInd w:w="0" w:type="dxa"/>
        <w:tblCellMar>
          <w:top w:w="28" w:type="dxa"/>
          <w:left w:w="28" w:type="dxa"/>
          <w:bottom w:w="28" w:type="dxa"/>
          <w:right w:w="28" w:type="dxa"/>
        </w:tblCellMar>
      </w:tblPr>
      <w:tblGrid>
        <w:gridCol w:w="4246"/>
        <w:gridCol w:w="295"/>
        <w:gridCol w:w="799"/>
        <w:gridCol w:w="232"/>
        <w:gridCol w:w="204"/>
        <w:gridCol w:w="295"/>
        <w:gridCol w:w="799"/>
        <w:gridCol w:w="166"/>
        <w:gridCol w:w="146"/>
        <w:gridCol w:w="268"/>
        <w:gridCol w:w="726"/>
        <w:gridCol w:w="211"/>
        <w:gridCol w:w="185"/>
        <w:gridCol w:w="268"/>
        <w:gridCol w:w="726"/>
        <w:gridCol w:w="211"/>
      </w:tblGrid>
      <w:tr>
        <w:trPr/>
        <w:tc>
          <w:tcPr>
            <w:tcW w:w="42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46" w:type="dxa"/>
            <w:tcBorders/>
            <w:shd w:fill="auto" w:val="clear"/>
            <w:vAlign w:val="center"/>
          </w:tcPr>
          <w:p>
            <w:pPr>
              <w:pStyle w:val="TableContents"/>
              <w:spacing w:lineRule="auto" w:line="312" w:before="0" w:after="0"/>
              <w:ind w:left="0" w:right="0" w:hanging="0"/>
              <w:jc w:val="right"/>
              <w:rPr/>
            </w:pPr>
            <w:r>
              <w:rPr/>
              <w:t> </w:t>
            </w:r>
          </w:p>
        </w:tc>
        <w:tc>
          <w:tcPr>
            <w:tcW w:w="262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8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46" w:type="dxa"/>
            <w:tcBorders/>
            <w:shd w:fill="auto" w:val="clear"/>
            <w:vAlign w:val="center"/>
          </w:tcPr>
          <w:p>
            <w:pPr>
              <w:pStyle w:val="TableContents"/>
              <w:spacing w:lineRule="auto" w:line="312" w:before="0" w:after="0"/>
              <w:ind w:left="0" w:right="0" w:hanging="0"/>
              <w:jc w:val="right"/>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2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Beginning balance (1)</w:t>
            </w:r>
          </w:p>
        </w:tc>
        <w:tc>
          <w:tcPr>
            <w:tcW w:w="29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1,196</w:t>
            </w:r>
          </w:p>
        </w:tc>
        <w:tc>
          <w:tcPr>
            <w:tcW w:w="232" w:type="dxa"/>
            <w:tcBorders/>
            <w:shd w:fill="auto" w:val="clear"/>
            <w:vAlign w:val="center"/>
          </w:tcPr>
          <w:p>
            <w:pPr>
              <w:pStyle w:val="TableContents"/>
              <w:spacing w:lineRule="auto" w:line="312" w:before="0" w:after="0"/>
              <w:ind w:left="0" w:right="0" w:hanging="0"/>
              <w:jc w:val="left"/>
              <w:rPr/>
            </w:pPr>
            <w:r>
              <w:rPr/>
              <w:t> </w:t>
            </w:r>
          </w:p>
        </w:tc>
        <w:tc>
          <w:tcPr>
            <w:tcW w:w="204" w:type="dxa"/>
            <w:tcBorders/>
            <w:shd w:fill="auto" w:val="clear"/>
            <w:vAlign w:val="center"/>
          </w:tcPr>
          <w:p>
            <w:pPr>
              <w:pStyle w:val="TableContents"/>
              <w:spacing w:lineRule="auto" w:line="312" w:before="0" w:after="0"/>
              <w:ind w:left="0" w:right="0" w:hanging="0"/>
              <w:jc w:val="right"/>
              <w:rPr/>
            </w:pPr>
            <w:r>
              <w:rPr/>
              <w:t> </w:t>
            </w:r>
          </w:p>
        </w:tc>
        <w:tc>
          <w:tcPr>
            <w:tcW w:w="29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1,045</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85"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1,923</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2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Provision for credit losses</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w:t>
            </w:r>
          </w:p>
        </w:tc>
        <w:tc>
          <w:tcPr>
            <w:tcW w:w="23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204" w:type="dxa"/>
            <w:tcBorders/>
            <w:shd w:fill="auto" w:val="clear"/>
            <w:vAlign w:val="center"/>
          </w:tcPr>
          <w:p>
            <w:pPr>
              <w:pStyle w:val="TableContents"/>
              <w:spacing w:lineRule="auto" w:line="312" w:before="0" w:after="0"/>
              <w:ind w:left="0" w:right="0" w:hanging="0"/>
              <w:jc w:val="right"/>
              <w:rPr/>
            </w:pPr>
            <w:r>
              <w:rPr/>
              <w:t> </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pPr>
            <w:r>
              <w:rPr/>
              <w:t> </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(626</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pPr>
            <w:r>
              <w:rPr/>
              <w:t> </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(246</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Write-offs</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w:t>
            </w:r>
          </w:p>
        </w:tc>
        <w:tc>
          <w:tcPr>
            <w:tcW w:w="23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204" w:type="dxa"/>
            <w:tcBorders/>
            <w:shd w:fill="auto" w:val="clear"/>
            <w:vAlign w:val="center"/>
          </w:tcPr>
          <w:p>
            <w:pPr>
              <w:pStyle w:val="TableContents"/>
              <w:spacing w:lineRule="auto" w:line="312" w:before="0" w:after="0"/>
              <w:ind w:left="0" w:right="0" w:hanging="0"/>
              <w:jc w:val="right"/>
              <w:rPr/>
            </w:pPr>
            <w:r>
              <w:rPr/>
              <w:t> </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pPr>
            <w:r>
              <w:rPr/>
              <w:t> </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pPr>
            <w:r>
              <w:rPr/>
              <w:t> </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(558</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Recoveries</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232" w:type="dxa"/>
            <w:tcBorders/>
            <w:shd w:fill="auto" w:val="clear"/>
            <w:vAlign w:val="center"/>
          </w:tcPr>
          <w:p>
            <w:pPr>
              <w:pStyle w:val="TableContents"/>
              <w:spacing w:lineRule="auto" w:line="312" w:before="0" w:after="0"/>
              <w:ind w:left="0" w:right="0" w:hanging="0"/>
              <w:jc w:val="left"/>
              <w:rPr/>
            </w:pPr>
            <w:r>
              <w:rPr/>
              <w:t> </w:t>
            </w:r>
          </w:p>
        </w:tc>
        <w:tc>
          <w:tcPr>
            <w:tcW w:w="204" w:type="dxa"/>
            <w:tcBorders/>
            <w:shd w:fill="auto" w:val="clear"/>
            <w:vAlign w:val="center"/>
          </w:tcPr>
          <w:p>
            <w:pPr>
              <w:pStyle w:val="TableContents"/>
              <w:spacing w:lineRule="auto" w:line="312" w:before="0" w:after="0"/>
              <w:ind w:left="0" w:right="0" w:hanging="0"/>
              <w:jc w:val="right"/>
              <w:rPr/>
            </w:pPr>
            <w:r>
              <w:rPr/>
              <w:t> </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pPr>
            <w:r>
              <w:rPr/>
              <w:t> </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710</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85" w:type="dxa"/>
            <w:tcBorders/>
            <w:shd w:fill="auto" w:val="clear"/>
            <w:vAlign w:val="center"/>
          </w:tcPr>
          <w:p>
            <w:pPr>
              <w:pStyle w:val="TableContents"/>
              <w:spacing w:lineRule="auto" w:line="312" w:before="0" w:after="0"/>
              <w:ind w:left="0" w:right="0" w:hanging="0"/>
              <w:jc w:val="right"/>
              <w:rPr/>
            </w:pPr>
            <w:r>
              <w:rPr/>
              <w:t> </w:t>
            </w:r>
          </w:p>
        </w:tc>
        <w:tc>
          <w:tcPr>
            <w:tcW w:w="268" w:type="dxa"/>
            <w:tcBorders/>
            <w:shd w:fill="auto" w:val="clear"/>
            <w:vAlign w:val="center"/>
          </w:tcPr>
          <w:p>
            <w:pPr>
              <w:pStyle w:val="TableContents"/>
              <w:spacing w:lineRule="auto" w:line="312" w:before="0" w:after="0"/>
              <w:ind w:left="0" w:right="0" w:hanging="0"/>
              <w:jc w:val="left"/>
              <w:rPr/>
            </w:pPr>
            <w:r>
              <w:rPr/>
              <w:t> </w:t>
            </w:r>
          </w:p>
        </w:tc>
        <w:tc>
          <w:tcPr>
            <w:tcW w:w="72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2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Foreign currency translation and other adjustments</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w:t>
            </w:r>
          </w:p>
        </w:tc>
        <w:tc>
          <w:tcPr>
            <w:tcW w:w="2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Ending balance</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1,104</w:t>
            </w:r>
          </w:p>
        </w:tc>
        <w:tc>
          <w:tcPr>
            <w:tcW w:w="23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1,104</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283"/>
        <w:rPr>
          <w:rFonts w:ascii="Arial" w:hAnsi="Arial"/>
          <w:sz w:val="22"/>
        </w:rPr>
      </w:pPr>
      <w:r>
        <w:rPr>
          <w:rFonts w:ascii="Times New Roman" w:hAnsi="Times New Roman"/>
          <w:b w:val="false"/>
          <w:sz w:val="20"/>
        </w:rPr>
        <w:t>Beginning balance for the six months ended June 30, 2020 includes the cumulative adjustment of $0.2</w:t>
      </w:r>
      <w:r>
        <w:rPr>
          <w:rFonts w:ascii="Arial" w:hAnsi="Arial"/>
          <w:sz w:val="22"/>
        </w:rPr>
        <w:t xml:space="preserve"> </w:t>
      </w:r>
      <w:r>
        <w:rPr>
          <w:rFonts w:ascii="Times New Roman" w:hAnsi="Times New Roman"/>
          <w:b w:val="false"/>
          <w:sz w:val="20"/>
        </w:rPr>
        <w:t>million, which reflects the increase in the Company’s allowance for credit losses upon adoption of ASU 2016-13 and the CECL model on January 1, 2020.</w:t>
      </w:r>
      <w:r>
        <w:rPr>
          <w:rFonts w:ascii="Arial" w:hAnsi="Arial"/>
          <w:sz w:val="22"/>
        </w:rPr>
        <w:t> </w:t>
      </w:r>
    </w:p>
    <w:p>
      <w:pPr>
        <w:pStyle w:val="TextBody"/>
        <w:spacing w:lineRule="auto" w:line="312" w:before="240" w:after="0"/>
        <w:jc w:val="left"/>
        <w:rPr>
          <w:rFonts w:ascii="Times New Roman" w:hAnsi="Times New Roman"/>
          <w:sz w:val="20"/>
        </w:rPr>
      </w:pPr>
      <w:r>
        <w:rPr>
          <w:rFonts w:ascii="Times New Roman" w:hAnsi="Times New Roman"/>
          <w:b/>
          <w:sz w:val="20"/>
        </w:rPr>
        <w:t>Note 5</w:t>
      </w:r>
      <w:r>
        <w:rPr>
          <w:rFonts w:ascii="Times New Roman" w:hAnsi="Times New Roman"/>
          <w:sz w:val="20"/>
        </w:rPr>
        <w:t xml:space="preserve"> – </w:t>
      </w:r>
      <w:r>
        <w:rPr>
          <w:rFonts w:ascii="Times New Roman" w:hAnsi="Times New Roman"/>
          <w:b/>
          <w:sz w:val="20"/>
        </w:rPr>
        <w:t>Leases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w:t>
      </w:r>
      <w:r>
        <w:rPr>
          <w:rFonts w:ascii="Times New Roman" w:hAnsi="Times New Roman"/>
          <w:sz w:val="20"/>
        </w:rPr>
        <w:t xml:space="preserve"> </w:t>
      </w:r>
      <w:r>
        <w:rPr>
          <w:rFonts w:ascii="Times New Roman" w:hAnsi="Times New Roman"/>
          <w:b w:val="false"/>
          <w:sz w:val="20"/>
        </w:rPr>
        <w:t>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 May 2021, the Company extended the term of its New York office lease by five months, which resulted in an increase to Lease liabilities and a corresponding increase to Right-of-use lease assets of $5.1</w:t>
      </w:r>
      <w:r>
        <w:rPr>
          <w:rFonts w:ascii="Times New Roman" w:hAnsi="Times New Roman"/>
          <w:sz w:val="20"/>
        </w:rPr>
        <w:t xml:space="preserve"> </w:t>
      </w:r>
      <w:r>
        <w:rPr>
          <w:rFonts w:ascii="Times New Roman" w:hAnsi="Times New Roman"/>
          <w:b w:val="false"/>
          <w:sz w:val="20"/>
        </w:rPr>
        <w:t>million.</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Other information as it relates to the Company’s operating leases is as follows:</w:t>
      </w:r>
    </w:p>
    <w:tbl>
      <w:tblPr>
        <w:tblW w:w="8189" w:type="dxa"/>
        <w:jc w:val="left"/>
        <w:tblInd w:w="0" w:type="dxa"/>
        <w:tblCellMar>
          <w:top w:w="28" w:type="dxa"/>
          <w:left w:w="28" w:type="dxa"/>
          <w:bottom w:w="28" w:type="dxa"/>
          <w:right w:w="28" w:type="dxa"/>
        </w:tblCellMar>
      </w:tblPr>
      <w:tblGrid>
        <w:gridCol w:w="4786"/>
        <w:gridCol w:w="1381"/>
        <w:gridCol w:w="146"/>
        <w:gridCol w:w="1876"/>
      </w:tblGrid>
      <w:tr>
        <w:trPr/>
        <w:tc>
          <w:tcPr>
            <w:tcW w:w="4786"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lineRule="auto" w:line="312" w:before="0" w:after="0"/>
              <w:ind w:left="0" w:right="0" w:hanging="0"/>
              <w:jc w:val="right"/>
              <w:rPr/>
            </w:pPr>
            <w:r>
              <w:rPr/>
              <w:t> </w:t>
            </w:r>
          </w:p>
        </w:tc>
        <w:tc>
          <w:tcPr>
            <w:tcW w:w="13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r>
              <w:rPr>
                <w:rFonts w:ascii="Times New Roman" w:hAnsi="Times New Roman"/>
                <w:b/>
                <w:sz w:val="20"/>
              </w:rPr>
              <w:t>June 30, 2021</w:t>
            </w:r>
            <w:r>
              <w:rPr>
                <w:rFonts w:ascii="Times New Roman" w:hAnsi="Times New Roman"/>
                <w:sz w:val="20"/>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8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r>
              <w:rPr>
                <w:rFonts w:ascii="Times New Roman" w:hAnsi="Times New Roman"/>
                <w:b/>
                <w:sz w:val="20"/>
              </w:rPr>
              <w:t>December 31, 2020</w:t>
            </w:r>
            <w:r>
              <w:rPr>
                <w:rFonts w:ascii="Times New Roman" w:hAnsi="Times New Roman"/>
                <w:sz w:val="20"/>
              </w:rPr>
              <w:t xml:space="preserve"> </w:t>
            </w:r>
          </w:p>
        </w:tc>
      </w:tr>
      <w:tr>
        <w:trPr/>
        <w:tc>
          <w:tcPr>
            <w:tcW w:w="47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Weighted-average discount rate - operating leases</w:t>
            </w:r>
          </w:p>
        </w:tc>
        <w:tc>
          <w:tcPr>
            <w:tcW w:w="138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3.36%</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87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4.07%</w:t>
            </w:r>
          </w:p>
        </w:tc>
      </w:tr>
      <w:tr>
        <w:trPr/>
        <w:tc>
          <w:tcPr>
            <w:tcW w:w="47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Weighted-average remaining lease term - operating leases</w:t>
            </w:r>
          </w:p>
        </w:tc>
        <w:tc>
          <w:tcPr>
            <w:tcW w:w="1381"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3.72</w:t>
            </w:r>
            <w:r>
              <w:rPr>
                <w:rFonts w:ascii="Times New Roman" w:hAnsi="Times New Roman"/>
                <w:sz w:val="20"/>
              </w:rPr>
              <w:t> </w:t>
            </w:r>
            <w:r>
              <w:rPr>
                <w:rFonts w:ascii="Times New Roman" w:hAnsi="Times New Roman"/>
                <w:b w:val="false"/>
                <w:sz w:val="20"/>
              </w:rPr>
              <w:t>years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876"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3.99</w:t>
            </w:r>
            <w:r>
              <w:rPr>
                <w:rFonts w:ascii="Times New Roman" w:hAnsi="Times New Roman"/>
                <w:sz w:val="20"/>
              </w:rPr>
              <w:t> </w:t>
            </w:r>
            <w:r>
              <w:rPr>
                <w:rFonts w:ascii="Times New Roman" w:hAnsi="Times New Roman"/>
                <w:b w:val="false"/>
                <w:sz w:val="20"/>
              </w:rPr>
              <w:t>years</w:t>
            </w:r>
          </w:p>
        </w:tc>
      </w:tr>
    </w:tbl>
    <w:p>
      <w:pPr>
        <w:pStyle w:val="TextBody"/>
        <w:spacing w:lineRule="auto" w:line="312" w:before="0" w:after="0"/>
        <w:ind w:left="0" w:right="0" w:firstLine="446"/>
        <w:jc w:val="both"/>
        <w:rPr/>
      </w:pPr>
      <w:r>
        <w:rPr/>
        <w:t> </w:t>
      </w:r>
    </w:p>
    <w:tbl>
      <w:tblPr>
        <w:tblW w:w="8471" w:type="dxa"/>
        <w:jc w:val="left"/>
        <w:tblInd w:w="0" w:type="dxa"/>
        <w:tblCellMar>
          <w:top w:w="28" w:type="dxa"/>
          <w:left w:w="28" w:type="dxa"/>
          <w:bottom w:w="28" w:type="dxa"/>
          <w:right w:w="28" w:type="dxa"/>
        </w:tblCellMar>
      </w:tblPr>
      <w:tblGrid>
        <w:gridCol w:w="2941"/>
        <w:gridCol w:w="295"/>
        <w:gridCol w:w="799"/>
        <w:gridCol w:w="232"/>
        <w:gridCol w:w="204"/>
        <w:gridCol w:w="295"/>
        <w:gridCol w:w="799"/>
        <w:gridCol w:w="166"/>
        <w:gridCol w:w="146"/>
        <w:gridCol w:w="241"/>
        <w:gridCol w:w="773"/>
        <w:gridCol w:w="189"/>
        <w:gridCol w:w="166"/>
        <w:gridCol w:w="241"/>
        <w:gridCol w:w="773"/>
        <w:gridCol w:w="211"/>
      </w:tblGrid>
      <w:tr>
        <w:trPr/>
        <w:tc>
          <w:tcPr>
            <w:tcW w:w="2941"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lineRule="auto" w:line="312" w:before="0" w:after="0"/>
              <w:ind w:left="0" w:right="0" w:hanging="0"/>
              <w:jc w:val="left"/>
              <w:rPr/>
            </w:pPr>
            <w:r>
              <w:rPr/>
              <w:t> </w:t>
            </w:r>
          </w:p>
        </w:tc>
        <w:tc>
          <w:tcPr>
            <w:tcW w:w="262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83"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41" w:type="dxa"/>
            <w:tcBorders/>
            <w:shd w:fill="auto" w:val="clear"/>
            <w:vAlign w:val="center"/>
          </w:tcPr>
          <w:p>
            <w:pPr>
              <w:pStyle w:val="TableContents"/>
              <w:spacing w:lineRule="auto" w:line="312" w:before="0" w:after="0"/>
              <w:ind w:left="0" w:right="0" w:hanging="0"/>
              <w:jc w:val="left"/>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2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lease cost</w:t>
            </w:r>
          </w:p>
        </w:tc>
        <w:tc>
          <w:tcPr>
            <w:tcW w:w="29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4,871</w:t>
            </w:r>
          </w:p>
        </w:tc>
        <w:tc>
          <w:tcPr>
            <w:tcW w:w="232" w:type="dxa"/>
            <w:tcBorders/>
            <w:shd w:fill="auto" w:val="clear"/>
            <w:vAlign w:val="center"/>
          </w:tcPr>
          <w:p>
            <w:pPr>
              <w:pStyle w:val="TableContents"/>
              <w:spacing w:lineRule="auto" w:line="312" w:before="0" w:after="0"/>
              <w:ind w:left="0" w:right="0" w:hanging="0"/>
              <w:jc w:val="left"/>
              <w:rPr/>
            </w:pPr>
            <w:r>
              <w:rPr/>
              <w:t> </w:t>
            </w:r>
          </w:p>
        </w:tc>
        <w:tc>
          <w:tcPr>
            <w:tcW w:w="204" w:type="dxa"/>
            <w:tcBorders/>
            <w:shd w:fill="auto" w:val="clear"/>
            <w:vAlign w:val="center"/>
          </w:tcPr>
          <w:p>
            <w:pPr>
              <w:pStyle w:val="TableContents"/>
              <w:spacing w:lineRule="auto" w:line="312" w:before="0" w:after="0"/>
              <w:ind w:left="0" w:right="0" w:hanging="0"/>
              <w:jc w:val="right"/>
              <w:rPr/>
            </w:pPr>
            <w:r>
              <w:rPr/>
              <w:t> </w:t>
            </w:r>
          </w:p>
        </w:tc>
        <w:tc>
          <w:tcPr>
            <w:tcW w:w="29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9,689</w:t>
            </w:r>
          </w:p>
        </w:tc>
        <w:tc>
          <w:tcPr>
            <w:tcW w:w="189" w:type="dxa"/>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9,654</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29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Variable lease cost</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1,067</w:t>
            </w:r>
          </w:p>
        </w:tc>
        <w:tc>
          <w:tcPr>
            <w:tcW w:w="232" w:type="dxa"/>
            <w:tcBorders/>
            <w:shd w:fill="auto" w:val="clear"/>
            <w:vAlign w:val="center"/>
          </w:tcPr>
          <w:p>
            <w:pPr>
              <w:pStyle w:val="TableContents"/>
              <w:spacing w:lineRule="auto" w:line="312" w:before="0" w:after="0"/>
              <w:ind w:left="0" w:right="0" w:hanging="0"/>
              <w:jc w:val="left"/>
              <w:rPr/>
            </w:pPr>
            <w:r>
              <w:rPr/>
              <w:t> </w:t>
            </w:r>
          </w:p>
        </w:tc>
        <w:tc>
          <w:tcPr>
            <w:tcW w:w="204" w:type="dxa"/>
            <w:tcBorders/>
            <w:shd w:fill="auto" w:val="clear"/>
            <w:vAlign w:val="center"/>
          </w:tcPr>
          <w:p>
            <w:pPr>
              <w:pStyle w:val="TableContents"/>
              <w:spacing w:lineRule="auto" w:line="312" w:before="0" w:after="0"/>
              <w:ind w:left="0" w:right="0" w:hanging="0"/>
              <w:jc w:val="right"/>
              <w:rPr/>
            </w:pPr>
            <w:r>
              <w:rPr/>
              <w:t> </w:t>
            </w:r>
          </w:p>
        </w:tc>
        <w:tc>
          <w:tcPr>
            <w:tcW w:w="295"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1,391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7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2,383</w:t>
            </w:r>
          </w:p>
        </w:tc>
        <w:tc>
          <w:tcPr>
            <w:tcW w:w="189" w:type="dxa"/>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7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3,036</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29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Sublease income - operating leases</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(806</w:t>
            </w:r>
          </w:p>
        </w:tc>
        <w:tc>
          <w:tcPr>
            <w:tcW w:w="2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(1,613</w:t>
            </w:r>
          </w:p>
        </w:tc>
        <w:tc>
          <w:tcPr>
            <w:tcW w:w="18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(1,951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net lease cost</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5,132</w:t>
            </w:r>
          </w:p>
        </w:tc>
        <w:tc>
          <w:tcPr>
            <w:tcW w:w="23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5,251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10,459</w:t>
            </w:r>
          </w:p>
        </w:tc>
        <w:tc>
          <w:tcPr>
            <w:tcW w:w="18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10,739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41" w:type="dxa"/>
            <w:tcBorders/>
            <w:shd w:fill="auto" w:val="clear"/>
            <w:vAlign w:val="center"/>
          </w:tcPr>
          <w:p>
            <w:pPr>
              <w:pStyle w:val="TableContents"/>
              <w:spacing w:before="0" w:after="283"/>
              <w:ind w:left="0" w:right="0" w:hanging="0"/>
              <w:rPr>
                <w:sz w:val="4"/>
                <w:szCs w:val="4"/>
              </w:rPr>
            </w:pPr>
            <w:r>
              <w:rPr>
                <w:sz w:val="4"/>
                <w:szCs w:val="4"/>
              </w:rPr>
            </w:r>
          </w:p>
        </w:tc>
        <w:tc>
          <w:tcPr>
            <w:tcW w:w="1094" w:type="dxa"/>
            <w:gridSpan w:val="2"/>
            <w:tcBorders/>
            <w:shd w:fill="auto" w:val="clear"/>
            <w:vAlign w:val="center"/>
          </w:tcPr>
          <w:p>
            <w:pPr>
              <w:pStyle w:val="TableContents"/>
              <w:spacing w:lineRule="auto" w:line="312" w:before="0" w:after="0"/>
              <w:ind w:left="0" w:right="0" w:hanging="0"/>
              <w:jc w:val="left"/>
              <w:rPr/>
            </w:pPr>
            <w:r>
              <w:rPr/>
              <w:t> </w:t>
            </w:r>
          </w:p>
        </w:tc>
        <w:tc>
          <w:tcPr>
            <w:tcW w:w="232" w:type="dxa"/>
            <w:tcBorders/>
            <w:shd w:fill="auto" w:val="clear"/>
            <w:vAlign w:val="center"/>
          </w:tcPr>
          <w:p>
            <w:pPr>
              <w:pStyle w:val="TableContents"/>
              <w:spacing w:lineRule="auto" w:line="312" w:before="0" w:after="0"/>
              <w:ind w:left="0" w:right="0" w:hanging="0"/>
              <w:jc w:val="left"/>
              <w:rPr/>
            </w:pPr>
            <w:r>
              <w:rPr/>
              <w:t> </w:t>
            </w:r>
          </w:p>
        </w:tc>
        <w:tc>
          <w:tcPr>
            <w:tcW w:w="204" w:type="dxa"/>
            <w:tcBorders/>
            <w:shd w:fill="auto" w:val="clear"/>
            <w:vAlign w:val="center"/>
          </w:tcPr>
          <w:p>
            <w:pPr>
              <w:pStyle w:val="TableContents"/>
              <w:spacing w:lineRule="auto" w:line="312" w:before="0" w:after="0"/>
              <w:ind w:left="0" w:right="0" w:hanging="0"/>
              <w:jc w:val="left"/>
              <w:rPr/>
            </w:pPr>
            <w:r>
              <w:rPr/>
              <w:t> </w:t>
            </w:r>
          </w:p>
        </w:tc>
        <w:tc>
          <w:tcPr>
            <w:tcW w:w="1094" w:type="dxa"/>
            <w:gridSpan w:val="2"/>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4" w:type="dxa"/>
            <w:gridSpan w:val="2"/>
            <w:tcBorders/>
            <w:shd w:fill="auto" w:val="clear"/>
            <w:vAlign w:val="center"/>
          </w:tcPr>
          <w:p>
            <w:pPr>
              <w:pStyle w:val="TableContents"/>
              <w:spacing w:lineRule="auto" w:line="312" w:before="0" w:after="0"/>
              <w:ind w:left="0" w:right="0" w:hanging="0"/>
              <w:jc w:val="right"/>
              <w:rPr/>
            </w:pPr>
            <w:r>
              <w:rPr/>
              <w:t> </w:t>
            </w:r>
          </w:p>
        </w:tc>
        <w:tc>
          <w:tcPr>
            <w:tcW w:w="189" w:type="dxa"/>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014" w:type="dxa"/>
            <w:gridSpan w:val="2"/>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29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paid for lease obligation</w:t>
            </w:r>
          </w:p>
        </w:tc>
        <w:tc>
          <w:tcPr>
            <w:tcW w:w="1094" w:type="dxa"/>
            <w:gridSpan w:val="2"/>
            <w:tcBorders/>
            <w:shd w:fill="auto" w:val="clear"/>
            <w:vAlign w:val="center"/>
          </w:tcPr>
          <w:p>
            <w:pPr>
              <w:pStyle w:val="TableContents"/>
              <w:spacing w:lineRule="auto" w:line="312" w:before="0" w:after="0"/>
              <w:ind w:left="0" w:right="0" w:hanging="0"/>
              <w:jc w:val="left"/>
              <w:rPr/>
            </w:pPr>
            <w:r>
              <w:rPr/>
              <w:t> </w:t>
            </w:r>
          </w:p>
        </w:tc>
        <w:tc>
          <w:tcPr>
            <w:tcW w:w="232" w:type="dxa"/>
            <w:tcBorders/>
            <w:shd w:fill="auto" w:val="clear"/>
            <w:vAlign w:val="center"/>
          </w:tcPr>
          <w:p>
            <w:pPr>
              <w:pStyle w:val="TableContents"/>
              <w:spacing w:lineRule="auto" w:line="312" w:before="0" w:after="0"/>
              <w:ind w:left="0" w:right="0" w:hanging="0"/>
              <w:jc w:val="left"/>
              <w:rPr/>
            </w:pPr>
            <w:r>
              <w:rPr/>
              <w:t> </w:t>
            </w:r>
          </w:p>
        </w:tc>
        <w:tc>
          <w:tcPr>
            <w:tcW w:w="204" w:type="dxa"/>
            <w:tcBorders/>
            <w:shd w:fill="auto" w:val="clear"/>
            <w:vAlign w:val="center"/>
          </w:tcPr>
          <w:p>
            <w:pPr>
              <w:pStyle w:val="TableContents"/>
              <w:spacing w:lineRule="auto" w:line="312" w:before="0" w:after="0"/>
              <w:ind w:left="0" w:right="0" w:hanging="0"/>
              <w:jc w:val="left"/>
              <w:rPr/>
            </w:pPr>
            <w:r>
              <w:rPr/>
              <w:t> </w:t>
            </w:r>
          </w:p>
        </w:tc>
        <w:tc>
          <w:tcPr>
            <w:tcW w:w="1094" w:type="dxa"/>
            <w:gridSpan w:val="2"/>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10,180</w:t>
            </w:r>
          </w:p>
        </w:tc>
        <w:tc>
          <w:tcPr>
            <w:tcW w:w="189" w:type="dxa"/>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10,842</w:t>
            </w:r>
          </w:p>
        </w:tc>
        <w:tc>
          <w:tcPr>
            <w:tcW w:w="21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36" w:before="240" w:after="240"/>
        <w:ind w:left="0" w:right="0" w:firstLine="446"/>
        <w:jc w:val="both"/>
        <w:rPr>
          <w:rFonts w:ascii="Times New Roman" w:hAnsi="Times New Roman"/>
          <w:b w:val="false"/>
          <w:sz w:val="20"/>
        </w:rPr>
      </w:pPr>
      <w:r>
        <w:rPr>
          <w:rFonts w:ascii="Times New Roman" w:hAnsi="Times New Roman"/>
          <w:b w:val="false"/>
          <w:sz w:val="20"/>
        </w:rPr>
        <w:t>As of June 30, 2021, the maturities of undiscounted operating lease liabilities of the Company are as follows:</w:t>
      </w:r>
    </w:p>
    <w:tbl>
      <w:tblPr>
        <w:tblW w:w="8701" w:type="dxa"/>
        <w:jc w:val="left"/>
        <w:tblInd w:w="0" w:type="dxa"/>
        <w:tblCellMar>
          <w:top w:w="28" w:type="dxa"/>
          <w:left w:w="28" w:type="dxa"/>
          <w:bottom w:w="28" w:type="dxa"/>
          <w:right w:w="28" w:type="dxa"/>
        </w:tblCellMar>
      </w:tblPr>
      <w:tblGrid>
        <w:gridCol w:w="2656"/>
        <w:gridCol w:w="378"/>
        <w:gridCol w:w="1212"/>
        <w:gridCol w:w="166"/>
        <w:gridCol w:w="146"/>
        <w:gridCol w:w="407"/>
        <w:gridCol w:w="1108"/>
        <w:gridCol w:w="146"/>
        <w:gridCol w:w="146"/>
        <w:gridCol w:w="510"/>
        <w:gridCol w:w="1635"/>
        <w:gridCol w:w="191"/>
      </w:tblGrid>
      <w:tr>
        <w:trPr/>
        <w:tc>
          <w:tcPr>
            <w:tcW w:w="265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Years Ending:</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Operating Leases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Sublease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4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Net Minimum Payments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Remainder of 2021</w:t>
            </w:r>
          </w:p>
        </w:tc>
        <w:tc>
          <w:tcPr>
            <w:tcW w:w="37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2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1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3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8,771</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2022</w:t>
            </w:r>
          </w:p>
        </w:tc>
        <w:tc>
          <w:tcPr>
            <w:tcW w:w="378" w:type="dxa"/>
            <w:tcBorders/>
            <w:shd w:fill="auto" w:val="clear"/>
            <w:vAlign w:val="center"/>
          </w:tcPr>
          <w:p>
            <w:pPr>
              <w:pStyle w:val="TableContents"/>
              <w:spacing w:lineRule="auto" w:line="312" w:before="0" w:after="0"/>
              <w:ind w:left="0" w:right="0" w:hanging="0"/>
              <w:jc w:val="left"/>
              <w:rPr/>
            </w:pPr>
            <w:r>
              <w:rPr/>
              <w:t> </w:t>
            </w:r>
          </w:p>
        </w:tc>
        <w:tc>
          <w:tcPr>
            <w:tcW w:w="12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19,682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10" w:type="dxa"/>
            <w:tcBorders/>
            <w:shd w:fill="auto" w:val="clear"/>
            <w:vAlign w:val="center"/>
          </w:tcPr>
          <w:p>
            <w:pPr>
              <w:pStyle w:val="TableContents"/>
              <w:spacing w:lineRule="auto" w:line="312" w:before="0" w:after="0"/>
              <w:ind w:left="0" w:right="0" w:hanging="0"/>
              <w:jc w:val="left"/>
              <w:rPr/>
            </w:pPr>
            <w:r>
              <w:rPr/>
              <w:t> </w:t>
            </w:r>
          </w:p>
        </w:tc>
        <w:tc>
          <w:tcPr>
            <w:tcW w:w="163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19,304</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2023</w:t>
            </w:r>
          </w:p>
        </w:tc>
        <w:tc>
          <w:tcPr>
            <w:tcW w:w="378" w:type="dxa"/>
            <w:tcBorders/>
            <w:shd w:fill="auto" w:val="clear"/>
            <w:vAlign w:val="center"/>
          </w:tcPr>
          <w:p>
            <w:pPr>
              <w:pStyle w:val="TableContents"/>
              <w:spacing w:lineRule="auto" w:line="312" w:before="0" w:after="0"/>
              <w:ind w:left="0" w:right="0" w:hanging="0"/>
              <w:jc w:val="left"/>
              <w:rPr/>
            </w:pPr>
            <w:r>
              <w:rPr/>
              <w:t> </w:t>
            </w:r>
          </w:p>
        </w:tc>
        <w:tc>
          <w:tcPr>
            <w:tcW w:w="12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14,199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10" w:type="dxa"/>
            <w:tcBorders/>
            <w:shd w:fill="auto" w:val="clear"/>
            <w:vAlign w:val="center"/>
          </w:tcPr>
          <w:p>
            <w:pPr>
              <w:pStyle w:val="TableContents"/>
              <w:spacing w:lineRule="auto" w:line="312" w:before="0" w:after="0"/>
              <w:ind w:left="0" w:right="0" w:hanging="0"/>
              <w:jc w:val="left"/>
              <w:rPr/>
            </w:pPr>
            <w:r>
              <w:rPr/>
              <w:t> </w:t>
            </w:r>
          </w:p>
        </w:tc>
        <w:tc>
          <w:tcPr>
            <w:tcW w:w="163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14,011</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2024</w:t>
            </w:r>
          </w:p>
        </w:tc>
        <w:tc>
          <w:tcPr>
            <w:tcW w:w="378" w:type="dxa"/>
            <w:tcBorders/>
            <w:shd w:fill="auto" w:val="clear"/>
            <w:vAlign w:val="center"/>
          </w:tcPr>
          <w:p>
            <w:pPr>
              <w:pStyle w:val="TableContents"/>
              <w:spacing w:lineRule="auto" w:line="312" w:before="0" w:after="0"/>
              <w:ind w:left="0" w:right="0" w:hanging="0"/>
              <w:jc w:val="left"/>
              <w:rPr/>
            </w:pPr>
            <w:r>
              <w:rPr/>
              <w:t> </w:t>
            </w:r>
          </w:p>
        </w:tc>
        <w:tc>
          <w:tcPr>
            <w:tcW w:w="12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4,953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10" w:type="dxa"/>
            <w:tcBorders/>
            <w:shd w:fill="auto" w:val="clear"/>
            <w:vAlign w:val="center"/>
          </w:tcPr>
          <w:p>
            <w:pPr>
              <w:pStyle w:val="TableContents"/>
              <w:spacing w:lineRule="auto" w:line="312" w:before="0" w:after="0"/>
              <w:ind w:left="0" w:right="0" w:hanging="0"/>
              <w:jc w:val="left"/>
              <w:rPr/>
            </w:pPr>
            <w:r>
              <w:rPr/>
              <w:t> </w:t>
            </w:r>
          </w:p>
        </w:tc>
        <w:tc>
          <w:tcPr>
            <w:tcW w:w="163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4,761</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2025</w:t>
            </w:r>
          </w:p>
        </w:tc>
        <w:tc>
          <w:tcPr>
            <w:tcW w:w="378" w:type="dxa"/>
            <w:tcBorders/>
            <w:shd w:fill="auto" w:val="clear"/>
            <w:vAlign w:val="center"/>
          </w:tcPr>
          <w:p>
            <w:pPr>
              <w:pStyle w:val="TableContents"/>
              <w:spacing w:lineRule="auto" w:line="312" w:before="0" w:after="0"/>
              <w:ind w:left="0" w:right="0" w:hanging="0"/>
              <w:jc w:val="left"/>
              <w:rPr/>
            </w:pPr>
            <w:r>
              <w:rPr/>
              <w:t> </w:t>
            </w:r>
          </w:p>
        </w:tc>
        <w:tc>
          <w:tcPr>
            <w:tcW w:w="12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3,457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10" w:type="dxa"/>
            <w:tcBorders/>
            <w:shd w:fill="auto" w:val="clear"/>
            <w:vAlign w:val="center"/>
          </w:tcPr>
          <w:p>
            <w:pPr>
              <w:pStyle w:val="TableContents"/>
              <w:spacing w:lineRule="auto" w:line="312" w:before="0" w:after="0"/>
              <w:ind w:left="0" w:right="0" w:hanging="0"/>
              <w:jc w:val="left"/>
              <w:rPr/>
            </w:pPr>
            <w:r>
              <w:rPr/>
              <w:t> </w:t>
            </w:r>
          </w:p>
        </w:tc>
        <w:tc>
          <w:tcPr>
            <w:tcW w:w="163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3,262</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3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334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3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5,615</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minimum lease payments</w:t>
            </w:r>
          </w:p>
        </w:tc>
        <w:tc>
          <w:tcPr>
            <w:tcW w:w="378" w:type="dxa"/>
            <w:tcBorders/>
            <w:shd w:fill="auto" w:val="clear"/>
            <w:vAlign w:val="center"/>
          </w:tcPr>
          <w:p>
            <w:pPr>
              <w:pStyle w:val="TableContents"/>
              <w:spacing w:lineRule="auto" w:line="312" w:before="0" w:after="0"/>
              <w:ind w:left="0" w:right="0" w:hanging="0"/>
              <w:jc w:val="left"/>
              <w:rPr/>
            </w:pPr>
            <w:r>
              <w:rPr/>
              <w:t> </w:t>
            </w:r>
          </w:p>
        </w:tc>
        <w:tc>
          <w:tcPr>
            <w:tcW w:w="12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58,266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2,542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51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3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55,724</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Imputed Interest</w:t>
            </w:r>
          </w:p>
        </w:tc>
        <w:tc>
          <w:tcPr>
            <w:tcW w:w="3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(3,840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51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45" w:type="dxa"/>
            <w:gridSpan w:val="2"/>
            <w:tcBorders/>
            <w:shd w:fill="auto" w:val="clear"/>
            <w:vAlign w:val="center"/>
          </w:tcPr>
          <w:p>
            <w:pPr>
              <w:pStyle w:val="TableContents"/>
              <w:spacing w:lineRule="auto" w:line="312" w:before="0" w:after="0"/>
              <w:ind w:left="0" w:right="0" w:hanging="0"/>
              <w:jc w:val="right"/>
              <w:rPr/>
            </w:pPr>
            <w:r>
              <w:rPr/>
              <w:t> </w:t>
            </w:r>
          </w:p>
        </w:tc>
        <w:tc>
          <w:tcPr>
            <w:tcW w:w="191" w:type="dxa"/>
            <w:tcBorders/>
            <w:shd w:fill="auto" w:val="clear"/>
            <w:vAlign w:val="center"/>
          </w:tcPr>
          <w:p>
            <w:pPr>
              <w:pStyle w:val="TableContents"/>
              <w:spacing w:lineRule="auto" w:line="312" w:before="0" w:after="0"/>
              <w:ind w:left="0" w:right="0" w:hanging="0"/>
              <w:jc w:val="right"/>
              <w:rPr/>
            </w:pPr>
            <w:r>
              <w:rPr/>
              <w:t> </w:t>
            </w:r>
          </w:p>
        </w:tc>
      </w:tr>
      <w:tr>
        <w:trPr/>
        <w:tc>
          <w:tcPr>
            <w:tcW w:w="2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lease liabilities</w:t>
            </w:r>
          </w:p>
        </w:tc>
        <w:tc>
          <w:tcPr>
            <w:tcW w:w="37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21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54,426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51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45" w:type="dxa"/>
            <w:gridSpan w:val="2"/>
            <w:tcBorders/>
            <w:shd w:fill="auto" w:val="clear"/>
            <w:vAlign w:val="center"/>
          </w:tcPr>
          <w:p>
            <w:pPr>
              <w:pStyle w:val="TableContents"/>
              <w:spacing w:lineRule="auto" w:line="312" w:before="0" w:after="0"/>
              <w:ind w:left="0" w:right="0" w:hanging="0"/>
              <w:jc w:val="right"/>
              <w:rPr/>
            </w:pPr>
            <w:r>
              <w:rPr/>
              <w:t> </w:t>
            </w:r>
          </w:p>
        </w:tc>
        <w:tc>
          <w:tcPr>
            <w:tcW w:w="191" w:type="dxa"/>
            <w:tcBorders/>
            <w:shd w:fill="auto" w:val="clear"/>
            <w:vAlign w:val="center"/>
          </w:tcPr>
          <w:p>
            <w:pPr>
              <w:pStyle w:val="TableContents"/>
              <w:spacing w:lineRule="auto" w:line="312" w:before="0" w:after="0"/>
              <w:ind w:left="0" w:right="0" w:hanging="0"/>
              <w:jc w:val="right"/>
              <w:rPr/>
            </w:pPr>
            <w:r>
              <w:rPr/>
              <w:t> </w:t>
            </w:r>
          </w:p>
        </w:tc>
      </w:tr>
    </w:tbl>
    <w:p>
      <w:pPr>
        <w:pStyle w:val="TextBody"/>
        <w:spacing w:lineRule="auto" w:line="312" w:before="0" w:after="0"/>
        <w:jc w:val="both"/>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Note 6</w:t>
      </w:r>
      <w:r>
        <w:rPr>
          <w:rFonts w:ascii="Times New Roman" w:hAnsi="Times New Roman"/>
          <w:sz w:val="20"/>
        </w:rPr>
        <w:t xml:space="preserve"> – </w:t>
      </w:r>
      <w:r>
        <w:rPr>
          <w:rFonts w:ascii="Times New Roman" w:hAnsi="Times New Roman"/>
          <w:b/>
          <w:sz w:val="20"/>
        </w:rPr>
        <w:t>Intangible Assets</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The intangible assets were recognized at their estimated fair values, which was based on certain projected future revenues and involved the use of significant judgment. Below is the detail of the intangible assets acquired:</w:t>
      </w:r>
    </w:p>
    <w:tbl>
      <w:tblPr>
        <w:tblW w:w="8118" w:type="dxa"/>
        <w:jc w:val="left"/>
        <w:tblInd w:w="0" w:type="dxa"/>
        <w:tblCellMar>
          <w:top w:w="28" w:type="dxa"/>
          <w:left w:w="28" w:type="dxa"/>
          <w:bottom w:w="28" w:type="dxa"/>
          <w:right w:w="28" w:type="dxa"/>
        </w:tblCellMar>
      </w:tblPr>
      <w:tblGrid>
        <w:gridCol w:w="2416"/>
        <w:gridCol w:w="146"/>
        <w:gridCol w:w="314"/>
        <w:gridCol w:w="1006"/>
        <w:gridCol w:w="146"/>
        <w:gridCol w:w="146"/>
        <w:gridCol w:w="533"/>
        <w:gridCol w:w="1867"/>
        <w:gridCol w:w="166"/>
        <w:gridCol w:w="146"/>
        <w:gridCol w:w="214"/>
        <w:gridCol w:w="687"/>
        <w:gridCol w:w="33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225" w:type="dxa"/>
            <w:gridSpan w:val="10"/>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June 30, 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41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Gross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40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Net</w:t>
              <w:br/>
              <w:t>Carrying</w:t>
              <w:br/>
              <w:t>Amount</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4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relationships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47,400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3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6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(21,725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8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25,675</w:t>
            </w:r>
          </w:p>
        </w:tc>
        <w:tc>
          <w:tcPr>
            <w:tcW w:w="331" w:type="dxa"/>
            <w:tcBorders/>
            <w:shd w:fill="auto" w:val="clear"/>
            <w:vAlign w:val="center"/>
          </w:tcPr>
          <w:p>
            <w:pPr>
              <w:pStyle w:val="TableContents"/>
              <w:spacing w:lineRule="auto" w:line="312" w:before="0" w:after="0"/>
              <w:ind w:left="0" w:right="0" w:hanging="0"/>
              <w:jc w:val="left"/>
              <w:rPr/>
            </w:pPr>
            <w:r>
              <w:rPr/>
              <w:t> </w:t>
            </w:r>
          </w:p>
        </w:tc>
      </w:tr>
      <w:tr>
        <w:trPr/>
        <w:tc>
          <w:tcPr>
            <w:tcW w:w="24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Trade names and trademarks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5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6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(8,433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9,967</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pPr>
            <w:r>
              <w:rPr/>
              <w:t> </w:t>
            </w:r>
          </w:p>
        </w:tc>
      </w:tr>
      <w:tr>
        <w:trPr/>
        <w:tc>
          <w:tcPr>
            <w:tcW w:w="241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65,800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53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6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(30,158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8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35,642</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0" w:after="0"/>
        <w:ind w:left="0" w:right="0" w:hanging="0"/>
        <w:jc w:val="left"/>
        <w:rPr/>
      </w:pPr>
      <w:r>
        <w:rPr/>
        <w:t> </w:t>
      </w:r>
    </w:p>
    <w:tbl>
      <w:tblPr>
        <w:tblW w:w="8118" w:type="dxa"/>
        <w:jc w:val="left"/>
        <w:tblInd w:w="0" w:type="dxa"/>
        <w:tblCellMar>
          <w:top w:w="28" w:type="dxa"/>
          <w:left w:w="28" w:type="dxa"/>
          <w:bottom w:w="28" w:type="dxa"/>
          <w:right w:w="28" w:type="dxa"/>
        </w:tblCellMar>
      </w:tblPr>
      <w:tblGrid>
        <w:gridCol w:w="2416"/>
        <w:gridCol w:w="146"/>
        <w:gridCol w:w="314"/>
        <w:gridCol w:w="1006"/>
        <w:gridCol w:w="146"/>
        <w:gridCol w:w="146"/>
        <w:gridCol w:w="533"/>
        <w:gridCol w:w="1867"/>
        <w:gridCol w:w="166"/>
        <w:gridCol w:w="146"/>
        <w:gridCol w:w="214"/>
        <w:gridCol w:w="687"/>
        <w:gridCol w:w="33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ind w:left="0" w:right="0" w:firstLine="140"/>
              <w:rPr>
                <w:sz w:val="4"/>
                <w:szCs w:val="4"/>
              </w:rPr>
            </w:pPr>
            <w:r>
              <w:rPr>
                <w:sz w:val="4"/>
                <w:szCs w:val="4"/>
              </w:rPr>
            </w:r>
          </w:p>
        </w:tc>
      </w:tr>
      <w:tr>
        <w:trPr/>
        <w:tc>
          <w:tcPr>
            <w:tcW w:w="2416" w:type="dxa"/>
            <w:tcBorders/>
            <w:shd w:fill="auto" w:val="clear"/>
            <w:vAlign w:val="center"/>
          </w:tcPr>
          <w:p>
            <w:pPr>
              <w:pStyle w:val="TableContents"/>
              <w:spacing w:lineRule="auto" w:line="312" w:before="0" w:after="0"/>
              <w:ind w:left="14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225" w:type="dxa"/>
            <w:gridSpan w:val="10"/>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r>
              <w:rPr>
                <w:rFonts w:ascii="Times New Roman" w:hAnsi="Times New Roman"/>
                <w:b/>
                <w:sz w:val="20"/>
              </w:rPr>
              <w:t>December 31, 2020</w:t>
            </w:r>
            <w:r>
              <w:rPr>
                <w:rFonts w:ascii="Times New Roman" w:hAnsi="Times New Roman"/>
                <w:sz w:val="20"/>
              </w:rPr>
              <w:t xml:space="preserve"> </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41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Gross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40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Net</w:t>
              <w:br/>
              <w:t>Carrying</w:t>
              <w:br/>
              <w:t>Amount</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4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relationships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47,400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3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6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(19,355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8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28,045</w:t>
            </w:r>
          </w:p>
        </w:tc>
        <w:tc>
          <w:tcPr>
            <w:tcW w:w="331" w:type="dxa"/>
            <w:tcBorders/>
            <w:shd w:fill="auto" w:val="clear"/>
            <w:vAlign w:val="center"/>
          </w:tcPr>
          <w:p>
            <w:pPr>
              <w:pStyle w:val="TableContents"/>
              <w:spacing w:lineRule="auto" w:line="312" w:before="0" w:after="0"/>
              <w:ind w:left="0" w:right="0" w:hanging="0"/>
              <w:jc w:val="left"/>
              <w:rPr/>
            </w:pPr>
            <w:r>
              <w:rPr/>
              <w:t> </w:t>
            </w:r>
          </w:p>
        </w:tc>
      </w:tr>
      <w:tr>
        <w:trPr/>
        <w:tc>
          <w:tcPr>
            <w:tcW w:w="24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Trade names and trademarks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5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6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(7,513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10,887</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pPr>
            <w:r>
              <w:rPr/>
              <w:t> </w:t>
            </w:r>
          </w:p>
        </w:tc>
      </w:tr>
      <w:tr>
        <w:trPr/>
        <w:tc>
          <w:tcPr>
            <w:tcW w:w="241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65,800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53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6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(26,868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8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38,932</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jc w:val="both"/>
        <w:rPr>
          <w:rFonts w:ascii="Times New Roman" w:hAnsi="Times New Roman"/>
          <w:sz w:val="20"/>
        </w:rPr>
      </w:pPr>
      <w:r>
        <w:rPr>
          <w:rFonts w:ascii="Times New Roman" w:hAnsi="Times New Roman"/>
          <w:b w:val="false"/>
          <w:sz w:val="20"/>
        </w:rPr>
        <w:t>The intangible assets are amortized over an average useful life of 10 years. Intangible amortization expense was $1.6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$3.3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2021, respectively, and $1.6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$3.3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2020, respectively, which is included in Depreciation and amortization in the Condensed Consolidated Statements of Operations. Amortization of intangible assets held at June 30, 2021 is expected to be $6.6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 xml:space="preserve">for each of the years ending December 31, 2021, 2022, 2023, 2024 and 2025. These intangible assets will be fully amortized by November 30, 2026. </w:t>
      </w:r>
    </w:p>
    <w:p>
      <w:pPr>
        <w:pStyle w:val="TextBody"/>
        <w:pBdr/>
        <w:spacing w:lineRule="auto" w:line="312" w:before="240" w:after="0"/>
        <w:ind w:left="0" w:right="0" w:hanging="490"/>
        <w:jc w:val="both"/>
        <w:rPr>
          <w:rFonts w:ascii="Times New Roman" w:hAnsi="Times New Roman"/>
          <w:sz w:val="20"/>
        </w:rPr>
      </w:pPr>
      <w:r>
        <w:rPr>
          <w:rFonts w:ascii="Times New Roman" w:hAnsi="Times New Roman"/>
          <w:b/>
          <w:sz w:val="20"/>
        </w:rPr>
        <w:t>Note 7 – Regulatory Requirements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w:t>
      </w:r>
      <w:r>
        <w:rPr>
          <w:rFonts w:ascii="Times New Roman" w:hAnsi="Times New Roman"/>
          <w:sz w:val="20"/>
        </w:rPr>
        <w:t xml:space="preserve"> </w:t>
      </w:r>
      <w:r>
        <w:rPr>
          <w:rFonts w:ascii="Times New Roman" w:hAnsi="Times New Roman"/>
          <w:b w:val="false"/>
          <w:sz w:val="20"/>
        </w:rPr>
        <w:t>million, which was $52.9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in excess of their combined individual minimum capital requirements. Subsequent to this internal reorganization and as of June 30, 2021, PWP LP and TPH Securities had combined net capital of $71.1</w:t>
      </w:r>
      <w:r>
        <w:rPr>
          <w:rFonts w:ascii="Times New Roman" w:hAnsi="Times New Roman"/>
          <w:sz w:val="20"/>
        </w:rPr>
        <w:t xml:space="preserve"> </w:t>
      </w:r>
      <w:r>
        <w:rPr>
          <w:rFonts w:ascii="Times New Roman" w:hAnsi="Times New Roman"/>
          <w:b w:val="false"/>
          <w:sz w:val="20"/>
        </w:rPr>
        <w:t>million, which was $70.7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in excess of their combined individual minimum capital requirements.</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Perella Weinberg UK Ltd. is subject to FCA capital adequacy rules and Tudor, Pickering, Holt &amp; Co. Securities Canada, ULC is subject to IIROC capital adequacy rules. Both entities were in excess of the applicable capital requirements as of June 30, 2021 and December 31, 2020.</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Perella Weinberg Partners France S.A.S was exempt from ACPR capital adequacy rules as of December 31, 2020 and was in excess of the applicable capital requirements as of June 30, 2021.</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As a result of the minimum capital requirements and various regulations on these broker dealers, the capital of each subsidiary of the Company is restricted and may be unavailable to pay its creditors.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336"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jc w:val="both"/>
        <w:rPr/>
      </w:pPr>
      <w:r>
        <w:rPr/>
        <w:t> </w:t>
      </w:r>
    </w:p>
    <w:p>
      <w:pPr>
        <w:pStyle w:val="TextBody"/>
        <w:pBdr/>
        <w:spacing w:lineRule="auto" w:line="312" w:before="240" w:after="0"/>
        <w:ind w:left="0" w:right="0" w:hanging="490"/>
        <w:jc w:val="left"/>
        <w:rPr>
          <w:rFonts w:ascii="Times New Roman" w:hAnsi="Times New Roman"/>
          <w:b/>
          <w:sz w:val="20"/>
        </w:rPr>
      </w:pPr>
      <w:r>
        <w:rPr>
          <w:rFonts w:ascii="Times New Roman" w:hAnsi="Times New Roman"/>
          <w:b/>
          <w:sz w:val="20"/>
        </w:rPr>
        <w:t>Note 8 – Fixed Assets</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Fixed assets are recorded at cost less accumulated depreciation and amortization and consist of the following as of June 30, 2021 and December 31, 2020:</w:t>
      </w:r>
    </w:p>
    <w:tbl>
      <w:tblPr>
        <w:tblW w:w="8070" w:type="dxa"/>
        <w:jc w:val="left"/>
        <w:tblInd w:w="0" w:type="dxa"/>
        <w:tblCellMar>
          <w:top w:w="28" w:type="dxa"/>
          <w:left w:w="28" w:type="dxa"/>
          <w:bottom w:w="28" w:type="dxa"/>
          <w:right w:w="28" w:type="dxa"/>
        </w:tblCellMar>
      </w:tblPr>
      <w:tblGrid>
        <w:gridCol w:w="4156"/>
        <w:gridCol w:w="146"/>
        <w:gridCol w:w="307"/>
        <w:gridCol w:w="1073"/>
        <w:gridCol w:w="166"/>
        <w:gridCol w:w="146"/>
        <w:gridCol w:w="366"/>
        <w:gridCol w:w="1359"/>
        <w:gridCol w:w="35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r>
              <w:rPr>
                <w:rFonts w:ascii="Times New Roman" w:hAnsi="Times New Roman"/>
                <w:b/>
                <w:sz w:val="20"/>
              </w:rPr>
              <w:t>June 30, 2021</w:t>
            </w:r>
            <w:r>
              <w:rPr>
                <w:rFonts w:ascii="Times New Roman" w:hAnsi="Times New Roman"/>
                <w:sz w:val="20"/>
              </w:rPr>
              <w:t xml:space="preserve">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December 31, 2020</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1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49,880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49,718</w:t>
            </w:r>
          </w:p>
        </w:tc>
        <w:tc>
          <w:tcPr>
            <w:tcW w:w="351" w:type="dxa"/>
            <w:tcBorders/>
            <w:shd w:fill="auto" w:val="clear"/>
            <w:vAlign w:val="center"/>
          </w:tcPr>
          <w:p>
            <w:pPr>
              <w:pStyle w:val="TableContents"/>
              <w:spacing w:lineRule="auto" w:line="312" w:before="0" w:after="0"/>
              <w:ind w:left="0" w:right="0" w:hanging="0"/>
              <w:jc w:val="left"/>
              <w:rPr/>
            </w:pPr>
            <w:r>
              <w:rPr/>
              <w:t> </w:t>
            </w:r>
          </w:p>
        </w:tc>
      </w:tr>
      <w:tr>
        <w:trPr/>
        <w:tc>
          <w:tcPr>
            <w:tcW w:w="41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10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8,494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6" w:type="dxa"/>
            <w:tcBorders/>
            <w:shd w:fill="auto" w:val="clear"/>
            <w:vAlign w:val="center"/>
          </w:tcPr>
          <w:p>
            <w:pPr>
              <w:pStyle w:val="TableContents"/>
              <w:spacing w:lineRule="auto" w:line="312" w:before="0" w:after="0"/>
              <w:ind w:left="0" w:right="0" w:hanging="0"/>
              <w:jc w:val="left"/>
              <w:rPr/>
            </w:pPr>
            <w:r>
              <w:rPr/>
              <w:t> </w:t>
            </w:r>
          </w:p>
        </w:tc>
        <w:tc>
          <w:tcPr>
            <w:tcW w:w="1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8,606</w:t>
            </w:r>
          </w:p>
        </w:tc>
        <w:tc>
          <w:tcPr>
            <w:tcW w:w="351" w:type="dxa"/>
            <w:tcBorders/>
            <w:shd w:fill="auto" w:val="clear"/>
            <w:vAlign w:val="center"/>
          </w:tcPr>
          <w:p>
            <w:pPr>
              <w:pStyle w:val="TableContents"/>
              <w:spacing w:lineRule="auto" w:line="312" w:before="0" w:after="0"/>
              <w:ind w:left="0" w:right="0" w:hanging="0"/>
              <w:jc w:val="left"/>
              <w:rPr/>
            </w:pPr>
            <w:r>
              <w:rPr/>
              <w:t> </w:t>
            </w:r>
          </w:p>
        </w:tc>
      </w:tr>
      <w:tr>
        <w:trPr/>
        <w:tc>
          <w:tcPr>
            <w:tcW w:w="41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10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16,750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6" w:type="dxa"/>
            <w:tcBorders/>
            <w:shd w:fill="auto" w:val="clear"/>
            <w:vAlign w:val="center"/>
          </w:tcPr>
          <w:p>
            <w:pPr>
              <w:pStyle w:val="TableContents"/>
              <w:spacing w:lineRule="auto" w:line="312" w:before="0" w:after="0"/>
              <w:ind w:left="0" w:right="0" w:hanging="0"/>
              <w:jc w:val="left"/>
              <w:rPr/>
            </w:pPr>
            <w:r>
              <w:rPr/>
              <w:t> </w:t>
            </w:r>
          </w:p>
        </w:tc>
        <w:tc>
          <w:tcPr>
            <w:tcW w:w="1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35,293</w:t>
            </w:r>
          </w:p>
        </w:tc>
        <w:tc>
          <w:tcPr>
            <w:tcW w:w="351" w:type="dxa"/>
            <w:tcBorders/>
            <w:shd w:fill="auto" w:val="clear"/>
            <w:vAlign w:val="center"/>
          </w:tcPr>
          <w:p>
            <w:pPr>
              <w:pStyle w:val="TableContents"/>
              <w:spacing w:lineRule="auto" w:line="312" w:before="0" w:after="0"/>
              <w:ind w:left="0" w:right="0" w:hanging="0"/>
              <w:jc w:val="left"/>
              <w:rPr/>
            </w:pPr>
            <w:r>
              <w:rPr/>
              <w:t> </w:t>
            </w:r>
          </w:p>
        </w:tc>
      </w:tr>
      <w:tr>
        <w:trPr/>
        <w:tc>
          <w:tcPr>
            <w:tcW w:w="41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Software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9,952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14,395</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pPr>
            <w:r>
              <w:rPr/>
              <w:t> </w:t>
            </w:r>
          </w:p>
        </w:tc>
      </w:tr>
      <w:tr>
        <w:trPr/>
        <w:tc>
          <w:tcPr>
            <w:tcW w:w="415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10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85,076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6" w:type="dxa"/>
            <w:tcBorders/>
            <w:shd w:fill="auto" w:val="clear"/>
            <w:vAlign w:val="center"/>
          </w:tcPr>
          <w:p>
            <w:pPr>
              <w:pStyle w:val="TableContents"/>
              <w:spacing w:lineRule="auto" w:line="312" w:before="0" w:after="0"/>
              <w:ind w:left="0" w:right="0" w:hanging="0"/>
              <w:jc w:val="left"/>
              <w:rPr/>
            </w:pPr>
            <w:r>
              <w:rPr/>
              <w:t> </w:t>
            </w:r>
          </w:p>
        </w:tc>
        <w:tc>
          <w:tcPr>
            <w:tcW w:w="1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108,012</w:t>
            </w:r>
          </w:p>
        </w:tc>
        <w:tc>
          <w:tcPr>
            <w:tcW w:w="351" w:type="dxa"/>
            <w:tcBorders/>
            <w:shd w:fill="auto" w:val="clear"/>
            <w:vAlign w:val="center"/>
          </w:tcPr>
          <w:p>
            <w:pPr>
              <w:pStyle w:val="TableContents"/>
              <w:spacing w:lineRule="auto" w:line="312" w:before="0" w:after="0"/>
              <w:ind w:left="0" w:right="0" w:hanging="0"/>
              <w:jc w:val="left"/>
              <w:rPr/>
            </w:pPr>
            <w:r>
              <w:rPr/>
              <w:t> </w:t>
            </w:r>
          </w:p>
        </w:tc>
      </w:tr>
      <w:tr>
        <w:trPr/>
        <w:tc>
          <w:tcPr>
            <w:tcW w:w="41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Accumulated 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(71,794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(90,823</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415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Fixed assets,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13,282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17,189</w:t>
            </w:r>
          </w:p>
        </w:tc>
        <w:tc>
          <w:tcPr>
            <w:tcW w:w="3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Depreciation expense related to fixed assets was $1.7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$3.6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2021, respectively, and $1.8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$3.7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2020, respectively. Amortization expense related to software development costs was $0.3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$0.7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2021, respectively, and $0.4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$0.8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2020, respectively.</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During the three and six months ended June 30, 2021, the Company disposed of certain obsolete assets, substantially all of which were fully depreciated.</w:t>
      </w:r>
      <w:r>
        <w:rPr>
          <w:rFonts w:ascii="Times New Roman" w:hAnsi="Times New Roman"/>
          <w:sz w:val="20"/>
        </w:rPr>
        <w:t xml:space="preserve"> </w:t>
      </w:r>
    </w:p>
    <w:p>
      <w:pPr>
        <w:pStyle w:val="TextBody"/>
        <w:spacing w:lineRule="auto" w:line="312" w:before="240" w:after="0"/>
        <w:jc w:val="both"/>
        <w:rPr>
          <w:rFonts w:ascii="Times New Roman" w:hAnsi="Times New Roman"/>
          <w:sz w:val="20"/>
        </w:rPr>
      </w:pPr>
      <w:r>
        <w:rPr>
          <w:rFonts w:ascii="Times New Roman" w:hAnsi="Times New Roman"/>
          <w:b/>
          <w:sz w:val="20"/>
        </w:rPr>
        <w:t>Note 9</w:t>
      </w:r>
      <w:r>
        <w:rPr>
          <w:rFonts w:ascii="Times New Roman" w:hAnsi="Times New Roman"/>
          <w:sz w:val="20"/>
        </w:rPr>
        <w:t xml:space="preserve"> – </w:t>
      </w:r>
      <w:r>
        <w:rPr>
          <w:rFonts w:ascii="Times New Roman" w:hAnsi="Times New Roman"/>
          <w:b/>
          <w:sz w:val="20"/>
        </w:rPr>
        <w:t>Income Taxes</w:t>
      </w:r>
    </w:p>
    <w:p>
      <w:pPr>
        <w:pStyle w:val="TextBody"/>
        <w:spacing w:lineRule="auto" w:line="312" w:before="240" w:after="240"/>
        <w:ind w:left="0" w:right="0" w:firstLine="446"/>
        <w:jc w:val="both"/>
        <w:rPr>
          <w:rFonts w:ascii="Times New Roman" w:hAnsi="Times New Roman"/>
          <w:sz w:val="20"/>
        </w:rPr>
      </w:pPr>
      <w:r>
        <w:rPr>
          <w:rFonts w:ascii="Times New Roman" w:hAnsi="Times New Roman"/>
          <w:b w:val="false"/>
          <w:sz w:val="20"/>
        </w:rPr>
        <w:t>The Company’s effective tax rate was 5.47%</w:t>
      </w:r>
      <w:r>
        <w:rPr>
          <w:rFonts w:ascii="Times New Roman" w:hAnsi="Times New Roman"/>
          <w:sz w:val="20"/>
        </w:rPr>
        <w:t xml:space="preserve"> </w:t>
      </w:r>
      <w:r>
        <w:rPr>
          <w:rFonts w:ascii="Times New Roman" w:hAnsi="Times New Roman"/>
          <w:b w:val="false"/>
          <w:sz w:val="20"/>
        </w:rPr>
        <w:t>and 7.47%</w:t>
      </w:r>
      <w:r>
        <w:rPr>
          <w:rFonts w:ascii="Times New Roman" w:hAnsi="Times New Roman"/>
          <w:sz w:val="20"/>
        </w:rPr>
        <w:t xml:space="preserve"> </w:t>
      </w:r>
      <w:r>
        <w:rPr>
          <w:rFonts w:ascii="Times New Roman" w:hAnsi="Times New Roman"/>
          <w:b w:val="false"/>
          <w:sz w:val="20"/>
        </w:rPr>
        <w:t>for the three and six months ended June 30, 2021, respectively, and (3.92%)</w:t>
      </w:r>
      <w:r>
        <w:rPr>
          <w:rFonts w:ascii="Times New Roman" w:hAnsi="Times New Roman"/>
          <w:sz w:val="20"/>
        </w:rPr>
        <w:t xml:space="preserve"> </w:t>
      </w:r>
      <w:r>
        <w:rPr>
          <w:rFonts w:ascii="Times New Roman" w:hAnsi="Times New Roman"/>
          <w:b w:val="false"/>
          <w:sz w:val="20"/>
        </w:rPr>
        <w:t>and (6.26%)</w:t>
      </w:r>
      <w:r>
        <w:rPr>
          <w:rFonts w:ascii="Times New Roman" w:hAnsi="Times New Roman"/>
          <w:sz w:val="20"/>
        </w:rPr>
        <w:t xml:space="preserve"> </w:t>
      </w:r>
      <w:r>
        <w:rPr>
          <w:rFonts w:ascii="Times New Roman" w:hAnsi="Times New Roman"/>
          <w:b w:val="false"/>
          <w:sz w:val="20"/>
        </w:rPr>
        <w:t>for the three and six months ended June 30, 2020, respectively. 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pStyle w:val="TextBody"/>
        <w:spacing w:lineRule="auto" w:line="312" w:before="240" w:after="240"/>
        <w:ind w:left="0" w:right="0" w:firstLine="446"/>
        <w:jc w:val="both"/>
        <w:rPr>
          <w:rFonts w:ascii="Times New Roman" w:hAnsi="Times New Roman"/>
          <w:sz w:val="20"/>
        </w:rPr>
      </w:pPr>
      <w:r>
        <w:rPr>
          <w:rFonts w:ascii="Times New Roman" w:hAnsi="Times New Roman"/>
          <w:b w:val="false"/>
          <w:sz w:val="20"/>
        </w:rPr>
        <w:t>The Business Combination resulted in a $15.7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increase to the Company’s deferred tax asset primarily related to a step-up in the tax basis of certain assets that will be recovered as those assets are amortized. The remaining $2.3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the deferred tax asset balance as of June 30, 2021 is related to local and foreign 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June 30, 2021 will be recovered in the future based on all available positive and negative evidence. In connection with the step-up in tax basis generated on the day of the Business Combination, the Company has recorded a payable of $13.7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pursuant to the terms of the tax receivable agreement.</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As of June 30, 2021, the Company has not recorded any unrecognized tax benefits associated with uncertain tax positions. The Company does not expect there to be any material changes to uncertain tax positions within 12 months of the reporting date.</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336"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jc w:val="both"/>
        <w:rPr/>
      </w:pPr>
      <w:r>
        <w:rPr/>
        <w:t> </w:t>
      </w:r>
    </w:p>
    <w:p>
      <w:pPr>
        <w:pStyle w:val="TextBody"/>
        <w:spacing w:lineRule="auto" w:line="312" w:before="240" w:after="0"/>
        <w:jc w:val="left"/>
        <w:rPr>
          <w:rFonts w:ascii="Times New Roman" w:hAnsi="Times New Roman"/>
          <w:sz w:val="20"/>
        </w:rPr>
      </w:pPr>
      <w:r>
        <w:rPr>
          <w:rFonts w:ascii="Times New Roman" w:hAnsi="Times New Roman"/>
          <w:b/>
          <w:sz w:val="20"/>
        </w:rPr>
        <w:t>Note 10</w:t>
      </w:r>
      <w:r>
        <w:rPr>
          <w:rFonts w:ascii="Times New Roman" w:hAnsi="Times New Roman"/>
          <w:sz w:val="20"/>
        </w:rPr>
        <w:t xml:space="preserve"> – </w:t>
      </w:r>
      <w:r>
        <w:rPr>
          <w:rFonts w:ascii="Times New Roman" w:hAnsi="Times New Roman"/>
          <w:b/>
          <w:sz w:val="20"/>
        </w:rPr>
        <w:t>Debt</w:t>
      </w:r>
    </w:p>
    <w:p>
      <w:pPr>
        <w:pStyle w:val="TextBody"/>
        <w:spacing w:lineRule="auto" w:line="307" w:before="240" w:after="240"/>
        <w:ind w:left="0" w:right="0" w:firstLine="446"/>
        <w:jc w:val="both"/>
        <w:rPr>
          <w:rFonts w:ascii="Times New Roman" w:hAnsi="Times New Roman"/>
          <w:b w:val="false"/>
          <w:sz w:val="20"/>
        </w:rPr>
      </w:pPr>
      <w:r>
        <w:rPr>
          <w:rFonts w:ascii="Times New Roman" w:hAnsi="Times New Roman"/>
          <w:b w:val="false"/>
          <w:sz w:val="20"/>
        </w:rPr>
        <w:t>The following is a summary of the Company’s debt as of June 30, 2021 and December 31, 2020:</w:t>
      </w:r>
    </w:p>
    <w:tbl>
      <w:tblPr>
        <w:tblW w:w="7935" w:type="dxa"/>
        <w:jc w:val="left"/>
        <w:tblInd w:w="0" w:type="dxa"/>
        <w:tblCellMar>
          <w:top w:w="28" w:type="dxa"/>
          <w:left w:w="28" w:type="dxa"/>
          <w:bottom w:w="28" w:type="dxa"/>
          <w:right w:w="28" w:type="dxa"/>
        </w:tblCellMar>
      </w:tblPr>
      <w:tblGrid>
        <w:gridCol w:w="4126"/>
        <w:gridCol w:w="146"/>
        <w:gridCol w:w="388"/>
        <w:gridCol w:w="887"/>
        <w:gridCol w:w="166"/>
        <w:gridCol w:w="146"/>
        <w:gridCol w:w="366"/>
        <w:gridCol w:w="1359"/>
        <w:gridCol w:w="351"/>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December 31, 2020</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1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Convertible Notes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8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150,000</w:t>
            </w:r>
          </w:p>
        </w:tc>
        <w:tc>
          <w:tcPr>
            <w:tcW w:w="351" w:type="dxa"/>
            <w:tcBorders/>
            <w:shd w:fill="auto" w:val="clear"/>
            <w:vAlign w:val="center"/>
          </w:tcPr>
          <w:p>
            <w:pPr>
              <w:pStyle w:val="TableContents"/>
              <w:spacing w:lineRule="auto" w:line="312" w:before="0" w:after="0"/>
              <w:ind w:left="0" w:right="0" w:hanging="0"/>
              <w:jc w:val="left"/>
              <w:rPr/>
            </w:pPr>
            <w:r>
              <w:rPr/>
              <w:t> </w:t>
            </w:r>
          </w:p>
        </w:tc>
      </w:tr>
      <w:tr>
        <w:trPr/>
        <w:tc>
          <w:tcPr>
            <w:tcW w:w="41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Revolving Credit Facility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8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27,690</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pPr>
            <w:r>
              <w:rPr/>
              <w:t> </w:t>
            </w:r>
          </w:p>
        </w:tc>
      </w:tr>
      <w:tr>
        <w:trPr/>
        <w:tc>
          <w:tcPr>
            <w:tcW w:w="412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Total debt facilities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88" w:type="dxa"/>
            <w:tcBorders/>
            <w:shd w:fill="auto" w:val="clear"/>
            <w:vAlign w:val="center"/>
          </w:tcPr>
          <w:p>
            <w:pPr>
              <w:pStyle w:val="TableContents"/>
              <w:spacing w:lineRule="auto" w:line="312" w:before="0" w:after="0"/>
              <w:ind w:left="0" w:right="0" w:hanging="0"/>
              <w:jc w:val="left"/>
              <w:rPr/>
            </w:pPr>
            <w:r>
              <w:rPr/>
              <w:t> </w:t>
            </w:r>
          </w:p>
        </w:tc>
        <w:tc>
          <w:tcPr>
            <w:tcW w:w="88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6" w:type="dxa"/>
            <w:tcBorders/>
            <w:shd w:fill="auto" w:val="clear"/>
            <w:vAlign w:val="center"/>
          </w:tcPr>
          <w:p>
            <w:pPr>
              <w:pStyle w:val="TableContents"/>
              <w:spacing w:lineRule="auto" w:line="312" w:before="0" w:after="0"/>
              <w:ind w:left="0" w:right="0" w:hanging="0"/>
              <w:jc w:val="left"/>
              <w:rPr/>
            </w:pPr>
            <w:r>
              <w:rPr/>
              <w:t> </w:t>
            </w:r>
          </w:p>
        </w:tc>
        <w:tc>
          <w:tcPr>
            <w:tcW w:w="1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177,690</w:t>
            </w:r>
          </w:p>
        </w:tc>
        <w:tc>
          <w:tcPr>
            <w:tcW w:w="351" w:type="dxa"/>
            <w:tcBorders/>
            <w:shd w:fill="auto" w:val="clear"/>
            <w:vAlign w:val="center"/>
          </w:tcPr>
          <w:p>
            <w:pPr>
              <w:pStyle w:val="TableContents"/>
              <w:spacing w:lineRule="auto" w:line="312" w:before="0" w:after="0"/>
              <w:ind w:left="0" w:right="0" w:hanging="0"/>
              <w:jc w:val="left"/>
              <w:rPr/>
            </w:pPr>
            <w:r>
              <w:rPr/>
              <w:t> </w:t>
            </w:r>
          </w:p>
        </w:tc>
      </w:tr>
      <w:tr>
        <w:trPr/>
        <w:tc>
          <w:tcPr>
            <w:tcW w:w="41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Unamortized debt discount and issuance costs (1)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8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(30,725</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412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Total debt, net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8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146,965</w:t>
            </w:r>
          </w:p>
        </w:tc>
        <w:tc>
          <w:tcPr>
            <w:tcW w:w="3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283"/>
        <w:rPr>
          <w:rFonts w:ascii="Times New Roman" w:hAnsi="Times New Roman"/>
          <w:sz w:val="22"/>
        </w:rPr>
      </w:pPr>
      <w:r>
        <w:rPr>
          <w:rFonts w:ascii="Times New Roman" w:hAnsi="Times New Roman"/>
          <w:b w:val="false"/>
          <w:sz w:val="20"/>
        </w:rPr>
        <w:t>As of June 30, 2021, the Company included unamortized debt issuance costs within Prepaid expenses and other assets on the Condensed Consolidated Statements of Financial Position since there were no outstanding borrowings under the Revolving Credit Facility.</w:t>
      </w:r>
      <w:r>
        <w:rPr>
          <w:rFonts w:ascii="Times New Roman" w:hAnsi="Times New Roman"/>
          <w:sz w:val="22"/>
        </w:rPr>
        <w:t xml:space="preserve"> </w:t>
      </w:r>
    </w:p>
    <w:p>
      <w:pPr>
        <w:pStyle w:val="TextBody"/>
        <w:spacing w:lineRule="auto" w:line="312" w:before="240" w:after="0"/>
        <w:ind w:left="0" w:right="0" w:hanging="0"/>
        <w:jc w:val="left"/>
        <w:rPr>
          <w:rFonts w:ascii="Times New Roman" w:hAnsi="Times New Roman"/>
          <w:sz w:val="20"/>
        </w:rPr>
      </w:pPr>
      <w:r>
        <w:rPr>
          <w:rFonts w:ascii="Times New Roman" w:hAnsi="Times New Roman"/>
          <w:b/>
          <w:i/>
          <w:sz w:val="20"/>
        </w:rPr>
        <w:t>Convertible Notes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issued 7.0% subordinated unsecured convertible notes with an aggregate principal amount of $150.0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(the “Convertible Notes”) under a Note Purchase Agreement (as amended, the “NPA”) executed on November 30, 2016. The Convertible Notes were due to mature on November 30, 2026</w:t>
      </w:r>
      <w:r>
        <w:rPr>
          <w:rFonts w:ascii="Times New Roman" w:hAnsi="Times New Roman"/>
          <w:sz w:val="20"/>
        </w:rPr>
        <w:t xml:space="preserve"> </w:t>
      </w:r>
      <w:r>
        <w:rPr>
          <w:rFonts w:ascii="Times New Roman" w:hAnsi="Times New Roman"/>
          <w:b w:val="false"/>
          <w:sz w:val="20"/>
        </w:rPr>
        <w:t>(the “Maturity Date”) unless earlier converted or repaid pursuant to the terms of the NPA. The estimated intrinsic value of the Beneficial Conversion Feature (“BCF”) as of issuance was $32.7</w:t>
      </w:r>
      <w:r>
        <w:rPr>
          <w:rFonts w:ascii="Times New Roman" w:hAnsi="Times New Roman"/>
          <w:sz w:val="20"/>
        </w:rPr>
        <w:t xml:space="preserve"> </w:t>
      </w:r>
      <w:r>
        <w:rPr>
          <w:rFonts w:ascii="Times New Roman" w:hAnsi="Times New Roman"/>
          <w:b w:val="false"/>
          <w:sz w:val="20"/>
        </w:rPr>
        <w:t>million, which was recognized as a discount on the Convertible Notes with an offsetting increase to Partners’ capital. The BCF discount was amortized to interest expense using the effective interest method based on the Maturity Date.</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Certain of the persons who held Convertible Notes (each herein referred to as a “Holder”) are partners. Refer to Note 17 – Related Party Transactions for further information.</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 December 2020, the Company entered into letter agreements (the “2020 Letter Agreements”) with all Holders, which amended and restated any existing letter agreements, pursuant to which all of the holders (the “Redeeming Holders”) agreed to collectively tender for redemption $150.0</w:t>
      </w:r>
      <w:r>
        <w:rPr>
          <w:rFonts w:ascii="Times New Roman" w:hAnsi="Times New Roman"/>
          <w:sz w:val="20"/>
        </w:rPr>
        <w:t xml:space="preserve"> </w:t>
      </w:r>
      <w:r>
        <w:rPr>
          <w:rFonts w:ascii="Times New Roman" w:hAnsi="Times New Roman"/>
          <w:b w:val="false"/>
          <w:sz w:val="20"/>
        </w:rPr>
        <w:t>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Upon consummation of the Business Combination, the Company redeemed the Convertible Notes for $161.6</w:t>
      </w:r>
      <w:r>
        <w:rPr>
          <w:rFonts w:ascii="Times New Roman" w:hAnsi="Times New Roman"/>
          <w:sz w:val="20"/>
        </w:rPr>
        <w:t xml:space="preserve"> </w:t>
      </w:r>
      <w:r>
        <w:rPr>
          <w:rFonts w:ascii="Times New Roman" w:hAnsi="Times New Roman"/>
          <w:b w:val="false"/>
          <w:sz w:val="20"/>
        </w:rPr>
        <w:t>million, which included the total outstanding $150.0</w:t>
      </w:r>
      <w:r>
        <w:rPr>
          <w:rFonts w:ascii="Times New Roman" w:hAnsi="Times New Roman"/>
          <w:sz w:val="20"/>
        </w:rPr>
        <w:t xml:space="preserve"> </w:t>
      </w:r>
      <w:r>
        <w:rPr>
          <w:rFonts w:ascii="Times New Roman" w:hAnsi="Times New Roman"/>
          <w:b w:val="false"/>
          <w:sz w:val="20"/>
        </w:rPr>
        <w:t>million aggregate principal, an applicable premium for Redeeming Holders owning at least $5.0</w:t>
      </w:r>
      <w:r>
        <w:rPr>
          <w:rFonts w:ascii="Times New Roman" w:hAnsi="Times New Roman"/>
          <w:sz w:val="20"/>
        </w:rPr>
        <w:t xml:space="preserve"> </w:t>
      </w:r>
      <w:r>
        <w:rPr>
          <w:rFonts w:ascii="Times New Roman" w:hAnsi="Times New Roman"/>
          <w:b w:val="false"/>
          <w:sz w:val="20"/>
        </w:rPr>
        <w:t>million of principal, and accrued and unpaid interest. The Company recognized a $39.4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loss on extinguishment of the Convertible Notes composed of the $10.9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premium and $28.5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unamortized debt discount and issuance costs.</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i/>
          <w:sz w:val="20"/>
        </w:rPr>
        <w:t>Debt Discount and Issuance Costs</w:t>
      </w:r>
      <w:r>
        <w:rPr>
          <w:rFonts w:ascii="Times New Roman" w:hAnsi="Times New Roman"/>
          <w:sz w:val="20"/>
        </w:rPr>
        <w:t xml:space="preserve"> – </w:t>
      </w:r>
      <w:r>
        <w:rPr>
          <w:rFonts w:ascii="Times New Roman" w:hAnsi="Times New Roman"/>
          <w:b w:val="false"/>
          <w:sz w:val="20"/>
        </w:rPr>
        <w:t>A portion of the Convertible Notes was issued at a 5.0% original issue discount in the amount of $5.8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coupled with a 3.0% commitment fee in the amount of $3.5</w:t>
      </w:r>
      <w:r>
        <w:rPr>
          <w:rFonts w:ascii="Times New Roman" w:hAnsi="Times New Roman"/>
          <w:sz w:val="20"/>
        </w:rPr>
        <w:t xml:space="preserve"> </w:t>
      </w:r>
      <w:r>
        <w:rPr>
          <w:rFonts w:ascii="Times New Roman" w:hAnsi="Times New Roman"/>
          <w:b w:val="false"/>
          <w:sz w:val="20"/>
        </w:rPr>
        <w:t>million. In addition to the discount and commitment fees, the Company incurred debt issuance costs of approximately $1.1</w:t>
      </w:r>
      <w:r>
        <w:rPr>
          <w:rFonts w:ascii="Times New Roman" w:hAnsi="Times New Roman"/>
          <w:sz w:val="20"/>
        </w:rPr>
        <w:t xml:space="preserve"> </w:t>
      </w:r>
      <w:r>
        <w:rPr>
          <w:rFonts w:ascii="Times New Roman" w:hAnsi="Times New Roman"/>
          <w:b w:val="false"/>
          <w:sz w:val="20"/>
        </w:rPr>
        <w:t>million. The debt discounts and original issuance costs were amortized using the effective interest method over the term of the Convertible Notes.</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The effective interest rate of the Convertible Notes, considering the cash coupon rate of 7.0% as well as amortization of the BCF discount, debt discount and issuance costs, was 11.95%</w:t>
      </w:r>
      <w:r>
        <w:rPr>
          <w:rFonts w:ascii="Times New Roman" w:hAnsi="Times New Roman"/>
          <w:sz w:val="20"/>
        </w:rPr>
        <w:t xml:space="preserve"> </w:t>
      </w:r>
      <w:r>
        <w:rPr>
          <w:rFonts w:ascii="Times New Roman" w:hAnsi="Times New Roman"/>
          <w:b w:val="false"/>
          <w:sz w:val="20"/>
        </w:rPr>
        <w:t>for each of the three and six months ended June 30, 2021 and 2020. The aggregate interest expense related to the Convertible Notes was $3.3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$6.9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2021, respectively, and $3.5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$7.0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2020, respectively.</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Revolving Credit Facility</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 November 30, 2016, the Company entered into a credit agreement (as amended, the “Credit Agreement”) with Cadence Bank, N.A. (“Cadence Bank”). In December 2018, the Company amended the Credit Agreement to modify a term loan to a revolving credit facility with a line of credit of $50.0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(the “Revolving Credit Facility”). During the six months ended June 30, 2020, the</w:t>
      </w:r>
      <w:r>
        <w:rPr>
          <w:rFonts w:ascii="Times New Roman" w:hAnsi="Times New Roman"/>
          <w:sz w:val="20"/>
        </w:rPr>
        <w:t xml:space="preserve"> </w:t>
      </w:r>
      <w:r>
        <w:rPr>
          <w:rFonts w:ascii="Times New Roman" w:hAnsi="Times New Roman"/>
          <w:b w:val="false"/>
          <w:sz w:val="20"/>
        </w:rPr>
        <w:t>Company made principal payments on the Revolving Credit Facility of $10.0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as well as drawdowns of $22.0</w:t>
      </w:r>
      <w:r>
        <w:rPr>
          <w:rFonts w:ascii="Times New Roman" w:hAnsi="Times New Roman"/>
          <w:sz w:val="20"/>
        </w:rPr>
        <w:t xml:space="preserve"> </w:t>
      </w:r>
      <w:r>
        <w:rPr>
          <w:rFonts w:ascii="Times New Roman" w:hAnsi="Times New Roman"/>
          <w:b w:val="false"/>
          <w:sz w:val="20"/>
        </w:rPr>
        <w:t>million. Applicable only to the period after the Separation and before the Business Combination, the Credit Agreement named PWP Capital Holdings LP as a guarantor of the Revolving Credit Facility and required that financial covenants be determined on a combined basis with the results of both the Company and PWP Capital Holdings LP for the applicable periods ended.</w:t>
      </w:r>
    </w:p>
    <w:p>
      <w:pPr>
        <w:pStyle w:val="TextBody"/>
        <w:spacing w:lineRule="auto" w:line="312" w:before="240" w:after="0"/>
        <w:ind w:left="0" w:right="0" w:hanging="0"/>
        <w:jc w:val="both"/>
        <w:rPr>
          <w:rFonts w:ascii="Times New Roman" w:hAnsi="Times New Roman"/>
          <w:sz w:val="20"/>
        </w:rPr>
      </w:pPr>
      <w:r>
        <w:rPr>
          <w:rFonts w:ascii="Times New Roman" w:hAnsi="Times New Roman"/>
          <w:b w:val="false"/>
          <w:sz w:val="20"/>
        </w:rPr>
        <w:t>Upon consummation of the Business Combination, the Company repaid all of the outstanding borrowings under the Credit Agreement, which included $27.7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w:t>
      </w:r>
      <w:r>
        <w:rPr>
          <w:rFonts w:ascii="Times New Roman" w:hAnsi="Times New Roman"/>
          <w:sz w:val="20"/>
        </w:rPr>
        <w:t xml:space="preserve"> </w:t>
      </w:r>
      <w:r>
        <w:rPr>
          <w:rFonts w:ascii="Times New Roman" w:hAnsi="Times New Roman"/>
          <w:b w:val="false"/>
          <w:sz w:val="20"/>
        </w:rPr>
        <w:t>million of the Revolving Credit Facility may be used for the issuance of letters of credit, (iv) up to $20.0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incremental revolving commitments may be incurred under the Credit Agreement, and (v) certain financial covenants were amended. As of June 30, 2021, the Company had no</w:t>
      </w:r>
      <w:r>
        <w:rPr>
          <w:rFonts w:ascii="Times New Roman" w:hAnsi="Times New Roman"/>
          <w:sz w:val="20"/>
        </w:rPr>
        <w:t xml:space="preserve"> </w:t>
      </w:r>
      <w:r>
        <w:rPr>
          <w:rFonts w:ascii="Times New Roman" w:hAnsi="Times New Roman"/>
          <w:b w:val="false"/>
          <w:sz w:val="20"/>
        </w:rPr>
        <w:t>outstanding balance related to the Revolving Credit Facility and no incremental revolving commitments were incurred.</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sz w:val="20"/>
        </w:rPr>
      </w:pPr>
      <w:r>
        <w:rPr>
          <w:rFonts w:ascii="Times New Roman" w:hAnsi="Times New Roman"/>
          <w:b w:val="false"/>
          <w:sz w:val="20"/>
        </w:rPr>
        <w:t>For the applicable periods prior to the Closing Date, the weighted average interest rate for the Revolving Credit Facility was 2.60%</w:t>
      </w:r>
      <w:r>
        <w:rPr>
          <w:rFonts w:ascii="Times New Roman" w:hAnsi="Times New Roman"/>
          <w:sz w:val="20"/>
        </w:rPr>
        <w:t xml:space="preserve"> </w:t>
      </w:r>
      <w:r>
        <w:rPr>
          <w:rFonts w:ascii="Times New Roman" w:hAnsi="Times New Roman"/>
          <w:b w:val="false"/>
          <w:sz w:val="20"/>
        </w:rPr>
        <w:t>and 2.62%</w:t>
      </w:r>
      <w:r>
        <w:rPr>
          <w:rFonts w:ascii="Times New Roman" w:hAnsi="Times New Roman"/>
          <w:sz w:val="20"/>
        </w:rPr>
        <w:t xml:space="preserve"> </w:t>
      </w:r>
      <w:r>
        <w:rPr>
          <w:rFonts w:ascii="Times New Roman" w:hAnsi="Times New Roman"/>
          <w:b w:val="false"/>
          <w:sz w:val="20"/>
        </w:rPr>
        <w:t>for the three and six months ended June 30, 2021, respectively, and 3.06%</w:t>
      </w:r>
      <w:r>
        <w:rPr>
          <w:rFonts w:ascii="Times New Roman" w:hAnsi="Times New Roman"/>
          <w:sz w:val="20"/>
        </w:rPr>
        <w:t xml:space="preserve"> </w:t>
      </w:r>
      <w:r>
        <w:rPr>
          <w:rFonts w:ascii="Times New Roman" w:hAnsi="Times New Roman"/>
          <w:b w:val="false"/>
          <w:sz w:val="20"/>
        </w:rPr>
        <w:t>and 3.26%</w:t>
      </w:r>
      <w:r>
        <w:rPr>
          <w:rFonts w:ascii="Times New Roman" w:hAnsi="Times New Roman"/>
          <w:sz w:val="20"/>
        </w:rPr>
        <w:t xml:space="preserve"> </w:t>
      </w:r>
      <w:r>
        <w:rPr>
          <w:rFonts w:ascii="Times New Roman" w:hAnsi="Times New Roman"/>
          <w:b w:val="false"/>
          <w:sz w:val="20"/>
        </w:rPr>
        <w:t>for the three and six months ended June 30, 2020, respectively.</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i/>
          <w:sz w:val="20"/>
        </w:rPr>
        <w:t>Debt Issuance Costs</w:t>
      </w:r>
      <w:r>
        <w:rPr>
          <w:rFonts w:ascii="Times New Roman" w:hAnsi="Times New Roman"/>
          <w:sz w:val="20"/>
        </w:rPr>
        <w:t xml:space="preserve"> – </w:t>
      </w:r>
      <w:r>
        <w:rPr>
          <w:rFonts w:ascii="Times New Roman" w:hAnsi="Times New Roman"/>
          <w:b w:val="false"/>
          <w:sz w:val="20"/>
        </w:rPr>
        <w:t>Prior to the Business Combination, the Company incurred $1.8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in issuance costs related to the Credit Agreement, which were amortized to Interest expense using the effective interest method over the life of the Revolving Credit Facility. For the applicable periods prior to the Business Combination, the effective interest rate of the Revolving Credit Facility, taking into account these issuance costs, was 3.71%</w:t>
      </w:r>
      <w:r>
        <w:rPr>
          <w:rFonts w:ascii="Times New Roman" w:hAnsi="Times New Roman"/>
          <w:sz w:val="20"/>
        </w:rPr>
        <w:t xml:space="preserve"> </w:t>
      </w:r>
      <w:r>
        <w:rPr>
          <w:rFonts w:ascii="Times New Roman" w:hAnsi="Times New Roman"/>
          <w:b w:val="false"/>
          <w:sz w:val="20"/>
        </w:rPr>
        <w:t>and 3.73%</w:t>
      </w:r>
      <w:r>
        <w:rPr>
          <w:rFonts w:ascii="Times New Roman" w:hAnsi="Times New Roman"/>
          <w:sz w:val="20"/>
        </w:rPr>
        <w:t xml:space="preserve"> </w:t>
      </w:r>
      <w:r>
        <w:rPr>
          <w:rFonts w:ascii="Times New Roman" w:hAnsi="Times New Roman"/>
          <w:b w:val="false"/>
          <w:sz w:val="20"/>
        </w:rPr>
        <w:t>for the three and six months ended June 30, 2021, respectively, and 3.80%</w:t>
      </w:r>
      <w:r>
        <w:rPr>
          <w:rFonts w:ascii="Times New Roman" w:hAnsi="Times New Roman"/>
          <w:sz w:val="20"/>
        </w:rPr>
        <w:t xml:space="preserve"> </w:t>
      </w:r>
      <w:r>
        <w:rPr>
          <w:rFonts w:ascii="Times New Roman" w:hAnsi="Times New Roman"/>
          <w:b w:val="false"/>
          <w:sz w:val="20"/>
        </w:rPr>
        <w:t>and 4.07%</w:t>
      </w:r>
      <w:r>
        <w:rPr>
          <w:rFonts w:ascii="Times New Roman" w:hAnsi="Times New Roman"/>
          <w:sz w:val="20"/>
        </w:rPr>
        <w:t xml:space="preserve"> </w:t>
      </w:r>
      <w:r>
        <w:rPr>
          <w:rFonts w:ascii="Times New Roman" w:hAnsi="Times New Roman"/>
          <w:b w:val="false"/>
          <w:sz w:val="20"/>
        </w:rPr>
        <w:t>for the three and six months ended June 30, 2020, respectively. The amendments described above were accounted for as modifications as opposed to a debt extinguishment in accordance with U.S. GAAP. As such, the unamortized original debt issuance costs as well as the additional $0.4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in fees incurred to amend the facility are being amortized using the effective interest method to Interest expense over the amended remaining term of the Revolving Credit Facility. Interest expense related to the Revolving Credit Facility was $0.3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$0.6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2021, respectively, and $0.5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2020, respectively.</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336"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jc w:val="both"/>
        <w:rPr/>
      </w:pPr>
      <w:r>
        <w:rPr/>
        <w:t> </w:t>
      </w:r>
    </w:p>
    <w:p>
      <w:pPr>
        <w:pStyle w:val="TextBody"/>
        <w:spacing w:lineRule="auto" w:line="312" w:before="240" w:after="0"/>
        <w:jc w:val="both"/>
        <w:rPr>
          <w:rFonts w:ascii="Times New Roman" w:hAnsi="Times New Roman"/>
          <w:b/>
          <w:sz w:val="20"/>
        </w:rPr>
      </w:pPr>
      <w:r>
        <w:rPr>
          <w:rFonts w:ascii="Times New Roman" w:hAnsi="Times New Roman"/>
          <w:b/>
          <w:sz w:val="20"/>
        </w:rPr>
        <w:t>Note 11 – Stockholders’ Equity</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Subsequent to the Business Combination as described in Note 3 – Business Combination, the Company’s authorized capital stock consists of 2,200,000,000</w:t>
      </w:r>
      <w:r>
        <w:rPr>
          <w:rFonts w:ascii="Times New Roman" w:hAnsi="Times New Roman"/>
          <w:sz w:val="20"/>
        </w:rPr>
        <w:t xml:space="preserve"> </w:t>
      </w:r>
      <w:r>
        <w:rPr>
          <w:rFonts w:ascii="Times New Roman" w:hAnsi="Times New Roman"/>
          <w:b w:val="false"/>
          <w:sz w:val="20"/>
        </w:rPr>
        <w:t>shares including (i) 1,500,000,000</w:t>
      </w:r>
      <w:r>
        <w:rPr>
          <w:rFonts w:ascii="Times New Roman" w:hAnsi="Times New Roman"/>
          <w:sz w:val="20"/>
        </w:rPr>
        <w:t xml:space="preserve"> </w:t>
      </w:r>
      <w:r>
        <w:rPr>
          <w:rFonts w:ascii="Times New Roman" w:hAnsi="Times New Roman"/>
          <w:b w:val="false"/>
          <w:sz w:val="20"/>
        </w:rPr>
        <w:t>shares of Class A common stock, par value $0.0001</w:t>
      </w:r>
      <w:r>
        <w:rPr>
          <w:rFonts w:ascii="Times New Roman" w:hAnsi="Times New Roman"/>
          <w:sz w:val="20"/>
        </w:rPr>
        <w:t xml:space="preserve"> </w:t>
      </w:r>
      <w:r>
        <w:rPr>
          <w:rFonts w:ascii="Times New Roman" w:hAnsi="Times New Roman"/>
          <w:b w:val="false"/>
          <w:sz w:val="20"/>
        </w:rPr>
        <w:t>per share (the “Class A common stock”), (ii) 300,000,000</w:t>
      </w:r>
      <w:r>
        <w:rPr>
          <w:rFonts w:ascii="Times New Roman" w:hAnsi="Times New Roman"/>
          <w:sz w:val="20"/>
        </w:rPr>
        <w:t xml:space="preserve"> </w:t>
      </w:r>
      <w:r>
        <w:rPr>
          <w:rFonts w:ascii="Times New Roman" w:hAnsi="Times New Roman"/>
          <w:b w:val="false"/>
          <w:sz w:val="20"/>
        </w:rPr>
        <w:t>shares of Class B-1 common stock, par value $0.0001</w:t>
      </w:r>
      <w:r>
        <w:rPr>
          <w:rFonts w:ascii="Times New Roman" w:hAnsi="Times New Roman"/>
          <w:sz w:val="20"/>
        </w:rPr>
        <w:t xml:space="preserve"> </w:t>
      </w:r>
      <w:r>
        <w:rPr>
          <w:rFonts w:ascii="Times New Roman" w:hAnsi="Times New Roman"/>
          <w:b w:val="false"/>
          <w:sz w:val="20"/>
        </w:rPr>
        <w:t>per share (the “Class B-1 common stock”), and (iii) 300,000,000</w:t>
      </w:r>
      <w:r>
        <w:rPr>
          <w:rFonts w:ascii="Times New Roman" w:hAnsi="Times New Roman"/>
          <w:sz w:val="20"/>
        </w:rPr>
        <w:t xml:space="preserve"> </w:t>
      </w:r>
      <w:r>
        <w:rPr>
          <w:rFonts w:ascii="Times New Roman" w:hAnsi="Times New Roman"/>
          <w:b w:val="false"/>
          <w:sz w:val="20"/>
        </w:rPr>
        <w:t>shares of Class B-2 common stock, par value $0.0001</w:t>
      </w:r>
      <w:r>
        <w:rPr>
          <w:rFonts w:ascii="Times New Roman" w:hAnsi="Times New Roman"/>
          <w:sz w:val="20"/>
        </w:rPr>
        <w:t xml:space="preserve"> </w:t>
      </w:r>
      <w:r>
        <w:rPr>
          <w:rFonts w:ascii="Times New Roman" w:hAnsi="Times New Roman"/>
          <w:b w:val="false"/>
          <w:sz w:val="20"/>
        </w:rPr>
        <w:t>per share (the “Class B-2 common stock” and together with the Class B-1 common stock, the “Class B common stock”), and (b) 100,000,000</w:t>
      </w:r>
      <w:r>
        <w:rPr>
          <w:rFonts w:ascii="Times New Roman" w:hAnsi="Times New Roman"/>
          <w:sz w:val="20"/>
        </w:rPr>
        <w:t xml:space="preserve"> </w:t>
      </w:r>
      <w:r>
        <w:rPr>
          <w:rFonts w:ascii="Times New Roman" w:hAnsi="Times New Roman"/>
          <w:b w:val="false"/>
          <w:sz w:val="20"/>
        </w:rPr>
        <w:t>shares of preferred stock, par value $0.0001</w:t>
      </w:r>
      <w:r>
        <w:rPr>
          <w:rFonts w:ascii="Times New Roman" w:hAnsi="Times New Roman"/>
          <w:sz w:val="20"/>
        </w:rPr>
        <w:t xml:space="preserve"> </w:t>
      </w:r>
      <w:r>
        <w:rPr>
          <w:rFonts w:ascii="Times New Roman" w:hAnsi="Times New Roman"/>
          <w:b w:val="false"/>
          <w:sz w:val="20"/>
        </w:rPr>
        <w:t>per share (the “Preferred Stock”).</w:t>
      </w:r>
      <w:r>
        <w:rPr>
          <w:rFonts w:ascii="Times New Roman" w:hAnsi="Times New Roman"/>
          <w:sz w:val="20"/>
        </w:rPr>
        <w:t xml:space="preserve"> </w:t>
      </w:r>
      <w:r>
        <w:rPr>
          <w:rFonts w:ascii="Times New Roman" w:hAnsi="Times New Roman"/>
          <w:b w:val="false"/>
          <w:sz w:val="20"/>
        </w:rPr>
        <w:t xml:space="preserve">Holders of Class A common stock and Class B common stock vote together as a single class on all matters submitted to the stockholders for their vote or approval, except as required by applicable law. </w:t>
      </w:r>
      <w:r>
        <w:rPr>
          <w:rFonts w:ascii="Times New Roman" w:hAnsi="Times New Roman"/>
          <w:b/>
          <w:sz w:val="20"/>
        </w:rPr>
        <w:t>S</w:t>
      </w:r>
      <w:r>
        <w:rPr>
          <w:rFonts w:ascii="Times New Roman" w:hAnsi="Times New Roman"/>
          <w:b w:val="false"/>
          <w:sz w:val="20"/>
        </w:rPr>
        <w:t>hares of Class A common stock and Class B common stock are not subject to any conversion right and holders of the Class A common stock and Class B common stock do not have preemptive or subscription rights. Additionally, the Company has 7,870,000</w:t>
      </w:r>
      <w:r>
        <w:rPr>
          <w:rFonts w:ascii="Times New Roman" w:hAnsi="Times New Roman"/>
          <w:sz w:val="20"/>
        </w:rPr>
        <w:t xml:space="preserve"> </w:t>
      </w:r>
      <w:r>
        <w:rPr>
          <w:rFonts w:ascii="Times New Roman" w:hAnsi="Times New Roman"/>
          <w:b w:val="false"/>
          <w:sz w:val="20"/>
        </w:rPr>
        <w:t>warrants outstanding as of June 30, 2021. See Note 12 – Warrants for additional information.</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Class A Common Stock</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Holders of Class A common stock are entitled to one vote for each share on all matters submitted to the stockholders for their vote or approval.</w:t>
      </w:r>
      <w:r>
        <w:rPr>
          <w:rFonts w:ascii="Times New Roman" w:hAnsi="Times New Roman"/>
          <w:sz w:val="20"/>
        </w:rPr>
        <w:t xml:space="preserve"> </w:t>
      </w:r>
      <w:r>
        <w:rPr>
          <w:rFonts w:ascii="Times New Roman" w:hAnsi="Times New Roman"/>
          <w:b w:val="false"/>
          <w:sz w:val="20"/>
        </w:rPr>
        <w:t>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Class B Common Stock</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pStyle w:val="TextBody"/>
        <w:pBdr/>
        <w:spacing w:lineRule="auto" w:line="312" w:before="240" w:after="0"/>
        <w:ind w:left="0" w:right="0" w:hanging="245"/>
        <w:jc w:val="both"/>
        <w:rPr>
          <w:rFonts w:ascii="Times New Roman" w:hAnsi="Times New Roman"/>
          <w:b/>
          <w:i/>
          <w:sz w:val="20"/>
        </w:rPr>
      </w:pPr>
      <w:r>
        <w:rPr>
          <w:rFonts w:ascii="Times New Roman" w:hAnsi="Times New Roman"/>
          <w:b/>
          <w:i/>
          <w:sz w:val="20"/>
        </w:rPr>
        <w:t>Preferred Stock</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pBdr/>
        <w:spacing w:lineRule="auto" w:line="312" w:before="240" w:after="0"/>
        <w:ind w:left="0" w:right="0" w:hanging="245"/>
        <w:jc w:val="both"/>
        <w:rPr>
          <w:rFonts w:ascii="Times New Roman" w:hAnsi="Times New Roman"/>
          <w:b/>
          <w:i/>
          <w:sz w:val="20"/>
        </w:rPr>
      </w:pPr>
      <w:r>
        <w:rPr>
          <w:rFonts w:ascii="Times New Roman" w:hAnsi="Times New Roman"/>
          <w:b/>
          <w:i/>
          <w:sz w:val="20"/>
        </w:rPr>
        <w:t>Rights upon Liquidation</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Non-Controlling Interests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Non-controlling interests represents the ownership interests in PWP OpCo held by holders other than Perella Weinberg Partners. Professional Partners and the ILPs own 50,154,199</w:t>
      </w:r>
      <w:r>
        <w:rPr>
          <w:rFonts w:ascii="Times New Roman" w:hAnsi="Times New Roman"/>
          <w:sz w:val="20"/>
        </w:rPr>
        <w:t xml:space="preserve"> </w:t>
      </w:r>
      <w:r>
        <w:rPr>
          <w:rFonts w:ascii="Times New Roman" w:hAnsi="Times New Roman"/>
          <w:b w:val="false"/>
          <w:sz w:val="20"/>
        </w:rPr>
        <w:t>PWP OpCo Units at the Closing and as of June 30, 2021, which represent a 53.87%</w:t>
      </w:r>
      <w:r>
        <w:rPr>
          <w:rFonts w:ascii="Times New Roman" w:hAnsi="Times New Roman"/>
          <w:sz w:val="20"/>
        </w:rPr>
        <w:t xml:space="preserve"> </w:t>
      </w:r>
      <w:r>
        <w:rPr>
          <w:rFonts w:ascii="Times New Roman" w:hAnsi="Times New Roman"/>
          <w:b w:val="false"/>
          <w:sz w:val="20"/>
        </w:rPr>
        <w:t>non-controlling ownership interest in PWP OpCo. These PWP OpCo Units are exchangeable into PWP Class A common stock on a one-for-one basis. Class B-1 and Class B-2 common stock have de minimis economic rights.</w:t>
      </w:r>
    </w:p>
    <w:p>
      <w:pPr>
        <w:pStyle w:val="TextBody"/>
        <w:pBdr/>
        <w:spacing w:lineRule="auto" w:line="312" w:before="240" w:after="0"/>
        <w:ind w:left="0" w:right="0" w:hanging="245"/>
        <w:jc w:val="both"/>
        <w:rPr>
          <w:rFonts w:ascii="Times New Roman" w:hAnsi="Times New Roman"/>
          <w:sz w:val="20"/>
        </w:rPr>
      </w:pPr>
      <w:r>
        <w:rPr>
          <w:rFonts w:ascii="Times New Roman" w:hAnsi="Times New Roman"/>
          <w:b/>
          <w:i/>
          <w:sz w:val="20"/>
        </w:rPr>
        <w:t>Registration Rights Agreement</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pStyle w:val="TextBody"/>
        <w:pBdr/>
        <w:spacing w:lineRule="auto" w:line="312" w:before="240" w:after="0"/>
        <w:ind w:left="0" w:right="0" w:hanging="245"/>
        <w:jc w:val="both"/>
        <w:rPr>
          <w:rFonts w:ascii="Times New Roman" w:hAnsi="Times New Roman"/>
          <w:b/>
          <w:i/>
          <w:sz w:val="20"/>
        </w:rPr>
      </w:pPr>
      <w:r>
        <w:rPr>
          <w:rFonts w:ascii="Times New Roman" w:hAnsi="Times New Roman"/>
          <w:b/>
          <w:i/>
          <w:sz w:val="20"/>
        </w:rPr>
        <w:t>Sponsor Share Surrender and Share Restriction Agreement</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w:t>
      </w:r>
      <w:r>
        <w:rPr>
          <w:rFonts w:ascii="Times New Roman" w:hAnsi="Times New Roman"/>
          <w:sz w:val="20"/>
        </w:rPr>
        <w:t xml:space="preserve"> </w:t>
      </w:r>
      <w:r>
        <w:rPr>
          <w:rFonts w:ascii="Times New Roman" w:hAnsi="Times New Roman"/>
          <w:b w:val="false"/>
          <w:sz w:val="20"/>
        </w:rPr>
        <w:t>per share or $15.00</w:t>
      </w:r>
      <w:r>
        <w:rPr>
          <w:rFonts w:ascii="Times New Roman" w:hAnsi="Times New Roman"/>
          <w:sz w:val="20"/>
        </w:rPr>
        <w:t xml:space="preserve"> </w:t>
      </w:r>
      <w:r>
        <w:rPr>
          <w:rFonts w:ascii="Times New Roman" w:hAnsi="Times New Roman"/>
          <w:b w:val="false"/>
          <w:sz w:val="20"/>
        </w:rPr>
        <w:t>per share for any 20</w:t>
      </w:r>
      <w:r>
        <w:rPr>
          <w:rFonts w:ascii="Times New Roman" w:hAnsi="Times New Roman"/>
          <w:sz w:val="20"/>
        </w:rPr>
        <w:t xml:space="preserve"> </w:t>
      </w:r>
      <w:r>
        <w:rPr>
          <w:rFonts w:ascii="Times New Roman" w:hAnsi="Times New Roman"/>
          <w:b w:val="false"/>
          <w:sz w:val="20"/>
        </w:rPr>
        <w:t>trading days out of 30</w:t>
      </w:r>
      <w:r>
        <w:rPr>
          <w:rFonts w:ascii="Times New Roman" w:hAnsi="Times New Roman"/>
          <w:sz w:val="20"/>
        </w:rPr>
        <w:t xml:space="preserve"> </w:t>
      </w:r>
      <w:r>
        <w:rPr>
          <w:rFonts w:ascii="Times New Roman" w:hAnsi="Times New Roman"/>
          <w:b w:val="false"/>
          <w:sz w:val="20"/>
        </w:rPr>
        <w:t>consecutive trading days (each a “Trigger Date”), then, during the 15</w:t>
      </w:r>
      <w:r>
        <w:rPr>
          <w:rFonts w:ascii="Times New Roman" w:hAnsi="Times New Roman"/>
          <w:sz w:val="20"/>
        </w:rPr>
        <w:t xml:space="preserve"> </w:t>
      </w:r>
      <w:r>
        <w:rPr>
          <w:rFonts w:ascii="Times New Roman" w:hAnsi="Times New Roman"/>
          <w:b w:val="false"/>
          <w:sz w:val="20"/>
        </w:rPr>
        <w:t>day period following such Trigger Date, the Company shall have the right to purchase from the Sponsor up to an aggregate of 1,000,000</w:t>
      </w:r>
      <w:r>
        <w:rPr>
          <w:rFonts w:ascii="Times New Roman" w:hAnsi="Times New Roman"/>
          <w:sz w:val="20"/>
        </w:rPr>
        <w:t xml:space="preserve"> </w:t>
      </w:r>
      <w:r>
        <w:rPr>
          <w:rFonts w:ascii="Times New Roman" w:hAnsi="Times New Roman"/>
          <w:b w:val="false"/>
          <w:sz w:val="20"/>
        </w:rPr>
        <w:t>founder shares per Trigger Date for a purchase price of $12.00</w:t>
      </w:r>
      <w:r>
        <w:rPr>
          <w:rFonts w:ascii="Times New Roman" w:hAnsi="Times New Roman"/>
          <w:sz w:val="20"/>
        </w:rPr>
        <w:t xml:space="preserve"> </w:t>
      </w:r>
      <w:r>
        <w:rPr>
          <w:rFonts w:ascii="Times New Roman" w:hAnsi="Times New Roman"/>
          <w:b w:val="false"/>
          <w:sz w:val="20"/>
        </w:rPr>
        <w:t>per share or $15.00</w:t>
      </w:r>
      <w:r>
        <w:rPr>
          <w:rFonts w:ascii="Times New Roman" w:hAnsi="Times New Roman"/>
          <w:sz w:val="20"/>
        </w:rPr>
        <w:t xml:space="preserve"> </w:t>
      </w:r>
      <w:r>
        <w:rPr>
          <w:rFonts w:ascii="Times New Roman" w:hAnsi="Times New Roman"/>
          <w:b w:val="false"/>
          <w:sz w:val="20"/>
        </w:rPr>
        <w:t>per share, respectively, by providing written notice of such repurchase election to the Sponsor.</w:t>
      </w:r>
      <w:r>
        <w:rPr>
          <w:rFonts w:ascii="Times New Roman" w:hAnsi="Times New Roman"/>
          <w:sz w:val="20"/>
        </w:rPr>
        <w:t xml:space="preserve"> </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Stockholder Agreement</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In addition, for so long as the 10% Condition is met, the Board may not approve, absent the prior consent of Professional Partners, a number of ordinary course operating activities in respect of the Company, PWP OpCo and PWP OpCo’s subsidiaries.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pStyle w:val="TextBody"/>
        <w:pBdr/>
        <w:spacing w:lineRule="auto" w:line="312" w:before="240" w:after="0"/>
        <w:ind w:left="0" w:right="0" w:hanging="245"/>
        <w:jc w:val="both"/>
        <w:rPr>
          <w:rFonts w:ascii="Times New Roman" w:hAnsi="Times New Roman"/>
          <w:b/>
          <w:i/>
          <w:sz w:val="20"/>
        </w:rPr>
      </w:pPr>
      <w:r>
        <w:rPr>
          <w:rFonts w:ascii="Times New Roman" w:hAnsi="Times New Roman"/>
          <w:b/>
          <w:i/>
          <w:sz w:val="20"/>
        </w:rPr>
        <w:t>PWP OpCo Limited Partnership Agreement</w:t>
      </w:r>
    </w:p>
    <w:p>
      <w:pPr>
        <w:pStyle w:val="TextBody"/>
        <w:pBdr/>
        <w:spacing w:lineRule="auto" w:line="312" w:before="240" w:after="0"/>
        <w:ind w:left="0" w:right="0" w:hanging="245"/>
        <w:jc w:val="both"/>
        <w:rPr>
          <w:rFonts w:ascii="Times New Roman" w:hAnsi="Times New Roman"/>
          <w:b w:val="false"/>
          <w:i/>
          <w:sz w:val="20"/>
        </w:rPr>
      </w:pPr>
      <w:r>
        <w:rPr>
          <w:rFonts w:ascii="Times New Roman" w:hAnsi="Times New Roman"/>
          <w:b w:val="false"/>
          <w:i/>
          <w:sz w:val="20"/>
        </w:rPr>
        <w:t>Governance and Voting and Economic Rights</w:t>
      </w:r>
    </w:p>
    <w:p>
      <w:pPr>
        <w:pStyle w:val="TextBody"/>
        <w:spacing w:lineRule="auto" w:line="312" w:before="240" w:after="0"/>
        <w:ind w:left="0" w:right="0" w:firstLine="518"/>
        <w:jc w:val="both"/>
        <w:rPr>
          <w:rFonts w:ascii="Times New Roman" w:hAnsi="Times New Roman"/>
          <w:sz w:val="20"/>
        </w:rPr>
      </w:pPr>
      <w:r>
        <w:rPr>
          <w:rFonts w:ascii="Times New Roman" w:hAnsi="Times New Roman"/>
          <w:b w:val="false"/>
          <w:sz w:val="20"/>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r>
        <w:rPr>
          <w:rFonts w:ascii="Times New Roman" w:hAnsi="Times New Roman"/>
          <w:sz w:val="20"/>
        </w:rPr>
        <w:t xml:space="preserve"> </w:t>
      </w:r>
    </w:p>
    <w:p>
      <w:pPr>
        <w:pStyle w:val="TextBody"/>
        <w:spacing w:lineRule="auto" w:line="312" w:before="240" w:after="0"/>
        <w:ind w:left="0" w:right="0" w:firstLine="518"/>
        <w:jc w:val="both"/>
        <w:rPr>
          <w:rFonts w:ascii="Times New Roman" w:hAnsi="Times New Roman"/>
          <w:b w:val="false"/>
          <w:sz w:val="20"/>
        </w:rPr>
      </w:pPr>
      <w:r>
        <w:rPr>
          <w:rFonts w:ascii="Times New Roman" w:hAnsi="Times New Roman"/>
          <w:b w:val="false"/>
          <w:sz w:val="20"/>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pBdr/>
        <w:spacing w:lineRule="auto" w:line="312" w:before="240" w:after="0"/>
        <w:ind w:left="0" w:right="0" w:hanging="245"/>
        <w:jc w:val="both"/>
        <w:rPr>
          <w:rFonts w:ascii="Times New Roman" w:hAnsi="Times New Roman"/>
          <w:b w:val="false"/>
          <w:i/>
          <w:sz w:val="20"/>
        </w:rPr>
      </w:pPr>
      <w:r>
        <w:rPr>
          <w:rFonts w:ascii="Times New Roman" w:hAnsi="Times New Roman"/>
          <w:b w:val="false"/>
          <w:i/>
          <w:sz w:val="20"/>
        </w:rPr>
        <w:t>Exchange Rights</w:t>
      </w:r>
    </w:p>
    <w:p>
      <w:pPr>
        <w:pStyle w:val="TextBody"/>
        <w:spacing w:lineRule="auto" w:line="312" w:before="240" w:after="0"/>
        <w:ind w:left="0" w:right="0" w:firstLine="518"/>
        <w:jc w:val="both"/>
        <w:rPr>
          <w:rFonts w:ascii="Times New Roman" w:hAnsi="Times New Roman"/>
          <w:b w:val="false"/>
          <w:sz w:val="20"/>
        </w:rPr>
      </w:pPr>
      <w:r>
        <w:rPr>
          <w:rFonts w:ascii="Times New Roman" w:hAnsi="Times New Roman"/>
          <w:b w:val="false"/>
          <w:sz w:val="20"/>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pStyle w:val="TextBody"/>
        <w:spacing w:lineRule="auto" w:line="312" w:before="240" w:after="0"/>
        <w:ind w:left="0" w:right="0" w:firstLine="518"/>
        <w:jc w:val="both"/>
        <w:rPr>
          <w:rFonts w:ascii="Times New Roman" w:hAnsi="Times New Roman"/>
          <w:sz w:val="20"/>
        </w:rPr>
      </w:pPr>
      <w:r>
        <w:rPr>
          <w:rFonts w:ascii="Times New Roman" w:hAnsi="Times New Roman"/>
          <w:b w:val="false"/>
          <w:sz w:val="20"/>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w:t>
      </w:r>
      <w:r>
        <w:rPr>
          <w:rFonts w:ascii="Times New Roman" w:hAnsi="Times New Roman"/>
          <w:sz w:val="20"/>
        </w:rPr>
        <w:t xml:space="preserve"> </w:t>
      </w:r>
      <w:r>
        <w:rPr>
          <w:rFonts w:ascii="Times New Roman" w:hAnsi="Times New Roman"/>
          <w:b w:val="false"/>
          <w:sz w:val="20"/>
        </w:rPr>
        <w:t>days after Closing; and (b) for working partners, will be between three</w:t>
      </w:r>
      <w:r>
        <w:rPr>
          <w:rFonts w:ascii="Times New Roman" w:hAnsi="Times New Roman"/>
          <w:sz w:val="20"/>
        </w:rPr>
        <w:t xml:space="preserve"> </w:t>
      </w:r>
      <w:r>
        <w:rPr>
          <w:rFonts w:ascii="Times New Roman" w:hAnsi="Times New Roman"/>
          <w:b w:val="false"/>
          <w:sz w:val="20"/>
        </w:rPr>
        <w:t>to five years</w:t>
      </w:r>
      <w:r>
        <w:rPr>
          <w:rFonts w:ascii="Times New Roman" w:hAnsi="Times New Roman"/>
          <w:sz w:val="20"/>
        </w:rPr>
        <w:t xml:space="preserve"> </w:t>
      </w:r>
      <w:r>
        <w:rPr>
          <w:rFonts w:ascii="Times New Roman" w:hAnsi="Times New Roman"/>
          <w:b w:val="false"/>
          <w:sz w:val="20"/>
        </w:rPr>
        <w:t>after the Closing), (ii) PWP OpCo Units held by ILPs existing at the time of the Business Combination will be subject to such restriction for 180 days</w:t>
      </w:r>
      <w:r>
        <w:rPr>
          <w:rFonts w:ascii="Times New Roman" w:hAnsi="Times New Roman"/>
          <w:sz w:val="20"/>
        </w:rPr>
        <w:t xml:space="preserve"> </w:t>
      </w:r>
      <w:r>
        <w:rPr>
          <w:rFonts w:ascii="Times New Roman" w:hAnsi="Times New Roman"/>
          <w:b w:val="false"/>
          <w:sz w:val="20"/>
        </w:rPr>
        <w:t>after the Closing, and (iii) any other outstanding PWP OpCo Units not previously covered by clauses (i) and (ii) above will be subject to such restriction for a period of twelve months</w:t>
      </w:r>
      <w:r>
        <w:rPr>
          <w:rFonts w:ascii="Times New Roman" w:hAnsi="Times New Roman"/>
          <w:sz w:val="20"/>
        </w:rPr>
        <w:t xml:space="preserve"> </w:t>
      </w:r>
      <w:r>
        <w:rPr>
          <w:rFonts w:ascii="Times New Roman" w:hAnsi="Times New Roman"/>
          <w:b w:val="false"/>
          <w:sz w:val="20"/>
        </w:rPr>
        <w:t>following the date on which such PWP OpCo Units were acquired. PWP GP may waive the foregoing restrictions for any holder with respect to all or a portion of such holder’s units, with no obligation to do so for any other holder.</w:t>
      </w:r>
    </w:p>
    <w:p>
      <w:pPr>
        <w:pStyle w:val="TextBody"/>
        <w:spacing w:lineRule="auto" w:line="312" w:before="240" w:after="0"/>
        <w:jc w:val="both"/>
        <w:rPr>
          <w:rFonts w:ascii="Times New Roman" w:hAnsi="Times New Roman"/>
          <w:b/>
          <w:sz w:val="20"/>
        </w:rPr>
      </w:pPr>
      <w:r>
        <w:rPr>
          <w:rFonts w:ascii="Times New Roman" w:hAnsi="Times New Roman"/>
          <w:b/>
          <w:sz w:val="20"/>
        </w:rPr>
        <w:t>Note 12 – Warrants</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Public Warrants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Each public warrant entitles the registered holder to purchase one</w:t>
      </w:r>
      <w:r>
        <w:rPr>
          <w:rFonts w:ascii="Times New Roman" w:hAnsi="Times New Roman"/>
          <w:sz w:val="20"/>
        </w:rPr>
        <w:t> </w:t>
      </w:r>
      <w:r>
        <w:rPr>
          <w:rFonts w:ascii="Times New Roman" w:hAnsi="Times New Roman"/>
          <w:b w:val="false"/>
          <w:sz w:val="20"/>
        </w:rPr>
        <w:t>share of Class A common stock at an exercise price of $11.50</w:t>
      </w:r>
      <w:r>
        <w:rPr>
          <w:rFonts w:ascii="Times New Roman" w:hAnsi="Times New Roman"/>
          <w:sz w:val="20"/>
        </w:rPr>
        <w:t> </w:t>
      </w:r>
      <w:r>
        <w:rPr>
          <w:rFonts w:ascii="Times New Roman" w:hAnsi="Times New Roman"/>
          <w:b w:val="false"/>
          <w:sz w:val="20"/>
        </w:rPr>
        <w:t>per share, subject to adjustment, and are exercisable commencing 30 days</w:t>
      </w:r>
      <w:r>
        <w:rPr>
          <w:rFonts w:ascii="Times New Roman" w:hAnsi="Times New Roman"/>
          <w:sz w:val="20"/>
        </w:rPr>
        <w:t xml:space="preserve"> </w:t>
      </w:r>
      <w:r>
        <w:rPr>
          <w:rFonts w:ascii="Times New Roman" w:hAnsi="Times New Roman"/>
          <w:b w:val="false"/>
          <w:sz w:val="20"/>
        </w:rPr>
        <w:t>after the Business Combination. A warrant holder may exercise its warrants only for a whole number of shares of Class A common stock. This means that only a whole warrant may be exercised at any given time by a warrant holder. The warrants will expire five years</w:t>
      </w:r>
      <w:r>
        <w:rPr>
          <w:rFonts w:ascii="Times New Roman" w:hAnsi="Times New Roman"/>
          <w:sz w:val="20"/>
        </w:rPr>
        <w:t xml:space="preserve"> </w:t>
      </w:r>
      <w:r>
        <w:rPr>
          <w:rFonts w:ascii="Times New Roman" w:hAnsi="Times New Roman"/>
          <w:b w:val="false"/>
          <w:sz w:val="20"/>
        </w:rPr>
        <w:t>after the Business Combination, or earlier upon redemption or liquidation.</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Once the warrants become exercisable, the Company may call the warrants for redemption as follows: (i) in whole and not in part; (ii) at a price of $0.01</w:t>
      </w:r>
      <w:r>
        <w:rPr>
          <w:rFonts w:ascii="Times New Roman" w:hAnsi="Times New Roman"/>
          <w:sz w:val="20"/>
        </w:rPr>
        <w:t> </w:t>
      </w:r>
      <w:r>
        <w:rPr>
          <w:rFonts w:ascii="Times New Roman" w:hAnsi="Times New Roman"/>
          <w:b w:val="false"/>
          <w:sz w:val="20"/>
        </w:rPr>
        <w:t>per warrant; (iii) upon a minimum of 30 days</w:t>
      </w:r>
      <w:r>
        <w:rPr>
          <w:rFonts w:ascii="Times New Roman" w:hAnsi="Times New Roman"/>
          <w:sz w:val="20"/>
        </w:rPr>
        <w:t xml:space="preserve">’ </w:t>
      </w:r>
      <w:r>
        <w:rPr>
          <w:rFonts w:ascii="Times New Roman" w:hAnsi="Times New Roman"/>
          <w:b w:val="false"/>
          <w:sz w:val="20"/>
        </w:rPr>
        <w:t>prior written notice of redemption to each warrant holder; and (iv) if, and only if, the last reported sale price of the Class A common stock equals or exceeds $18.00</w:t>
      </w:r>
      <w:r>
        <w:rPr>
          <w:rFonts w:ascii="Times New Roman" w:hAnsi="Times New Roman"/>
          <w:sz w:val="20"/>
        </w:rPr>
        <w:t> </w:t>
      </w:r>
      <w:r>
        <w:rPr>
          <w:rFonts w:ascii="Times New Roman" w:hAnsi="Times New Roman"/>
          <w:b w:val="false"/>
          <w:sz w:val="20"/>
        </w:rPr>
        <w:t>per share (as adjusted for stock splits, stock dividends, reorganizations, recapitalizations and the like) for any 20</w:t>
      </w:r>
      <w:r>
        <w:rPr>
          <w:rFonts w:ascii="Times New Roman" w:hAnsi="Times New Roman"/>
          <w:sz w:val="20"/>
        </w:rPr>
        <w:t> </w:t>
      </w:r>
      <w:r>
        <w:rPr>
          <w:rFonts w:ascii="Times New Roman" w:hAnsi="Times New Roman"/>
          <w:b w:val="false"/>
          <w:sz w:val="20"/>
        </w:rPr>
        <w:t>trading days within a 30-trading day period ending on the third day prior to the date on which the Company sends the notice of redemption to the warrant holders.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June 30, 2021, the Company had 7,666,666.67</w:t>
      </w:r>
      <w:r>
        <w:rPr>
          <w:rFonts w:ascii="Times New Roman" w:hAnsi="Times New Roman"/>
          <w:sz w:val="20"/>
        </w:rPr>
        <w:t xml:space="preserve"> </w:t>
      </w:r>
      <w:r>
        <w:rPr>
          <w:rFonts w:ascii="Times New Roman" w:hAnsi="Times New Roman"/>
          <w:b w:val="false"/>
          <w:sz w:val="20"/>
        </w:rPr>
        <w:t>public warrants outstanding.</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Private Warrants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June 30, 2021, the Company had 203,333.33</w:t>
      </w:r>
      <w:r>
        <w:rPr>
          <w:rFonts w:ascii="Times New Roman" w:hAnsi="Times New Roman"/>
          <w:sz w:val="20"/>
        </w:rPr>
        <w:t xml:space="preserve"> </w:t>
      </w:r>
      <w:r>
        <w:rPr>
          <w:rFonts w:ascii="Times New Roman" w:hAnsi="Times New Roman"/>
          <w:b w:val="false"/>
          <w:sz w:val="20"/>
        </w:rPr>
        <w:t>private warrants outstanding.</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Valuation of Warrants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Exercise of Warrants</w:t>
      </w:r>
    </w:p>
    <w:p>
      <w:pPr>
        <w:pStyle w:val="TextBody"/>
        <w:spacing w:lineRule="auto" w:line="312" w:before="240" w:after="0"/>
        <w:ind w:left="0" w:right="0" w:firstLine="446"/>
        <w:jc w:val="left"/>
        <w:rPr>
          <w:rFonts w:ascii="Times New Roman" w:hAnsi="Times New Roman"/>
          <w:sz w:val="20"/>
        </w:rPr>
      </w:pPr>
      <w:r>
        <w:rPr>
          <w:rFonts w:ascii="Times New Roman" w:hAnsi="Times New Roman"/>
          <w:b w:val="false"/>
          <w:sz w:val="20"/>
        </w:rPr>
        <w:t>As of June 30, 2021, none</w:t>
      </w:r>
      <w:r>
        <w:rPr>
          <w:rFonts w:ascii="Times New Roman" w:hAnsi="Times New Roman"/>
          <w:sz w:val="20"/>
        </w:rPr>
        <w:t xml:space="preserve"> </w:t>
      </w:r>
      <w:r>
        <w:rPr>
          <w:rFonts w:ascii="Times New Roman" w:hAnsi="Times New Roman"/>
          <w:b w:val="false"/>
          <w:sz w:val="20"/>
        </w:rPr>
        <w:t>of the public or private warrants were exercisable.</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336"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jc w:val="both"/>
        <w:rPr/>
      </w:pPr>
      <w:r>
        <w:rPr/>
        <w:t> </w:t>
      </w:r>
    </w:p>
    <w:p>
      <w:pPr>
        <w:pStyle w:val="TextBody"/>
        <w:pBdr/>
        <w:spacing w:lineRule="auto" w:line="312" w:before="240" w:after="0"/>
        <w:ind w:left="0" w:right="0" w:hanging="490"/>
        <w:jc w:val="both"/>
        <w:rPr>
          <w:rFonts w:ascii="Times New Roman" w:hAnsi="Times New Roman"/>
          <w:b/>
          <w:sz w:val="20"/>
        </w:rPr>
      </w:pPr>
      <w:r>
        <w:rPr>
          <w:rFonts w:ascii="Times New Roman" w:hAnsi="Times New Roman"/>
          <w:b/>
          <w:sz w:val="20"/>
        </w:rPr>
        <w:t>Note 13 – Equity-Based Compensation</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PWP Omnibus Incentive Plan Awards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can grant options, stock appreciation rights, restricted stock, restricted stock units, stock bonuses, other stock-based awards, cash awards or any combination of the foregoing. The maximum aggregate number of shares of Class A common stock reserved for issuance under the PWP Incentive Plan for general purposes (“General Share Reserve”) is 13,980,000</w:t>
      </w:r>
      <w:r>
        <w:rPr>
          <w:rFonts w:ascii="Times New Roman" w:hAnsi="Times New Roman"/>
          <w:sz w:val="20"/>
        </w:rPr>
        <w:t xml:space="preserve"> </w:t>
      </w:r>
      <w:r>
        <w:rPr>
          <w:rFonts w:ascii="Times New Roman" w:hAnsi="Times New Roman"/>
          <w:b w:val="false"/>
          <w:sz w:val="20"/>
        </w:rPr>
        <w:t>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w:t>
      </w:r>
      <w:r>
        <w:rPr>
          <w:rFonts w:ascii="Times New Roman" w:hAnsi="Times New Roman"/>
          <w:sz w:val="20"/>
        </w:rPr>
        <w:t xml:space="preserve"> </w:t>
      </w:r>
      <w:r>
        <w:rPr>
          <w:rFonts w:ascii="Times New Roman" w:hAnsi="Times New Roman"/>
          <w:b w:val="false"/>
          <w:sz w:val="20"/>
        </w:rPr>
        <w:t>shares of Class A common stock (the “Transaction Pool Share Reserve”) are reserved for issuance under the plan through the one-year anniversary of the Business Combination. The Company intends to use newly issued shares of PWP Class A common stock to satisfy vested awards under the plan.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June 30, 2021, no</w:t>
      </w:r>
      <w:r>
        <w:rPr>
          <w:rFonts w:ascii="Times New Roman" w:hAnsi="Times New Roman"/>
          <w:sz w:val="20"/>
        </w:rPr>
        <w:t xml:space="preserve"> </w:t>
      </w:r>
      <w:r>
        <w:rPr>
          <w:rFonts w:ascii="Times New Roman" w:hAnsi="Times New Roman"/>
          <w:b w:val="false"/>
          <w:sz w:val="20"/>
        </w:rPr>
        <w:t>grants were made under the PWP Incentive Plan, and as such, 24,180,000</w:t>
      </w:r>
      <w:r>
        <w:rPr>
          <w:rFonts w:ascii="Times New Roman" w:hAnsi="Times New Roman"/>
          <w:sz w:val="20"/>
        </w:rPr>
        <w:t xml:space="preserve"> </w:t>
      </w:r>
      <w:r>
        <w:rPr>
          <w:rFonts w:ascii="Times New Roman" w:hAnsi="Times New Roman"/>
          <w:b w:val="false"/>
          <w:sz w:val="20"/>
        </w:rPr>
        <w:t>total shares remained reserved for issuance.</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Legacy Awards and Professional Partners Awards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Prior to the Business Combination, Professional Partners granted certain equity-based awards to partners providing services to PWP OpCo (the “Legacy Awards”). In January 2020, the Company granted Legacy Awards with a grant-date fair value of $6.4</w:t>
      </w:r>
      <w:r>
        <w:rPr>
          <w:rFonts w:ascii="Times New Roman" w:hAnsi="Times New Roman"/>
          <w:sz w:val="20"/>
        </w:rPr>
        <w:t xml:space="preserve"> </w:t>
      </w:r>
      <w:r>
        <w:rPr>
          <w:rFonts w:ascii="Times New Roman" w:hAnsi="Times New Roman"/>
          <w:b w:val="false"/>
          <w:sz w:val="20"/>
        </w:rPr>
        <w:t>million, which was estimated using the income approach and assumed a range of discount rates between 3.8%</w:t>
      </w:r>
      <w:r>
        <w:rPr>
          <w:rFonts w:ascii="Times New Roman" w:hAnsi="Times New Roman"/>
          <w:sz w:val="20"/>
        </w:rPr>
        <w:t xml:space="preserve"> </w:t>
      </w:r>
      <w:r>
        <w:rPr>
          <w:rFonts w:ascii="Times New Roman" w:hAnsi="Times New Roman"/>
          <w:b w:val="false"/>
          <w:sz w:val="20"/>
        </w:rPr>
        <w:t>and 11.2%. In January 2021, the Company granted Legacy Awards with a grant-date fair value of $9.3</w:t>
      </w:r>
      <w:r>
        <w:rPr>
          <w:rFonts w:ascii="Times New Roman" w:hAnsi="Times New Roman"/>
          <w:sz w:val="20"/>
        </w:rPr>
        <w:t xml:space="preserve"> </w:t>
      </w:r>
      <w:r>
        <w:rPr>
          <w:rFonts w:ascii="Times New Roman" w:hAnsi="Times New Roman"/>
          <w:b w:val="false"/>
          <w:sz w:val="20"/>
        </w:rPr>
        <w:t>million, which was estimated using the income approach and assumed a range of discount rates between 2.0%</w:t>
      </w:r>
      <w:r>
        <w:rPr>
          <w:rFonts w:ascii="Times New Roman" w:hAnsi="Times New Roman"/>
          <w:sz w:val="20"/>
        </w:rPr>
        <w:t xml:space="preserve"> </w:t>
      </w:r>
      <w:r>
        <w:rPr>
          <w:rFonts w:ascii="Times New Roman" w:hAnsi="Times New Roman"/>
          <w:b w:val="false"/>
          <w:sz w:val="20"/>
        </w:rPr>
        <w:t>and 9.8%. Under the income approach, fair value is determined by converting future projected cash flows to a single present value amount (discounted) using current expectations about those future cash flows.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w:t>
      </w:r>
      <w:r>
        <w:rPr>
          <w:rFonts w:ascii="Times New Roman" w:hAnsi="Times New Roman"/>
          <w:sz w:val="20"/>
        </w:rPr>
        <w:t xml:space="preserve"> </w:t>
      </w:r>
      <w:r>
        <w:rPr>
          <w:rFonts w:ascii="Times New Roman" w:hAnsi="Times New Roman"/>
          <w:b w:val="false"/>
          <w:sz w:val="20"/>
        </w:rPr>
        <w:t>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Times New Roman" w:hAnsi="Times New Roman"/>
          <w:b w:val="false"/>
          <w:i/>
          <w:sz w:val="20"/>
        </w:rPr>
        <w:t>Compensation—Stock Compensation</w:t>
      </w:r>
      <w:r>
        <w:rPr>
          <w:rFonts w:ascii="Times New Roman" w:hAnsi="Times New Roman"/>
          <w:b w:val="false"/>
          <w:sz w:val="20"/>
        </w:rPr>
        <w:t>, with the cost reflected in equity-based compensation over the requisite service period. The Company will continue to amortize the unrecognized cost associated with the Legacy Awards over its original vesting schedule. The $314.8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grant-date fair value of the 23,703,116</w:t>
      </w:r>
      <w:r>
        <w:rPr>
          <w:rFonts w:ascii="Times New Roman" w:hAnsi="Times New Roman"/>
          <w:sz w:val="20"/>
        </w:rPr>
        <w:t xml:space="preserve"> </w:t>
      </w:r>
      <w:r>
        <w:rPr>
          <w:rFonts w:ascii="Times New Roman" w:hAnsi="Times New Roman"/>
          <w:b w:val="false"/>
          <w:sz w:val="20"/>
        </w:rPr>
        <w:t>Professional Partners Awards is based on the closing price of PWP Class A common stock on the date of grant as units in Professional Partners are ultimately exchangeable into shares of PWP Class A common stock on a one-for-one basis.</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 </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The following table presents the components of Equity-based compensation included on the Condensed Consolidated Statements of Operations:</w:t>
      </w:r>
    </w:p>
    <w:tbl>
      <w:tblPr>
        <w:tblW w:w="8609" w:type="dxa"/>
        <w:jc w:val="left"/>
        <w:tblInd w:w="0" w:type="dxa"/>
        <w:tblCellMar>
          <w:top w:w="28" w:type="dxa"/>
          <w:left w:w="28" w:type="dxa"/>
          <w:bottom w:w="28" w:type="dxa"/>
          <w:right w:w="28" w:type="dxa"/>
        </w:tblCellMar>
      </w:tblPr>
      <w:tblGrid>
        <w:gridCol w:w="2836"/>
        <w:gridCol w:w="146"/>
        <w:gridCol w:w="298"/>
        <w:gridCol w:w="807"/>
        <w:gridCol w:w="206"/>
        <w:gridCol w:w="206"/>
        <w:gridCol w:w="298"/>
        <w:gridCol w:w="807"/>
        <w:gridCol w:w="146"/>
        <w:gridCol w:w="146"/>
        <w:gridCol w:w="243"/>
        <w:gridCol w:w="780"/>
        <w:gridCol w:w="168"/>
        <w:gridCol w:w="168"/>
        <w:gridCol w:w="243"/>
        <w:gridCol w:w="780"/>
        <w:gridCol w:w="331"/>
      </w:tblGrid>
      <w:tr>
        <w:trPr/>
        <w:tc>
          <w:tcPr>
            <w:tcW w:w="2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83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22"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382"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83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1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2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2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Legacy Awards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6,008</w:t>
            </w:r>
          </w:p>
        </w:tc>
        <w:tc>
          <w:tcPr>
            <w:tcW w:w="206" w:type="dxa"/>
            <w:tcBorders/>
            <w:shd w:fill="auto" w:val="clear"/>
            <w:vAlign w:val="center"/>
          </w:tcPr>
          <w:p>
            <w:pPr>
              <w:pStyle w:val="TableContents"/>
              <w:spacing w:lineRule="auto" w:line="312" w:before="0" w:after="0"/>
              <w:ind w:left="0" w:right="0" w:hanging="0"/>
              <w:jc w:val="left"/>
              <w:rPr/>
            </w:pPr>
            <w:r>
              <w:rPr/>
              <w:t> </w:t>
            </w:r>
          </w:p>
        </w:tc>
        <w:tc>
          <w:tcPr>
            <w:tcW w:w="206" w:type="dxa"/>
            <w:tcBorders/>
            <w:shd w:fill="auto" w:val="clear"/>
            <w:vAlign w:val="center"/>
          </w:tcPr>
          <w:p>
            <w:pPr>
              <w:pStyle w:val="TableContents"/>
              <w:spacing w:lineRule="auto" w:line="312" w:before="0" w:after="0"/>
              <w:ind w:left="0" w:right="0" w:hanging="0"/>
              <w:jc w:val="right"/>
              <w:rPr/>
            </w:pPr>
            <w:r>
              <w:rPr/>
              <w:t> </w:t>
            </w:r>
          </w:p>
        </w:tc>
        <w:tc>
          <w:tcPr>
            <w:tcW w:w="29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6,179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12,165</w:t>
            </w:r>
          </w:p>
        </w:tc>
        <w:tc>
          <w:tcPr>
            <w:tcW w:w="168" w:type="dxa"/>
            <w:tcBorders/>
            <w:shd w:fill="auto" w:val="clear"/>
            <w:vAlign w:val="center"/>
          </w:tcPr>
          <w:p>
            <w:pPr>
              <w:pStyle w:val="TableContents"/>
              <w:spacing w:lineRule="auto" w:line="312" w:before="0" w:after="0"/>
              <w:ind w:left="0" w:right="0" w:hanging="0"/>
              <w:jc w:val="left"/>
              <w:rPr/>
            </w:pPr>
            <w:r>
              <w:rPr/>
              <w:t> </w:t>
            </w:r>
          </w:p>
        </w:tc>
        <w:tc>
          <w:tcPr>
            <w:tcW w:w="168" w:type="dxa"/>
            <w:tcBorders/>
            <w:shd w:fill="auto" w:val="clear"/>
            <w:vAlign w:val="center"/>
          </w:tcPr>
          <w:p>
            <w:pPr>
              <w:pStyle w:val="TableContents"/>
              <w:spacing w:lineRule="auto" w:line="312" w:before="0" w:after="0"/>
              <w:ind w:left="0" w:right="0" w:hanging="0"/>
              <w:jc w:val="right"/>
              <w:rPr/>
            </w:pPr>
            <w:r>
              <w:rPr/>
              <w:t> </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12,364</w:t>
            </w:r>
          </w:p>
        </w:tc>
        <w:tc>
          <w:tcPr>
            <w:tcW w:w="331" w:type="dxa"/>
            <w:tcBorders/>
            <w:shd w:fill="auto" w:val="clear"/>
            <w:vAlign w:val="center"/>
          </w:tcPr>
          <w:p>
            <w:pPr>
              <w:pStyle w:val="TableContents"/>
              <w:spacing w:lineRule="auto" w:line="312" w:before="0" w:after="0"/>
              <w:ind w:left="0" w:right="0" w:hanging="0"/>
              <w:jc w:val="left"/>
              <w:rPr/>
            </w:pPr>
            <w:r>
              <w:rPr/>
              <w:t> </w:t>
            </w:r>
          </w:p>
        </w:tc>
      </w:tr>
      <w:tr>
        <w:trPr/>
        <w:tc>
          <w:tcPr>
            <w:tcW w:w="2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Professional Partners Awards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1,057</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1,057</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40"/>
              <w:jc w:val="left"/>
              <w:rPr/>
            </w:pPr>
            <w:r>
              <w:rPr/>
              <w:t> </w:t>
            </w:r>
          </w:p>
        </w:tc>
      </w:tr>
      <w:tr>
        <w:trPr/>
        <w:tc>
          <w:tcPr>
            <w:tcW w:w="283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Total equity-based compensation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7,065</w:t>
            </w:r>
          </w:p>
        </w:tc>
        <w:tc>
          <w:tcPr>
            <w:tcW w:w="2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6,179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13,222</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12,364</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jc w:val="both"/>
        <w:rPr>
          <w:rFonts w:ascii="Times New Roman" w:hAnsi="Times New Roman"/>
          <w:sz w:val="20"/>
        </w:rPr>
      </w:pPr>
      <w:r>
        <w:rPr>
          <w:rFonts w:ascii="Times New Roman" w:hAnsi="Times New Roman"/>
          <w:b w:val="false"/>
          <w:sz w:val="20"/>
        </w:rPr>
        <w:t>As of June 30, 2021, there was $34.2</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unrecognized compensation cost associated with the Legacy Awards that is expected to be recognized over a weighted-average period of 1.93</w:t>
      </w:r>
      <w:r>
        <w:rPr>
          <w:rFonts w:ascii="Times New Roman" w:hAnsi="Times New Roman"/>
          <w:sz w:val="20"/>
        </w:rPr>
        <w:t xml:space="preserve"> </w:t>
      </w:r>
      <w:r>
        <w:rPr>
          <w:rFonts w:ascii="Times New Roman" w:hAnsi="Times New Roman"/>
          <w:b w:val="false"/>
          <w:sz w:val="20"/>
        </w:rPr>
        <w:t>years. As of June 30, 2021, there was $313.7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unrecognized compensation expense related to unvested Professional Partners Awards, which is expected to be recognized over a weighted-average period of 4.88</w:t>
      </w:r>
      <w:r>
        <w:rPr>
          <w:rFonts w:ascii="Times New Roman" w:hAnsi="Times New Roman"/>
          <w:sz w:val="20"/>
        </w:rPr>
        <w:t xml:space="preserve"> </w:t>
      </w:r>
      <w:r>
        <w:rPr>
          <w:rFonts w:ascii="Times New Roman" w:hAnsi="Times New Roman"/>
          <w:b w:val="false"/>
          <w:sz w:val="20"/>
        </w:rPr>
        <w:t>years.</w:t>
      </w:r>
    </w:p>
    <w:p>
      <w:pPr>
        <w:pStyle w:val="TextBody"/>
        <w:spacing w:lineRule="auto" w:line="312" w:before="240" w:after="0"/>
        <w:jc w:val="both"/>
        <w:rPr>
          <w:rFonts w:ascii="Times New Roman" w:hAnsi="Times New Roman"/>
          <w:sz w:val="20"/>
        </w:rPr>
      </w:pPr>
      <w:r>
        <w:rPr>
          <w:rFonts w:ascii="Times New Roman" w:hAnsi="Times New Roman"/>
          <w:b/>
          <w:sz w:val="20"/>
        </w:rPr>
        <w:t>Note 14</w:t>
      </w:r>
      <w:r>
        <w:rPr>
          <w:rFonts w:ascii="Times New Roman" w:hAnsi="Times New Roman"/>
          <w:sz w:val="20"/>
        </w:rPr>
        <w:t xml:space="preserve"> – </w:t>
      </w:r>
      <w:r>
        <w:rPr>
          <w:rFonts w:ascii="Times New Roman" w:hAnsi="Times New Roman"/>
          <w:b/>
          <w:sz w:val="20"/>
        </w:rPr>
        <w:t>Other Compensation and Benefits</w:t>
      </w:r>
    </w:p>
    <w:p>
      <w:pPr>
        <w:pStyle w:val="TextBody"/>
        <w:spacing w:lineRule="auto" w:line="312" w:before="240" w:after="0"/>
        <w:ind w:left="0" w:right="0" w:firstLine="490"/>
        <w:jc w:val="both"/>
        <w:rPr>
          <w:rFonts w:ascii="Times New Roman" w:hAnsi="Times New Roman"/>
          <w:b w:val="false"/>
          <w:sz w:val="20"/>
        </w:rPr>
      </w:pPr>
      <w:r>
        <w:rPr>
          <w:rFonts w:ascii="Times New Roman" w:hAnsi="Times New Roman"/>
          <w:b w:val="false"/>
          <w:sz w:val="20"/>
        </w:rPr>
        <w:t>Compensation and benefits includes, but is not limited to, salaries, bonuses (discretionary awards and guaranteed amounts), severance and deferred compensation. In all instances, compensation expense is accrued over the requisite service period.</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Deferred Compensation Programs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$0.7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2021, respectively, and $1.7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$3.0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2020, respectively, and are presented within Compensation and benefits in the Condensed Consolidated Statements of Operations.</w:t>
      </w:r>
      <w:r>
        <w:rPr>
          <w:rFonts w:ascii="Times New Roman" w:hAnsi="Times New Roman"/>
          <w:sz w:val="20"/>
        </w:rPr>
        <w:t xml:space="preserve">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sz w:val="20"/>
        </w:rPr>
      </w:pPr>
      <w:r>
        <w:rPr>
          <w:rFonts w:ascii="Times New Roman" w:hAnsi="Times New Roman"/>
          <w:b/>
          <w:i/>
          <w:sz w:val="20"/>
        </w:rPr>
        <w:t>Benefit Plans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Expenses related to the Company’s employee benefit plans was $1.3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$2.6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2021, respectively, and $1.2</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$2.4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and six months ended June 30, 2020, respectively, and are included in Compensation and benefits in the Condensed Consolidated Statements of Operations.</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Separation and Termination Benefits</w:t>
      </w:r>
    </w:p>
    <w:p>
      <w:pPr>
        <w:pStyle w:val="TextBody"/>
        <w:spacing w:lineRule="auto" w:line="312" w:before="240" w:after="0"/>
        <w:jc w:val="both"/>
        <w:rPr>
          <w:rFonts w:ascii="Times New Roman" w:hAnsi="Times New Roman"/>
          <w:sz w:val="20"/>
        </w:rPr>
      </w:pPr>
      <w:r>
        <w:rPr>
          <w:rFonts w:ascii="Times New Roman" w:hAnsi="Times New Roman"/>
          <w:b w:val="false"/>
          <w:sz w:val="20"/>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June 30, 2020, the termination cost accrued was approximately $5.4</w:t>
      </w:r>
      <w:r>
        <w:rPr>
          <w:rFonts w:ascii="Times New Roman" w:hAnsi="Times New Roman"/>
          <w:sz w:val="20"/>
        </w:rPr>
        <w:t xml:space="preserve"> </w:t>
      </w:r>
      <w:r>
        <w:rPr>
          <w:rFonts w:ascii="Times New Roman" w:hAnsi="Times New Roman"/>
          <w:b w:val="false"/>
          <w:sz w:val="20"/>
        </w:rPr>
        <w:t>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pStyle w:val="TextBody"/>
        <w:pBdr/>
        <w:spacing w:lineRule="auto" w:line="312" w:before="240" w:after="0"/>
        <w:ind w:left="0" w:right="0" w:hanging="490"/>
        <w:jc w:val="left"/>
        <w:rPr>
          <w:rFonts w:ascii="Times New Roman" w:hAnsi="Times New Roman"/>
          <w:sz w:val="20"/>
        </w:rPr>
      </w:pPr>
      <w:r>
        <w:rPr>
          <w:rFonts w:ascii="Times New Roman" w:hAnsi="Times New Roman"/>
          <w:b/>
          <w:sz w:val="20"/>
        </w:rPr>
        <w:t xml:space="preserve">Note 15 </w:t>
      </w:r>
      <w:r>
        <w:rPr>
          <w:rFonts w:ascii="Times New Roman" w:hAnsi="Times New Roman"/>
          <w:sz w:val="20"/>
        </w:rPr>
        <w:t xml:space="preserve">– </w:t>
      </w:r>
      <w:r>
        <w:rPr>
          <w:rFonts w:ascii="Times New Roman" w:hAnsi="Times New Roman"/>
          <w:b/>
          <w:sz w:val="20"/>
        </w:rPr>
        <w:t>Net Income (Loss) Per Share Attributable to Class A Common Shareholders</w:t>
      </w:r>
      <w:r>
        <w:rPr>
          <w:rFonts w:ascii="Times New Roman" w:hAnsi="Times New Roman"/>
          <w:sz w:val="20"/>
        </w:rPr>
        <w:t xml:space="preserve"> </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three and six months ended June 30, 2021, as presented on the Condensed Consolidated Statements of Operations, represent only the period after the Business Combination to June 30, 2021.</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The calculations of basic and diluted net income (loss) per share attributable to Class A common shareholders for the period after the Business Combination through June 30, 2021 are presented below:</w:t>
      </w:r>
    </w:p>
    <w:tbl>
      <w:tblPr>
        <w:tblW w:w="7730" w:type="dxa"/>
        <w:jc w:val="left"/>
        <w:tblInd w:w="0" w:type="dxa"/>
        <w:tblCellMar>
          <w:top w:w="28" w:type="dxa"/>
          <w:left w:w="28" w:type="dxa"/>
          <w:bottom w:w="28" w:type="dxa"/>
          <w:right w:w="28" w:type="dxa"/>
        </w:tblCellMar>
      </w:tblPr>
      <w:tblGrid>
        <w:gridCol w:w="5986"/>
        <w:gridCol w:w="146"/>
        <w:gridCol w:w="211"/>
        <w:gridCol w:w="1036"/>
        <w:gridCol w:w="351"/>
      </w:tblGrid>
      <w:tr>
        <w:trPr/>
        <w:tc>
          <w:tcPr>
            <w:tcW w:w="5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5986"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Numerator:</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center"/>
              <w:rPr/>
            </w:pPr>
            <w:r>
              <w:rPr/>
              <w:t> </w:t>
            </w:r>
          </w:p>
        </w:tc>
        <w:tc>
          <w:tcPr>
            <w:tcW w:w="351" w:type="dxa"/>
            <w:tcBorders/>
            <w:shd w:fill="auto" w:val="clear"/>
            <w:vAlign w:val="center"/>
          </w:tcPr>
          <w:p>
            <w:pPr>
              <w:pStyle w:val="TableContents"/>
              <w:spacing w:lineRule="auto" w:line="312" w:before="0" w:after="0"/>
              <w:ind w:left="0" w:right="0" w:hanging="0"/>
              <w:jc w:val="center"/>
              <w:rPr/>
            </w:pPr>
            <w:r>
              <w:rPr/>
              <w:t> </w:t>
            </w:r>
          </w:p>
        </w:tc>
      </w:tr>
      <w:tr>
        <w:trPr/>
        <w:tc>
          <w:tcPr>
            <w:tcW w:w="59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income (loss) attributable to Perella Weinberg Partners - basic</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(12,499</w:t>
            </w:r>
          </w:p>
        </w:tc>
        <w:tc>
          <w:tcPr>
            <w:tcW w:w="351" w:type="dxa"/>
            <w:tcBorders/>
            <w:shd w:fill="auto" w:val="cle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5986" w:type="dxa"/>
            <w:tcBorders/>
            <w:shd w:fill="auto" w:val="clear"/>
            <w:vAlign w:val="center"/>
          </w:tcPr>
          <w:p>
            <w:pPr>
              <w:pStyle w:val="TableContents"/>
              <w:spacing w:lineRule="auto" w:line="312" w:before="0" w:after="0"/>
              <w:ind w:left="140" w:right="0" w:hanging="0"/>
              <w:jc w:val="left"/>
              <w:rPr/>
            </w:pPr>
            <w:r>
              <w:rPr/>
              <w:t>  </w:t>
            </w:r>
            <w:r>
              <w:rPr>
                <w:rFonts w:ascii="Times New Roman" w:hAnsi="Times New Roman"/>
                <w:b w:val="false"/>
                <w:sz w:val="20"/>
              </w:rPr>
              <w:t>Dilutive effect from assumed exercise of warrants, net of tax</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(656</w:t>
            </w:r>
          </w:p>
        </w:tc>
        <w:tc>
          <w:tcPr>
            <w:tcW w:w="351" w:type="dxa"/>
            <w:tcBorders/>
            <w:shd w:fill="auto" w:val="cle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5986" w:type="dxa"/>
            <w:tcBorders/>
            <w:shd w:fill="auto" w:val="clear"/>
            <w:vAlign w:val="center"/>
          </w:tcPr>
          <w:p>
            <w:pPr>
              <w:pStyle w:val="TableContents"/>
              <w:spacing w:lineRule="auto" w:line="312" w:before="0" w:after="0"/>
              <w:ind w:left="140" w:right="0" w:hanging="0"/>
              <w:jc w:val="left"/>
              <w:rPr/>
            </w:pPr>
            <w:r>
              <w:rPr/>
              <w:t>  </w:t>
            </w:r>
            <w:r>
              <w:rPr>
                <w:rFonts w:ascii="Times New Roman" w:hAnsi="Times New Roman"/>
                <w:b w:val="false"/>
                <w:sz w:val="20"/>
              </w:rPr>
              <w:t>Dilutive effect from assumed exchange of PWP OpCo Units, net of tax</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(16,501</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9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Income (loss) attributable to Perella Weinberg Partners - diluted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(29,656</w:t>
            </w:r>
          </w:p>
        </w:tc>
        <w:tc>
          <w:tcPr>
            <w:tcW w:w="3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986"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Denominator:</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351" w:type="dxa"/>
            <w:tcBorders/>
            <w:shd w:fill="auto" w:val="clear"/>
            <w:vAlign w:val="center"/>
          </w:tcPr>
          <w:p>
            <w:pPr>
              <w:pStyle w:val="TableContents"/>
              <w:spacing w:lineRule="auto" w:line="312" w:before="0" w:after="0"/>
              <w:ind w:left="0" w:right="0" w:hanging="0"/>
              <w:jc w:val="right"/>
              <w:rPr/>
            </w:pPr>
            <w:r>
              <w:rPr/>
              <w:t> </w:t>
            </w:r>
          </w:p>
        </w:tc>
      </w:tr>
      <w:tr>
        <w:trPr/>
        <w:tc>
          <w:tcPr>
            <w:tcW w:w="59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 average shares of Class A common stock outstanding - basic</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42,956,667</w:t>
            </w:r>
          </w:p>
        </w:tc>
        <w:tc>
          <w:tcPr>
            <w:tcW w:w="351" w:type="dxa"/>
            <w:tcBorders/>
            <w:shd w:fill="auto" w:val="clear"/>
            <w:vAlign w:val="center"/>
          </w:tcPr>
          <w:p>
            <w:pPr>
              <w:pStyle w:val="TableContents"/>
              <w:spacing w:lineRule="auto" w:line="312" w:before="0" w:after="0"/>
              <w:ind w:left="0" w:right="0" w:firstLine="140"/>
              <w:jc w:val="left"/>
              <w:rPr/>
            </w:pPr>
            <w:r>
              <w:rPr/>
              <w:t> </w:t>
            </w:r>
          </w:p>
        </w:tc>
      </w:tr>
      <w:tr>
        <w:trPr/>
        <w:tc>
          <w:tcPr>
            <w:tcW w:w="598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Assumed exercise of warrants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902,717</w:t>
            </w:r>
          </w:p>
        </w:tc>
        <w:tc>
          <w:tcPr>
            <w:tcW w:w="351" w:type="dxa"/>
            <w:tcBorders/>
            <w:shd w:fill="auto" w:val="clear"/>
            <w:vAlign w:val="center"/>
          </w:tcPr>
          <w:p>
            <w:pPr>
              <w:pStyle w:val="TableContents"/>
              <w:spacing w:lineRule="auto" w:line="312" w:before="0" w:after="0"/>
              <w:ind w:left="0" w:right="0" w:firstLine="140"/>
              <w:jc w:val="left"/>
              <w:rPr/>
            </w:pPr>
            <w:r>
              <w:rPr/>
              <w:t> </w:t>
            </w:r>
          </w:p>
        </w:tc>
      </w:tr>
      <w:tr>
        <w:trPr/>
        <w:tc>
          <w:tcPr>
            <w:tcW w:w="598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Assumed exchange of PWP OpCo Units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50,154,199</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9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 average shares of Class A common stock outstanding - diluted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94,013,583</w:t>
            </w:r>
          </w:p>
        </w:tc>
        <w:tc>
          <w:tcPr>
            <w:tcW w:w="3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9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income (loss) per share attributable to Class A common shareholders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47" w:type="dxa"/>
            <w:gridSpan w:val="2"/>
            <w:tcBorders/>
            <w:shd w:fill="auto" w:val="clear"/>
            <w:vAlign w:val="center"/>
          </w:tcPr>
          <w:p>
            <w:pPr>
              <w:pStyle w:val="TableContents"/>
              <w:spacing w:lineRule="auto" w:line="312" w:before="0" w:after="0"/>
              <w:ind w:left="0" w:right="0" w:hanging="0"/>
              <w:jc w:val="right"/>
              <w:rPr/>
            </w:pPr>
            <w:r>
              <w:rPr/>
              <w:t> </w:t>
            </w:r>
          </w:p>
        </w:tc>
        <w:tc>
          <w:tcPr>
            <w:tcW w:w="351" w:type="dxa"/>
            <w:tcBorders/>
            <w:shd w:fill="auto" w:val="clear"/>
            <w:vAlign w:val="center"/>
          </w:tcPr>
          <w:p>
            <w:pPr>
              <w:pStyle w:val="TableContents"/>
              <w:spacing w:lineRule="auto" w:line="312" w:before="0" w:after="0"/>
              <w:ind w:left="0" w:right="0" w:firstLine="140"/>
              <w:jc w:val="right"/>
              <w:rPr/>
            </w:pPr>
            <w:r>
              <w:rPr/>
              <w:t> </w:t>
            </w:r>
          </w:p>
        </w:tc>
      </w:tr>
      <w:tr>
        <w:trPr/>
        <w:tc>
          <w:tcPr>
            <w:tcW w:w="598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Basic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(0.29</w:t>
            </w:r>
          </w:p>
        </w:tc>
        <w:tc>
          <w:tcPr>
            <w:tcW w:w="351" w:type="dxa"/>
            <w:tcBorders/>
            <w:shd w:fill="auto" w:val="clear"/>
            <w:vAlign w:val="center"/>
          </w:tcPr>
          <w:p>
            <w:pPr>
              <w:pStyle w:val="TableContents"/>
              <w:spacing w:lineRule="auto" w:line="312" w:before="0" w:after="0"/>
              <w:ind w:left="0" w:right="0" w:firstLine="140"/>
              <w:jc w:val="left"/>
              <w:rPr>
                <w:rFonts w:ascii="Times New Roman" w:hAnsi="Times New Roman"/>
                <w:b w:val="false"/>
                <w:sz w:val="20"/>
              </w:rPr>
            </w:pPr>
            <w:r>
              <w:rPr>
                <w:rFonts w:ascii="Times New Roman" w:hAnsi="Times New Roman"/>
                <w:b w:val="false"/>
                <w:sz w:val="20"/>
              </w:rPr>
              <w:t>)</w:t>
            </w:r>
          </w:p>
        </w:tc>
      </w:tr>
      <w:tr>
        <w:trPr/>
        <w:tc>
          <w:tcPr>
            <w:tcW w:w="598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(0.32</w:t>
            </w:r>
          </w:p>
        </w:tc>
        <w:tc>
          <w:tcPr>
            <w:tcW w:w="3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impact of Class B common stock has been excluded from the calculation as these shares are entitled to an insignificant amount of economic participation.</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uses the treasury stock method to determine the potential dilutive effect of warrants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For the period after the Business Combination to June 30, 2021, there were no</w:t>
      </w:r>
      <w:r>
        <w:rPr>
          <w:rFonts w:ascii="Times New Roman" w:hAnsi="Times New Roman"/>
          <w:sz w:val="20"/>
        </w:rPr>
        <w:t xml:space="preserve"> </w:t>
      </w:r>
      <w:r>
        <w:rPr>
          <w:rFonts w:ascii="Times New Roman" w:hAnsi="Times New Roman"/>
          <w:b w:val="false"/>
          <w:sz w:val="20"/>
        </w:rPr>
        <w:t>anti-dilutive securities.</w:t>
      </w:r>
    </w:p>
    <w:p>
      <w:pPr>
        <w:pStyle w:val="TextBody"/>
        <w:pBdr/>
        <w:spacing w:lineRule="auto" w:line="312" w:before="240" w:after="0"/>
        <w:ind w:left="0" w:right="0" w:hanging="490"/>
        <w:jc w:val="both"/>
        <w:rPr>
          <w:rFonts w:ascii="Times New Roman" w:hAnsi="Times New Roman"/>
          <w:b/>
          <w:sz w:val="20"/>
        </w:rPr>
      </w:pPr>
      <w:r>
        <w:rPr>
          <w:rFonts w:ascii="Times New Roman" w:hAnsi="Times New Roman"/>
          <w:b/>
          <w:sz w:val="20"/>
        </w:rPr>
        <w:t>Note 16 – Fair Value Measurements and Investments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Financial instruments measured and reported at fair value are classified and disclosed in one of the following categories (from highest to lowest) based on inputs:</w:t>
      </w:r>
    </w:p>
    <w:p>
      <w:pPr>
        <w:pStyle w:val="TextBody"/>
        <w:spacing w:lineRule="auto" w:line="312" w:before="240" w:after="0"/>
        <w:ind w:left="806" w:right="0" w:hanging="0"/>
        <w:jc w:val="both"/>
        <w:rPr>
          <w:rFonts w:ascii="Times New Roman" w:hAnsi="Times New Roman"/>
          <w:sz w:val="20"/>
        </w:rPr>
      </w:pPr>
      <w:r>
        <w:rPr>
          <w:rFonts w:ascii="Times New Roman" w:hAnsi="Times New Roman"/>
          <w:b w:val="false"/>
          <w:sz w:val="20"/>
        </w:rPr>
        <w:t>Level 1 – Unadjusted quoted prices are available in active markets for identical financial instruments as of the reporting date.</w:t>
      </w:r>
      <w:r>
        <w:rPr>
          <w:rFonts w:ascii="Times New Roman" w:hAnsi="Times New Roman"/>
          <w:sz w:val="20"/>
        </w:rPr>
        <w:t xml:space="preserve"> </w:t>
      </w:r>
    </w:p>
    <w:p>
      <w:pPr>
        <w:pStyle w:val="TextBody"/>
        <w:spacing w:lineRule="auto" w:line="312" w:before="240" w:after="0"/>
        <w:ind w:left="806" w:right="0" w:hanging="0"/>
        <w:jc w:val="both"/>
        <w:rPr>
          <w:rFonts w:ascii="Times New Roman" w:hAnsi="Times New Roman"/>
          <w:sz w:val="20"/>
        </w:rPr>
      </w:pPr>
      <w:r>
        <w:rPr>
          <w:rFonts w:ascii="Times New Roman" w:hAnsi="Times New Roman"/>
          <w:b w:val="false"/>
          <w:sz w:val="20"/>
        </w:rPr>
        <w:t>Level 2 – Pricing inputs are observable inputs other than quoted prices included in Level 1, such as quoted prices for similar assets or liabilities in active markets or quoted prices for identical assets or liabilities in inactive markets.</w:t>
      </w:r>
      <w:r>
        <w:rPr>
          <w:rFonts w:ascii="Times New Roman" w:hAnsi="Times New Roman"/>
          <w:sz w:val="20"/>
        </w:rPr>
        <w:t xml:space="preserve"> </w:t>
      </w:r>
    </w:p>
    <w:p>
      <w:pPr>
        <w:pStyle w:val="TextBody"/>
        <w:spacing w:lineRule="auto" w:line="312" w:before="240" w:after="0"/>
        <w:ind w:left="806" w:right="0" w:hanging="0"/>
        <w:jc w:val="both"/>
        <w:rPr>
          <w:rFonts w:ascii="Times New Roman" w:hAnsi="Times New Roman"/>
          <w:sz w:val="20"/>
        </w:rPr>
      </w:pPr>
      <w:r>
        <w:rPr>
          <w:rFonts w:ascii="Times New Roman" w:hAnsi="Times New Roman"/>
          <w:b w:val="false"/>
          <w:sz w:val="20"/>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r>
        <w:rPr>
          <w:rFonts w:ascii="Times New Roman" w:hAnsi="Times New Roman"/>
          <w:sz w:val="20"/>
        </w:rPr>
        <w:t xml:space="preserve"> </w:t>
      </w:r>
    </w:p>
    <w:p>
      <w:pPr>
        <w:pStyle w:val="TextBody"/>
        <w:spacing w:lineRule="atLeast" w:line="260" w:before="240" w:after="0"/>
        <w:ind w:left="0" w:right="0" w:firstLine="446"/>
        <w:jc w:val="both"/>
        <w:rPr>
          <w:rFonts w:ascii="Times New Roman" w:hAnsi="Times New Roman"/>
          <w:b w:val="false"/>
          <w:sz w:val="20"/>
        </w:rPr>
      </w:pPr>
      <w:r>
        <w:rPr>
          <w:rFonts w:ascii="Times New Roman" w:hAnsi="Times New Roman"/>
          <w:b w:val="false"/>
          <w:sz w:val="20"/>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sz w:val="20"/>
        </w:rPr>
      </w:pPr>
      <w:r>
        <w:rPr>
          <w:rFonts w:ascii="Times New Roman" w:hAnsi="Times New Roman"/>
          <w:b/>
          <w:i/>
          <w:sz w:val="20"/>
        </w:rPr>
        <w:t>Fair Value of Financial Instruments</w:t>
      </w:r>
      <w:r>
        <w:rPr>
          <w:rFonts w:ascii="Times New Roman" w:hAnsi="Times New Roman"/>
          <w:sz w:val="20"/>
        </w:rPr>
        <w:t xml:space="preserve"> </w:t>
      </w:r>
    </w:p>
    <w:p>
      <w:pPr>
        <w:pStyle w:val="TextBody"/>
        <w:spacing w:lineRule="auto" w:line="312" w:before="240" w:after="240"/>
        <w:ind w:left="0" w:right="0" w:firstLine="446"/>
        <w:jc w:val="both"/>
        <w:rPr>
          <w:rFonts w:ascii="Times New Roman" w:hAnsi="Times New Roman"/>
          <w:b w:val="false"/>
          <w:sz w:val="20"/>
        </w:rPr>
      </w:pPr>
      <w:r>
        <w:rPr>
          <w:rFonts w:ascii="Times New Roman" w:hAnsi="Times New Roman"/>
          <w:b w:val="false"/>
          <w:sz w:val="20"/>
        </w:rPr>
        <w:t>The following table summarizes the categorization and fair value estimate of the Company’s financial instruments that are measured on a recurring basis pursuant to the above fair value hierarchy levels as of June 30, 2021 and December 31, 2020:</w:t>
      </w:r>
    </w:p>
    <w:tbl>
      <w:tblPr>
        <w:tblW w:w="9298" w:type="dxa"/>
        <w:jc w:val="left"/>
        <w:tblInd w:w="0" w:type="dxa"/>
        <w:tblCellMar>
          <w:top w:w="28" w:type="dxa"/>
          <w:left w:w="28" w:type="dxa"/>
          <w:bottom w:w="28" w:type="dxa"/>
          <w:right w:w="28" w:type="dxa"/>
        </w:tblCellMar>
      </w:tblPr>
      <w:tblGrid>
        <w:gridCol w:w="4561"/>
        <w:gridCol w:w="146"/>
        <w:gridCol w:w="211"/>
        <w:gridCol w:w="676"/>
        <w:gridCol w:w="146"/>
        <w:gridCol w:w="146"/>
        <w:gridCol w:w="245"/>
        <w:gridCol w:w="490"/>
        <w:gridCol w:w="146"/>
        <w:gridCol w:w="146"/>
        <w:gridCol w:w="245"/>
        <w:gridCol w:w="490"/>
        <w:gridCol w:w="146"/>
        <w:gridCol w:w="146"/>
        <w:gridCol w:w="211"/>
        <w:gridCol w:w="676"/>
        <w:gridCol w:w="471"/>
      </w:tblGrid>
      <w:tr>
        <w:trPr/>
        <w:tc>
          <w:tcPr>
            <w:tcW w:w="4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56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20"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June 30, 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Total</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Financial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firstLine="140"/>
              <w:jc w:val="right"/>
              <w:rPr/>
            </w:pPr>
            <w:r>
              <w:rPr/>
              <w:t> </w:t>
            </w:r>
          </w:p>
        </w:tc>
      </w:tr>
      <w:tr>
        <w:trPr/>
        <w:tc>
          <w:tcPr>
            <w:tcW w:w="456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Investments in mutual funds and other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470</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456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Cash surrender value of company-owned life insurance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894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894</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456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financial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894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1,364</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hanging="0"/>
              <w:jc w:val="right"/>
              <w:rPr/>
            </w:pPr>
            <w:r>
              <w:rPr/>
              <w:t> </w:t>
            </w:r>
          </w:p>
        </w:tc>
      </w:tr>
      <w:tr>
        <w:trPr/>
        <w:tc>
          <w:tcPr>
            <w:tcW w:w="45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Financial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firstLine="140"/>
              <w:jc w:val="right"/>
              <w:rPr/>
            </w:pPr>
            <w:r>
              <w:rPr/>
              <w:t> </w:t>
            </w:r>
          </w:p>
        </w:tc>
      </w:tr>
      <w:tr>
        <w:trPr/>
        <w:tc>
          <w:tcPr>
            <w:tcW w:w="456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Warrant liabilities - Public warrants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21,313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21,313</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456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Warrant liabilities - Private warrants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647</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456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financial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21,313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21,960</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tbl>
      <w:tblPr>
        <w:tblW w:w="9041" w:type="dxa"/>
        <w:jc w:val="left"/>
        <w:tblInd w:w="0" w:type="dxa"/>
        <w:tblCellMar>
          <w:top w:w="28" w:type="dxa"/>
          <w:left w:w="28" w:type="dxa"/>
          <w:bottom w:w="28" w:type="dxa"/>
          <w:right w:w="28" w:type="dxa"/>
        </w:tblCellMar>
      </w:tblPr>
      <w:tblGrid>
        <w:gridCol w:w="4561"/>
        <w:gridCol w:w="146"/>
        <w:gridCol w:w="245"/>
        <w:gridCol w:w="490"/>
        <w:gridCol w:w="146"/>
        <w:gridCol w:w="146"/>
        <w:gridCol w:w="245"/>
        <w:gridCol w:w="490"/>
        <w:gridCol w:w="146"/>
        <w:gridCol w:w="146"/>
        <w:gridCol w:w="410"/>
        <w:gridCol w:w="325"/>
        <w:gridCol w:w="146"/>
        <w:gridCol w:w="146"/>
        <w:gridCol w:w="211"/>
        <w:gridCol w:w="571"/>
        <w:gridCol w:w="471"/>
      </w:tblGrid>
      <w:tr>
        <w:trPr/>
        <w:tc>
          <w:tcPr>
            <w:tcW w:w="4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56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863"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December 31, 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Total</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Financial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firstLine="140"/>
              <w:jc w:val="right"/>
              <w:rPr/>
            </w:pPr>
            <w:r>
              <w:rPr/>
              <w:t> </w:t>
            </w:r>
          </w:p>
        </w:tc>
      </w:tr>
      <w:tr>
        <w:trPr/>
        <w:tc>
          <w:tcPr>
            <w:tcW w:w="456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Investments in mutual funds and other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2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584</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456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Cash surrender value of company-owned life insurance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857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1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857</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456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financial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857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1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2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1,441</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had no transfers between fair value levels during the three and six months ended June 30, 2021.</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As of June 30, 2021 and December 31, 2020, the Company held investments related to a legacy deferred compensation program and securities, which are included in Prepaid expenses and other assets on the Condensed Consolidated Statements of Financial Condition.</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The cash surrender value of company-owned life insurance is included in Prepaid expenses and other assets on the Condensed Consolidated Statements of Financial Condition at the amount that could be realized under the contract as of June 30, 2021 and December 31, 2020, which approximates fair value.</w:t>
      </w:r>
    </w:p>
    <w:p>
      <w:pPr>
        <w:pStyle w:val="TextBody"/>
        <w:spacing w:lineRule="auto" w:line="312" w:before="240" w:after="0"/>
        <w:ind w:left="0" w:right="0" w:firstLine="540"/>
        <w:jc w:val="both"/>
        <w:rPr>
          <w:rFonts w:ascii="Times New Roman" w:hAnsi="Times New Roman"/>
          <w:sz w:val="20"/>
        </w:rPr>
      </w:pPr>
      <w:r>
        <w:rPr>
          <w:rFonts w:ascii="Times New Roman" w:hAnsi="Times New Roman"/>
          <w:b w:val="false"/>
          <w:sz w:val="20"/>
        </w:rPr>
        <w:t>The public warrants are valued using quoted market prices on the Nasdaq Capital Market under the ticker PWPPW and are included in Warrant</w:t>
      </w:r>
      <w:r>
        <w:rPr>
          <w:rFonts w:ascii="Times New Roman" w:hAnsi="Times New Roman"/>
          <w:sz w:val="20"/>
        </w:rPr>
        <w:t xml:space="preserve"> </w:t>
      </w:r>
      <w:r>
        <w:rPr>
          <w:rFonts w:ascii="Times New Roman" w:hAnsi="Times New Roman"/>
          <w:b w:val="false"/>
          <w:sz w:val="20"/>
        </w:rPr>
        <w:t>liabilities on the Condensed Consolidated Statements of Financial Condition. As of June 30, 2021, the price per public warrant was $2.78.</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240"/>
        <w:ind w:left="0" w:right="0" w:firstLine="547"/>
        <w:jc w:val="both"/>
        <w:rPr>
          <w:rFonts w:ascii="Times New Roman" w:hAnsi="Times New Roman"/>
          <w:sz w:val="20"/>
        </w:rPr>
      </w:pPr>
      <w:r>
        <w:rPr>
          <w:rFonts w:ascii="Times New Roman" w:hAnsi="Times New Roman"/>
          <w:b w:val="false"/>
          <w:sz w:val="20"/>
        </w:rPr>
        <w:t>Management determines the fair value of the private warrants using the Black-Scholes option pricing valuation model (“Valuation Model”). The private warrants are classified as Level 3 as of June 30, 2021</w:t>
      </w:r>
      <w:r>
        <w:rPr>
          <w:rFonts w:ascii="Times New Roman" w:hAnsi="Times New Roman"/>
          <w:sz w:val="20"/>
        </w:rPr>
        <w:t xml:space="preserve"> </w:t>
      </w:r>
      <w:r>
        <w:rPr>
          <w:rFonts w:ascii="Times New Roman" w:hAnsi="Times New Roman"/>
          <w:b w:val="false"/>
          <w:sz w:val="20"/>
        </w:rPr>
        <w:t>because of the use of significant unobservable inputs in the Valuation Model. The inputs into the Valuation Model for the private warrants, including some significant unobservable inputs, were as follows:</w:t>
      </w:r>
    </w:p>
    <w:tbl>
      <w:tblPr>
        <w:tblW w:w="3868" w:type="dxa"/>
        <w:jc w:val="left"/>
        <w:tblInd w:w="0" w:type="dxa"/>
        <w:tblCellMar>
          <w:top w:w="28" w:type="dxa"/>
          <w:left w:w="28" w:type="dxa"/>
          <w:bottom w:w="28" w:type="dxa"/>
          <w:right w:w="28" w:type="dxa"/>
        </w:tblCellMar>
      </w:tblPr>
      <w:tblGrid>
        <w:gridCol w:w="2131"/>
        <w:gridCol w:w="146"/>
        <w:gridCol w:w="342"/>
        <w:gridCol w:w="933"/>
        <w:gridCol w:w="31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June 30, 2021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1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Risk-free rate of return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2" w:type="dxa"/>
            <w:tcBorders/>
            <w:shd w:fill="auto" w:val="clear"/>
            <w:vAlign w:val="center"/>
          </w:tcPr>
          <w:p>
            <w:pPr>
              <w:pStyle w:val="TableContents"/>
              <w:spacing w:lineRule="auto" w:line="312" w:before="0" w:after="0"/>
              <w:ind w:left="0" w:right="0" w:hanging="0"/>
              <w:jc w:val="left"/>
              <w:rPr/>
            </w:pPr>
            <w:r>
              <w:rPr/>
              <w:t> </w:t>
            </w:r>
          </w:p>
        </w:tc>
        <w:tc>
          <w:tcPr>
            <w:tcW w:w="9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0.90</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2" w:type="dxa"/>
            <w:tcBorders/>
            <w:shd w:fill="auto" w:val="clear"/>
            <w:vAlign w:val="center"/>
          </w:tcPr>
          <w:p>
            <w:pPr>
              <w:pStyle w:val="TableContents"/>
              <w:spacing w:lineRule="auto" w:line="312" w:before="0" w:after="0"/>
              <w:ind w:left="0" w:right="0" w:hanging="0"/>
              <w:jc w:val="left"/>
              <w:rPr/>
            </w:pPr>
            <w:r>
              <w:rPr/>
              <w:t> </w:t>
            </w:r>
          </w:p>
        </w:tc>
        <w:tc>
          <w:tcPr>
            <w:tcW w:w="9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27.50</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2" w:type="dxa"/>
            <w:tcBorders/>
            <w:shd w:fill="auto" w:val="clear"/>
            <w:vAlign w:val="center"/>
          </w:tcPr>
          <w:p>
            <w:pPr>
              <w:pStyle w:val="TableContents"/>
              <w:spacing w:lineRule="auto" w:line="312" w:before="0" w:after="0"/>
              <w:ind w:left="0" w:right="0" w:hanging="0"/>
              <w:jc w:val="left"/>
              <w:rPr/>
            </w:pPr>
            <w:r>
              <w:rPr/>
              <w:t> </w:t>
            </w:r>
          </w:p>
        </w:tc>
        <w:tc>
          <w:tcPr>
            <w:tcW w:w="9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2.00</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term (years)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2" w:type="dxa"/>
            <w:tcBorders/>
            <w:shd w:fill="auto" w:val="clear"/>
            <w:vAlign w:val="center"/>
          </w:tcPr>
          <w:p>
            <w:pPr>
              <w:pStyle w:val="TableContents"/>
              <w:spacing w:lineRule="auto" w:line="312" w:before="0" w:after="0"/>
              <w:ind w:left="0" w:right="0" w:hanging="0"/>
              <w:jc w:val="left"/>
              <w:rPr/>
            </w:pPr>
            <w:r>
              <w:rPr/>
              <w:t> </w:t>
            </w:r>
          </w:p>
        </w:tc>
        <w:tc>
          <w:tcPr>
            <w:tcW w:w="9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w:t>
            </w:r>
          </w:p>
        </w:tc>
        <w:tc>
          <w:tcPr>
            <w:tcW w:w="316" w:type="dxa"/>
            <w:tcBorders/>
            <w:shd w:fill="auto" w:val="clear"/>
            <w:vAlign w:val="center"/>
          </w:tcPr>
          <w:p>
            <w:pPr>
              <w:pStyle w:val="TableContents"/>
              <w:spacing w:lineRule="auto" w:line="312" w:before="0" w:after="0"/>
              <w:ind w:left="0" w:right="0" w:hanging="0"/>
              <w:jc w:val="left"/>
              <w:rPr/>
            </w:pPr>
            <w:r>
              <w:rPr/>
              <w:t> </w:t>
            </w:r>
          </w:p>
        </w:tc>
      </w:tr>
      <w:tr>
        <w:trPr/>
        <w:tc>
          <w:tcPr>
            <w:tcW w:w="21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Exercise price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11.50</w:t>
            </w:r>
          </w:p>
        </w:tc>
        <w:tc>
          <w:tcPr>
            <w:tcW w:w="316" w:type="dxa"/>
            <w:tcBorders/>
            <w:shd w:fill="auto" w:val="clear"/>
            <w:vAlign w:val="center"/>
          </w:tcPr>
          <w:p>
            <w:pPr>
              <w:pStyle w:val="TableContents"/>
              <w:spacing w:lineRule="auto" w:line="312" w:before="0" w:after="0"/>
              <w:ind w:left="0" w:right="0" w:hanging="0"/>
              <w:jc w:val="left"/>
              <w:rPr/>
            </w:pPr>
            <w:r>
              <w:rPr/>
              <w:t> </w:t>
            </w:r>
          </w:p>
        </w:tc>
      </w:tr>
      <w:tr>
        <w:trPr/>
        <w:tc>
          <w:tcPr>
            <w:tcW w:w="21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Asset price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13.28</w:t>
            </w:r>
          </w:p>
        </w:tc>
        <w:tc>
          <w:tcPr>
            <w:tcW w:w="316"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The Company’s use of the Valuation Model required the use of the following assumptions:</w:t>
      </w:r>
    </w:p>
    <w:p>
      <w:pPr>
        <w:pStyle w:val="TextBody"/>
        <w:spacing w:lineRule="auto" w:line="312" w:before="240" w:after="0"/>
        <w:ind w:left="489" w:right="0" w:hanging="0"/>
        <w:rPr/>
      </w:pPr>
      <w:r>
        <w:rPr/>
        <w:t></w:t>
      </w:r>
    </w:p>
    <w:p>
      <w:pPr>
        <w:pStyle w:val="TextBody"/>
        <w:spacing w:lineRule="auto" w:line="312" w:before="240" w:after="0"/>
        <w:rPr>
          <w:rFonts w:ascii="Times New Roman" w:hAnsi="Times New Roman"/>
          <w:b w:val="false"/>
          <w:sz w:val="20"/>
        </w:rPr>
      </w:pPr>
      <w:r>
        <w:rPr>
          <w:rFonts w:ascii="Times New Roman" w:hAnsi="Times New Roman"/>
          <w:b w:val="false"/>
          <w:sz w:val="20"/>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pStyle w:val="TextBody"/>
        <w:spacing w:lineRule="auto" w:line="312" w:before="240" w:after="0"/>
        <w:ind w:left="489" w:right="0" w:hanging="0"/>
        <w:rPr/>
      </w:pPr>
      <w:r>
        <w:rPr/>
        <w:t></w:t>
      </w:r>
    </w:p>
    <w:p>
      <w:pPr>
        <w:pStyle w:val="TextBody"/>
        <w:spacing w:lineRule="auto" w:line="312" w:before="240" w:after="0"/>
        <w:rPr>
          <w:rFonts w:ascii="Times New Roman" w:hAnsi="Times New Roman"/>
          <w:b w:val="false"/>
          <w:sz w:val="20"/>
        </w:rPr>
      </w:pPr>
      <w:r>
        <w:rPr>
          <w:rFonts w:ascii="Times New Roman" w:hAnsi="Times New Roman"/>
          <w:b w:val="false"/>
          <w:sz w:val="20"/>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pStyle w:val="TextBody"/>
        <w:spacing w:lineRule="auto" w:line="312" w:before="240" w:after="0"/>
        <w:ind w:left="489" w:right="0" w:hanging="0"/>
        <w:rPr/>
      </w:pPr>
      <w:r>
        <w:rPr/>
        <w:t></w:t>
      </w:r>
    </w:p>
    <w:p>
      <w:pPr>
        <w:pStyle w:val="TextBody"/>
        <w:spacing w:lineRule="auto" w:line="312" w:before="240" w:after="283"/>
        <w:rPr/>
      </w:pPr>
      <w:r>
        <w:rPr>
          <w:rFonts w:ascii="Times New Roman" w:hAnsi="Times New Roman"/>
          <w:b w:val="false"/>
          <w:sz w:val="20"/>
        </w:rPr>
        <w:t>The dividend yield was based on management</w:t>
      </w:r>
      <w:r>
        <w:rPr/>
        <w:t>’</w:t>
      </w:r>
      <w:r>
        <w:rPr>
          <w:rFonts w:ascii="Times New Roman" w:hAnsi="Times New Roman"/>
          <w:b w:val="false"/>
          <w:sz w:val="20"/>
        </w:rPr>
        <w:t>s expectation that the Company will pay 2%</w:t>
      </w:r>
      <w:r>
        <w:rPr/>
        <w:t xml:space="preserve"> </w:t>
      </w:r>
      <w:r>
        <w:rPr>
          <w:rFonts w:ascii="Times New Roman" w:hAnsi="Times New Roman"/>
          <w:b w:val="false"/>
          <w:sz w:val="20"/>
        </w:rPr>
        <w:t>dividends during the term.</w:t>
      </w:r>
    </w:p>
    <w:p>
      <w:pPr>
        <w:pStyle w:val="TextBody"/>
        <w:spacing w:lineRule="auto" w:line="312" w:before="240" w:after="0"/>
        <w:ind w:left="0" w:right="0" w:firstLine="547"/>
        <w:jc w:val="both"/>
        <w:rPr>
          <w:rFonts w:ascii="Times New Roman" w:hAnsi="Times New Roman"/>
          <w:sz w:val="20"/>
        </w:rPr>
      </w:pPr>
      <w:r>
        <w:rPr>
          <w:rFonts w:ascii="Times New Roman" w:hAnsi="Times New Roman"/>
          <w:b w:val="false"/>
          <w:sz w:val="20"/>
        </w:rPr>
        <w:t>The resulting valuation for the private warrants were determined to be $3.18</w:t>
      </w:r>
      <w:r>
        <w:rPr>
          <w:rFonts w:ascii="Times New Roman" w:hAnsi="Times New Roman"/>
          <w:sz w:val="20"/>
        </w:rPr>
        <w:t xml:space="preserve"> </w:t>
      </w:r>
      <w:r>
        <w:rPr>
          <w:rFonts w:ascii="Times New Roman" w:hAnsi="Times New Roman"/>
          <w:b w:val="false"/>
          <w:sz w:val="20"/>
        </w:rPr>
        <w:t>per unit as of June 30, 2021. The Company had approximately 203,333.33</w:t>
      </w:r>
      <w:r>
        <w:rPr>
          <w:rFonts w:ascii="Times New Roman" w:hAnsi="Times New Roman"/>
          <w:sz w:val="20"/>
        </w:rPr>
        <w:t xml:space="preserve"> </w:t>
      </w:r>
      <w:r>
        <w:rPr>
          <w:rFonts w:ascii="Times New Roman" w:hAnsi="Times New Roman"/>
          <w:b w:val="false"/>
          <w:sz w:val="20"/>
        </w:rPr>
        <w:t>private warrants outstanding as of June 30, 2021, resulting in a fair value of $0.6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recorded within Warrant liabilities in the Condensed Consolidated Statements of Financial Condition.</w:t>
      </w:r>
    </w:p>
    <w:p>
      <w:pPr>
        <w:pStyle w:val="TextBody"/>
        <w:spacing w:lineRule="auto" w:line="312" w:before="240" w:after="240"/>
        <w:ind w:left="0" w:right="0" w:firstLine="547"/>
        <w:jc w:val="both"/>
        <w:rPr>
          <w:rFonts w:ascii="Times New Roman" w:hAnsi="Times New Roman"/>
          <w:sz w:val="20"/>
        </w:rPr>
      </w:pPr>
      <w:r>
        <w:rPr>
          <w:rFonts w:ascii="Times New Roman" w:hAnsi="Times New Roman"/>
          <w:b w:val="false"/>
          <w:sz w:val="20"/>
        </w:rPr>
        <w:t>The following table presents changes in Level 3 financial liabilities measured at fair value for the period from June 24, 2021 to June 30, 2021:</w:t>
      </w:r>
      <w:r>
        <w:rPr>
          <w:rFonts w:ascii="Times New Roman" w:hAnsi="Times New Roman"/>
          <w:sz w:val="20"/>
        </w:rPr>
        <w:t xml:space="preserve"> </w:t>
      </w:r>
    </w:p>
    <w:tbl>
      <w:tblPr>
        <w:tblW w:w="4828" w:type="dxa"/>
        <w:jc w:val="left"/>
        <w:tblInd w:w="0" w:type="dxa"/>
        <w:tblCellMar>
          <w:top w:w="28" w:type="dxa"/>
          <w:left w:w="28" w:type="dxa"/>
          <w:bottom w:w="28" w:type="dxa"/>
          <w:right w:w="28" w:type="dxa"/>
        </w:tblCellMar>
      </w:tblPr>
      <w:tblGrid>
        <w:gridCol w:w="2866"/>
        <w:gridCol w:w="146"/>
        <w:gridCol w:w="534"/>
        <w:gridCol w:w="1071"/>
        <w:gridCol w:w="211"/>
      </w:tblGrid>
      <w:tr>
        <w:trPr/>
        <w:tc>
          <w:tcPr>
            <w:tcW w:w="2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Private Warrants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8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at Business Combination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3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675</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28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 in fair value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8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at end of period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ind w:left="0" w:right="0" w:hanging="0"/>
        <w:jc w:val="both"/>
        <w:rPr>
          <w:rFonts w:ascii="Times New Roman" w:hAnsi="Times New Roman"/>
          <w:sz w:val="20"/>
        </w:rPr>
      </w:pPr>
      <w:r>
        <w:rPr>
          <w:rFonts w:ascii="Times New Roman" w:hAnsi="Times New Roman"/>
          <w:b/>
          <w:i/>
          <w:sz w:val="20"/>
        </w:rPr>
        <w:t>Other Investments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As of June 30, 2021, the Company applies the equity method of accounting to its investment in PFAC Holdings I LLC (“PFAC Holdings”), an indirect parent of PWP Forward Acquisition Corp. I (“PFAC”), a special purpose acquisition company. As of June 30, 2021, the Company’s investment in PFAC Holdings was $1.1</w:t>
      </w:r>
      <w:r>
        <w:rPr>
          <w:rFonts w:ascii="Times New Roman" w:hAnsi="Times New Roman"/>
          <w:sz w:val="20"/>
        </w:rPr>
        <w:t xml:space="preserve"> </w:t>
      </w:r>
      <w:r>
        <w:rPr>
          <w:rFonts w:ascii="Times New Roman" w:hAnsi="Times New Roman"/>
          <w:b w:val="false"/>
          <w:sz w:val="20"/>
        </w:rPr>
        <w:t>million. The Company’s share of earnings of PFAC Holdings is included in the Condensed Consolidated Statements of Operations</w:t>
      </w:r>
      <w:r>
        <w:rPr>
          <w:rFonts w:ascii="Times New Roman" w:hAnsi="Times New Roman"/>
          <w:sz w:val="20"/>
        </w:rPr>
        <w:t xml:space="preserve"> </w:t>
      </w:r>
      <w:r>
        <w:rPr>
          <w:rFonts w:ascii="Times New Roman" w:hAnsi="Times New Roman"/>
          <w:b w:val="false"/>
          <w:sz w:val="20"/>
        </w:rPr>
        <w:t>for the three and six months ended June 30, 2021.</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336" w:before="0" w:after="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jc w:val="center"/>
        <w:rPr>
          <w:rFonts w:ascii="Times New Roman" w:hAnsi="Times New Roman"/>
          <w:b/>
          <w:sz w:val="20"/>
        </w:rPr>
      </w:pPr>
      <w:r>
        <w:rPr>
          <w:rFonts w:ascii="Times New Roman" w:hAnsi="Times New Roman"/>
          <w:b/>
          <w:sz w:val="20"/>
        </w:rPr>
        <w:t>(Unaudited)</w:t>
      </w:r>
    </w:p>
    <w:p>
      <w:pPr>
        <w:pStyle w:val="TextBody"/>
        <w:spacing w:lineRule="auto" w:line="312" w:before="40" w:after="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jc w:val="both"/>
        <w:rPr/>
      </w:pPr>
      <w:r>
        <w:rPr/>
        <w:t> </w:t>
      </w:r>
    </w:p>
    <w:p>
      <w:pPr>
        <w:pStyle w:val="TextBody"/>
        <w:spacing w:lineRule="auto" w:line="312" w:before="240" w:after="0"/>
        <w:jc w:val="both"/>
        <w:rPr>
          <w:rFonts w:ascii="Times New Roman" w:hAnsi="Times New Roman"/>
          <w:sz w:val="20"/>
        </w:rPr>
      </w:pPr>
      <w:r>
        <w:rPr>
          <w:rFonts w:ascii="Times New Roman" w:hAnsi="Times New Roman"/>
          <w:b/>
          <w:sz w:val="20"/>
        </w:rPr>
        <w:t>Note 17</w:t>
      </w:r>
      <w:r>
        <w:rPr>
          <w:rFonts w:ascii="Times New Roman" w:hAnsi="Times New Roman"/>
          <w:sz w:val="20"/>
        </w:rPr>
        <w:t xml:space="preserve"> – </w:t>
      </w:r>
      <w:r>
        <w:rPr>
          <w:rFonts w:ascii="Times New Roman" w:hAnsi="Times New Roman"/>
          <w:b/>
          <w:sz w:val="20"/>
        </w:rPr>
        <w:t xml:space="preserve">Related Party Transactions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PWP Capital Holdings LP</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i/>
          <w:sz w:val="20"/>
        </w:rPr>
        <w:t>TSA Agreement</w:t>
      </w:r>
      <w:r>
        <w:rPr>
          <w:rFonts w:ascii="Times New Roman" w:hAnsi="Times New Roman"/>
          <w:sz w:val="20"/>
        </w:rPr>
        <w:t xml:space="preserve"> – </w:t>
      </w:r>
      <w:r>
        <w:rPr>
          <w:rFonts w:ascii="Times New Roman" w:hAnsi="Times New Roman"/>
          <w:b w:val="false"/>
          <w:sz w:val="20"/>
        </w:rPr>
        <w:t>In connection with the Separation, the Company entered into a transition services agreement (the “TSA”) with PWP Capital 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i/>
          <w:sz w:val="20"/>
        </w:rPr>
        <w:t xml:space="preserve">Sublease Income </w:t>
      </w:r>
      <w:r>
        <w:rPr>
          <w:rFonts w:ascii="Times New Roman" w:hAnsi="Times New Roman"/>
          <w:sz w:val="20"/>
        </w:rPr>
        <w:t xml:space="preserve">– </w:t>
      </w:r>
      <w:r>
        <w:rPr>
          <w:rFonts w:ascii="Times New Roman" w:hAnsi="Times New Roman"/>
          <w:b w:val="false"/>
          <w:sz w:val="20"/>
        </w:rPr>
        <w:t>In connection with the Separation, the Company subleases a portion of its office space at its New York and Houston locations to PWP Capital Holdings LP. Sublease rent payments are due monthly and are based on PWP Capital Holdings LP’s pro-rata portion of the underlying lease agreements including base rent as well as other lease related charges. See additional information regarding the subleases at Note 5 – Leases.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i/>
          <w:sz w:val="20"/>
        </w:rPr>
        <w:t>Compensation Arrangements</w:t>
      </w:r>
      <w:r>
        <w:rPr>
          <w:rFonts w:ascii="Times New Roman" w:hAnsi="Times New Roman"/>
          <w:sz w:val="20"/>
        </w:rPr>
        <w:t xml:space="preserve"> – </w:t>
      </w:r>
      <w:r>
        <w:rPr>
          <w:rFonts w:ascii="Times New Roman" w:hAnsi="Times New Roman"/>
          <w:b w:val="false"/>
          <w:sz w:val="20"/>
        </w:rPr>
        <w:t>In addition, PWP Capital Holdings LP has entered into an arrangement with an employee of the Company related 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Amounts due from PWP Capital Holdings LP are reflected as Due from related parties on the Condensed Consolidated Statements of Financial Condition.</w:t>
      </w:r>
      <w:r>
        <w:rPr>
          <w:rFonts w:ascii="Times New Roman" w:hAnsi="Times New Roman"/>
          <w:sz w:val="20"/>
        </w:rPr>
        <w:t xml:space="preserve"> </w:t>
      </w:r>
    </w:p>
    <w:p>
      <w:pPr>
        <w:pStyle w:val="TextBody"/>
        <w:spacing w:lineRule="auto" w:line="312" w:before="240" w:after="240"/>
        <w:ind w:left="0" w:right="0" w:firstLine="490"/>
        <w:jc w:val="both"/>
        <w:rPr>
          <w:rFonts w:ascii="Times New Roman" w:hAnsi="Times New Roman"/>
          <w:sz w:val="20"/>
        </w:rPr>
      </w:pPr>
      <w:r>
        <w:rPr>
          <w:rFonts w:ascii="Times New Roman" w:hAnsi="Times New Roman"/>
          <w:b w:val="false"/>
          <w:sz w:val="20"/>
        </w:rPr>
        <w:t>The following table shows the components</w:t>
      </w:r>
      <w:r>
        <w:rPr>
          <w:rFonts w:ascii="Times New Roman" w:hAnsi="Times New Roman"/>
          <w:sz w:val="20"/>
        </w:rPr>
        <w:t xml:space="preserve"> </w:t>
      </w:r>
      <w:r>
        <w:rPr>
          <w:rFonts w:ascii="Times New Roman" w:hAnsi="Times New Roman"/>
          <w:b w:val="false"/>
          <w:sz w:val="20"/>
        </w:rPr>
        <w:t>of TSA income, reported within Related party income, and expenses included in the Condensed Consolidated Statements of Operations</w:t>
      </w:r>
      <w:r>
        <w:rPr>
          <w:rFonts w:ascii="Times New Roman" w:hAnsi="Times New Roman"/>
          <w:sz w:val="20"/>
        </w:rPr>
        <w:t xml:space="preserve"> </w:t>
      </w:r>
      <w:r>
        <w:rPr>
          <w:rFonts w:ascii="Times New Roman" w:hAnsi="Times New Roman"/>
          <w:b w:val="false"/>
          <w:sz w:val="20"/>
        </w:rPr>
        <w:t>for the periods presented:</w:t>
      </w:r>
    </w:p>
    <w:tbl>
      <w:tblPr>
        <w:tblW w:w="9381" w:type="dxa"/>
        <w:jc w:val="left"/>
        <w:tblInd w:w="0" w:type="dxa"/>
        <w:tblCellMar>
          <w:top w:w="28" w:type="dxa"/>
          <w:left w:w="28" w:type="dxa"/>
          <w:bottom w:w="28" w:type="dxa"/>
          <w:right w:w="28" w:type="dxa"/>
        </w:tblCellMar>
      </w:tblPr>
      <w:tblGrid>
        <w:gridCol w:w="3466"/>
        <w:gridCol w:w="146"/>
        <w:gridCol w:w="298"/>
        <w:gridCol w:w="807"/>
        <w:gridCol w:w="206"/>
        <w:gridCol w:w="206"/>
        <w:gridCol w:w="298"/>
        <w:gridCol w:w="807"/>
        <w:gridCol w:w="146"/>
        <w:gridCol w:w="146"/>
        <w:gridCol w:w="271"/>
        <w:gridCol w:w="734"/>
        <w:gridCol w:w="187"/>
        <w:gridCol w:w="187"/>
        <w:gridCol w:w="271"/>
        <w:gridCol w:w="734"/>
        <w:gridCol w:w="47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22"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38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4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1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46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TSA income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5" w:type="dxa"/>
            <w:gridSpan w:val="2"/>
            <w:tcBorders/>
            <w:shd w:fill="auto" w:val="clear"/>
            <w:vAlign w:val="center"/>
          </w:tcPr>
          <w:p>
            <w:pPr>
              <w:pStyle w:val="TableContents"/>
              <w:spacing w:lineRule="auto" w:line="312" w:before="0" w:after="0"/>
              <w:ind w:left="0" w:right="0" w:hanging="0"/>
              <w:jc w:val="center"/>
              <w:rPr/>
            </w:pPr>
            <w:r>
              <w:rPr/>
              <w:t> </w:t>
            </w:r>
          </w:p>
        </w:tc>
        <w:tc>
          <w:tcPr>
            <w:tcW w:w="206" w:type="dxa"/>
            <w:tcBorders/>
            <w:shd w:fill="auto" w:val="clear"/>
            <w:vAlign w:val="center"/>
          </w:tcPr>
          <w:p>
            <w:pPr>
              <w:pStyle w:val="TableContents"/>
              <w:spacing w:lineRule="auto" w:line="312" w:before="0" w:after="0"/>
              <w:ind w:left="0" w:right="0" w:hanging="0"/>
              <w:jc w:val="center"/>
              <w:rPr/>
            </w:pPr>
            <w:r>
              <w:rPr/>
              <w:t> </w:t>
            </w:r>
          </w:p>
        </w:tc>
        <w:tc>
          <w:tcPr>
            <w:tcW w:w="206" w:type="dxa"/>
            <w:tcBorders/>
            <w:shd w:fill="auto" w:val="clear"/>
            <w:vAlign w:val="center"/>
          </w:tcPr>
          <w:p>
            <w:pPr>
              <w:pStyle w:val="TableContents"/>
              <w:spacing w:lineRule="auto" w:line="312" w:before="0" w:after="0"/>
              <w:ind w:left="0" w:right="0" w:hanging="0"/>
              <w:jc w:val="center"/>
              <w:rPr/>
            </w:pPr>
            <w:r>
              <w:rPr/>
              <w:t> </w:t>
            </w:r>
          </w:p>
        </w:tc>
        <w:tc>
          <w:tcPr>
            <w:tcW w:w="1105"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05" w:type="dxa"/>
            <w:gridSpan w:val="2"/>
            <w:tcBorders/>
            <w:shd w:fill="auto" w:val="clear"/>
            <w:vAlign w:val="center"/>
          </w:tcPr>
          <w:p>
            <w:pPr>
              <w:pStyle w:val="TableContents"/>
              <w:spacing w:lineRule="auto" w:line="312" w:before="0" w:after="0"/>
              <w:ind w:left="0" w:right="0" w:hanging="0"/>
              <w:jc w:val="center"/>
              <w:rPr/>
            </w:pPr>
            <w:r>
              <w:rPr/>
              <w:t> </w:t>
            </w:r>
          </w:p>
        </w:tc>
        <w:tc>
          <w:tcPr>
            <w:tcW w:w="187" w:type="dxa"/>
            <w:tcBorders/>
            <w:shd w:fill="auto" w:val="clear"/>
            <w:vAlign w:val="center"/>
          </w:tcPr>
          <w:p>
            <w:pPr>
              <w:pStyle w:val="TableContents"/>
              <w:spacing w:lineRule="auto" w:line="312" w:before="0" w:after="0"/>
              <w:ind w:left="0" w:right="0" w:hanging="0"/>
              <w:jc w:val="center"/>
              <w:rPr/>
            </w:pPr>
            <w:r>
              <w:rPr/>
              <w:t> </w:t>
            </w:r>
          </w:p>
        </w:tc>
        <w:tc>
          <w:tcPr>
            <w:tcW w:w="187" w:type="dxa"/>
            <w:tcBorders/>
            <w:shd w:fill="auto" w:val="clear"/>
            <w:vAlign w:val="center"/>
          </w:tcPr>
          <w:p>
            <w:pPr>
              <w:pStyle w:val="TableContents"/>
              <w:spacing w:lineRule="auto" w:line="312" w:before="0" w:after="0"/>
              <w:ind w:left="0" w:right="0" w:hanging="0"/>
              <w:jc w:val="center"/>
              <w:rPr/>
            </w:pPr>
            <w:r>
              <w:rPr/>
              <w:t> </w:t>
            </w:r>
          </w:p>
        </w:tc>
        <w:tc>
          <w:tcPr>
            <w:tcW w:w="1005" w:type="dxa"/>
            <w:gridSpan w:val="2"/>
            <w:tcBorders/>
            <w:shd w:fill="auto" w:val="clear"/>
            <w:vAlign w:val="center"/>
          </w:tcPr>
          <w:p>
            <w:pPr>
              <w:pStyle w:val="TableContents"/>
              <w:spacing w:lineRule="auto" w:line="312" w:before="0" w:after="0"/>
              <w:ind w:left="0" w:right="0" w:hanging="0"/>
              <w:jc w:val="center"/>
              <w:rPr/>
            </w:pPr>
            <w:r>
              <w:rPr/>
              <w:t> </w:t>
            </w:r>
          </w:p>
        </w:tc>
        <w:tc>
          <w:tcPr>
            <w:tcW w:w="471" w:type="dxa"/>
            <w:tcBorders/>
            <w:shd w:fill="auto" w:val="clear"/>
            <w:vAlign w:val="center"/>
          </w:tcPr>
          <w:p>
            <w:pPr>
              <w:pStyle w:val="TableContents"/>
              <w:spacing w:lineRule="auto" w:line="312" w:before="0" w:after="0"/>
              <w:ind w:left="0" w:right="0" w:firstLine="140"/>
              <w:jc w:val="center"/>
              <w:rPr/>
            </w:pPr>
            <w:r>
              <w:rPr/>
              <w:t> </w:t>
            </w:r>
          </w:p>
        </w:tc>
      </w:tr>
      <w:tr>
        <w:trPr/>
        <w:tc>
          <w:tcPr>
            <w:tcW w:w="346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TSA income – Compensation related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562</w:t>
            </w:r>
          </w:p>
        </w:tc>
        <w:tc>
          <w:tcPr>
            <w:tcW w:w="206" w:type="dxa"/>
            <w:tcBorders/>
            <w:shd w:fill="auto" w:val="clear"/>
            <w:vAlign w:val="center"/>
          </w:tcPr>
          <w:p>
            <w:pPr>
              <w:pStyle w:val="TableContents"/>
              <w:spacing w:lineRule="auto" w:line="312" w:before="0" w:after="0"/>
              <w:ind w:left="0" w:right="0" w:hanging="0"/>
              <w:jc w:val="left"/>
              <w:rPr/>
            </w:pPr>
            <w:r>
              <w:rPr/>
              <w:t> </w:t>
            </w:r>
          </w:p>
        </w:tc>
        <w:tc>
          <w:tcPr>
            <w:tcW w:w="206" w:type="dxa"/>
            <w:tcBorders/>
            <w:shd w:fill="auto" w:val="clear"/>
            <w:vAlign w:val="center"/>
          </w:tcPr>
          <w:p>
            <w:pPr>
              <w:pStyle w:val="TableContents"/>
              <w:spacing w:lineRule="auto" w:line="312" w:before="0" w:after="0"/>
              <w:ind w:left="0" w:right="0" w:hanging="0"/>
              <w:jc w:val="center"/>
              <w:rPr/>
            </w:pPr>
            <w:r>
              <w:rPr/>
              <w:t> </w:t>
            </w:r>
          </w:p>
        </w:tc>
        <w:tc>
          <w:tcPr>
            <w:tcW w:w="29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1,149</w:t>
            </w:r>
          </w:p>
        </w:tc>
        <w:tc>
          <w:tcPr>
            <w:tcW w:w="187" w:type="dxa"/>
            <w:tcBorders/>
            <w:shd w:fill="auto" w:val="clear"/>
            <w:vAlign w:val="center"/>
          </w:tcPr>
          <w:p>
            <w:pPr>
              <w:pStyle w:val="TableContents"/>
              <w:spacing w:lineRule="auto" w:line="312" w:before="0" w:after="0"/>
              <w:ind w:left="0" w:right="0" w:hanging="0"/>
              <w:jc w:val="left"/>
              <w:rPr/>
            </w:pPr>
            <w:r>
              <w:rPr/>
              <w:t> </w:t>
            </w:r>
          </w:p>
        </w:tc>
        <w:tc>
          <w:tcPr>
            <w:tcW w:w="187" w:type="dxa"/>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2,136</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346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TSA income – Non-compensation related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8" w:type="dxa"/>
            <w:tcBorders/>
            <w:shd w:fill="auto" w:val="clear"/>
            <w:vAlign w:val="center"/>
          </w:tcPr>
          <w:p>
            <w:pPr>
              <w:pStyle w:val="TableContents"/>
              <w:spacing w:lineRule="auto" w:line="312" w:before="0" w:after="0"/>
              <w:ind w:left="0" w:right="0" w:hanging="0"/>
              <w:jc w:val="left"/>
              <w:rPr/>
            </w:pPr>
            <w:r>
              <w:rPr/>
              <w:t> </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157</w:t>
            </w:r>
          </w:p>
        </w:tc>
        <w:tc>
          <w:tcPr>
            <w:tcW w:w="206" w:type="dxa"/>
            <w:tcBorders/>
            <w:shd w:fill="auto" w:val="clear"/>
            <w:vAlign w:val="center"/>
          </w:tcPr>
          <w:p>
            <w:pPr>
              <w:pStyle w:val="TableContents"/>
              <w:spacing w:lineRule="auto" w:line="312" w:before="0" w:after="0"/>
              <w:ind w:left="0" w:right="0" w:hanging="0"/>
              <w:jc w:val="left"/>
              <w:rPr/>
            </w:pPr>
            <w:r>
              <w:rPr/>
              <w:t> </w:t>
            </w:r>
          </w:p>
        </w:tc>
        <w:tc>
          <w:tcPr>
            <w:tcW w:w="206" w:type="dxa"/>
            <w:tcBorders/>
            <w:shd w:fill="auto" w:val="clear"/>
            <w:vAlign w:val="center"/>
          </w:tcPr>
          <w:p>
            <w:pPr>
              <w:pStyle w:val="TableContents"/>
              <w:spacing w:lineRule="auto" w:line="312" w:before="0" w:after="0"/>
              <w:ind w:left="0" w:right="0" w:hanging="0"/>
              <w:jc w:val="center"/>
              <w:rPr/>
            </w:pPr>
            <w:r>
              <w:rPr/>
              <w:t> </w:t>
            </w:r>
          </w:p>
        </w:tc>
        <w:tc>
          <w:tcPr>
            <w:tcW w:w="298" w:type="dxa"/>
            <w:tcBorders/>
            <w:shd w:fill="auto" w:val="clear"/>
            <w:vAlign w:val="center"/>
          </w:tcPr>
          <w:p>
            <w:pPr>
              <w:pStyle w:val="TableContents"/>
              <w:spacing w:lineRule="auto" w:line="312" w:before="0" w:after="0"/>
              <w:ind w:left="0" w:right="0" w:hanging="0"/>
              <w:jc w:val="left"/>
              <w:rPr/>
            </w:pPr>
            <w:r>
              <w:rPr/>
              <w:t> </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73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337</w:t>
            </w:r>
          </w:p>
        </w:tc>
        <w:tc>
          <w:tcPr>
            <w:tcW w:w="187" w:type="dxa"/>
            <w:tcBorders/>
            <w:shd w:fill="auto" w:val="clear"/>
            <w:vAlign w:val="center"/>
          </w:tcPr>
          <w:p>
            <w:pPr>
              <w:pStyle w:val="TableContents"/>
              <w:spacing w:lineRule="auto" w:line="312" w:before="0" w:after="0"/>
              <w:ind w:left="0" w:right="0" w:hanging="0"/>
              <w:jc w:val="left"/>
              <w:rPr/>
            </w:pPr>
            <w:r>
              <w:rPr/>
              <w:t> </w:t>
            </w:r>
          </w:p>
        </w:tc>
        <w:tc>
          <w:tcPr>
            <w:tcW w:w="187" w:type="dxa"/>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73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684</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346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Sublease income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806</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1,613</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1,951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46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TSA income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1,525</w:t>
            </w:r>
          </w:p>
        </w:tc>
        <w:tc>
          <w:tcPr>
            <w:tcW w:w="2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3,099</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4,771</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466" w:type="dxa"/>
            <w:tcBorders/>
            <w:shd w:fill="auto" w:val="clear"/>
            <w:vAlign w:val="center"/>
          </w:tcPr>
          <w:p>
            <w:pPr>
              <w:pStyle w:val="TableContents"/>
              <w:spacing w:before="0" w:after="283"/>
              <w:ind w:left="0" w:right="0" w:firstLine="28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5" w:type="dxa"/>
            <w:gridSpan w:val="2"/>
            <w:tcBorders/>
            <w:shd w:fill="auto" w:val="clear"/>
            <w:vAlign w:val="center"/>
          </w:tcPr>
          <w:p>
            <w:pPr>
              <w:pStyle w:val="TableContents"/>
              <w:spacing w:lineRule="auto" w:line="312" w:before="0" w:after="0"/>
              <w:ind w:left="0" w:right="0" w:hanging="0"/>
              <w:jc w:val="right"/>
              <w:rPr/>
            </w:pPr>
            <w:r>
              <w:rPr/>
              <w:t> </w:t>
            </w:r>
          </w:p>
        </w:tc>
        <w:tc>
          <w:tcPr>
            <w:tcW w:w="206" w:type="dxa"/>
            <w:tcBorders/>
            <w:shd w:fill="auto" w:val="clear"/>
            <w:vAlign w:val="center"/>
          </w:tcPr>
          <w:p>
            <w:pPr>
              <w:pStyle w:val="TableContents"/>
              <w:spacing w:lineRule="auto" w:line="312" w:before="0" w:after="0"/>
              <w:ind w:left="0" w:right="0" w:hanging="0"/>
              <w:jc w:val="right"/>
              <w:rPr/>
            </w:pPr>
            <w:r>
              <w:rPr/>
              <w:t> </w:t>
            </w:r>
          </w:p>
        </w:tc>
        <w:tc>
          <w:tcPr>
            <w:tcW w:w="206" w:type="dxa"/>
            <w:tcBorders/>
            <w:shd w:fill="auto" w:val="clear"/>
            <w:vAlign w:val="center"/>
          </w:tcPr>
          <w:p>
            <w:pPr>
              <w:pStyle w:val="TableContents"/>
              <w:spacing w:lineRule="auto" w:line="312" w:before="0" w:after="0"/>
              <w:ind w:left="0" w:right="0" w:hanging="0"/>
              <w:jc w:val="left"/>
              <w:rPr/>
            </w:pPr>
            <w:r>
              <w:rPr/>
              <w:t> </w:t>
            </w:r>
          </w:p>
        </w:tc>
        <w:tc>
          <w:tcPr>
            <w:tcW w:w="1105"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05" w:type="dxa"/>
            <w:gridSpan w:val="2"/>
            <w:tcBorders/>
            <w:shd w:fill="auto" w:val="clear"/>
            <w:vAlign w:val="center"/>
          </w:tcPr>
          <w:p>
            <w:pPr>
              <w:pStyle w:val="TableContents"/>
              <w:spacing w:lineRule="auto" w:line="312" w:before="0" w:after="0"/>
              <w:ind w:left="0" w:right="0" w:hanging="0"/>
              <w:jc w:val="right"/>
              <w:rPr/>
            </w:pPr>
            <w:r>
              <w:rPr/>
              <w:t> </w:t>
            </w:r>
          </w:p>
        </w:tc>
        <w:tc>
          <w:tcPr>
            <w:tcW w:w="187" w:type="dxa"/>
            <w:tcBorders/>
            <w:shd w:fill="auto" w:val="clear"/>
            <w:vAlign w:val="center"/>
          </w:tcPr>
          <w:p>
            <w:pPr>
              <w:pStyle w:val="TableContents"/>
              <w:spacing w:lineRule="auto" w:line="312" w:before="0" w:after="0"/>
              <w:ind w:left="0" w:right="0" w:hanging="0"/>
              <w:jc w:val="right"/>
              <w:rPr/>
            </w:pPr>
            <w:r>
              <w:rPr/>
              <w:t> </w:t>
            </w:r>
          </w:p>
        </w:tc>
        <w:tc>
          <w:tcPr>
            <w:tcW w:w="187" w:type="dxa"/>
            <w:tcBorders/>
            <w:shd w:fill="auto" w:val="clear"/>
            <w:vAlign w:val="center"/>
          </w:tcPr>
          <w:p>
            <w:pPr>
              <w:pStyle w:val="TableContents"/>
              <w:spacing w:lineRule="auto" w:line="312" w:before="0" w:after="0"/>
              <w:ind w:left="0" w:right="0" w:hanging="0"/>
              <w:jc w:val="right"/>
              <w:rPr/>
            </w:pPr>
            <w:r>
              <w:rPr/>
              <w:t> </w:t>
            </w:r>
          </w:p>
        </w:tc>
        <w:tc>
          <w:tcPr>
            <w:tcW w:w="1005"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hanging="0"/>
              <w:jc w:val="right"/>
              <w:rPr/>
            </w:pPr>
            <w:r>
              <w:rPr/>
              <w:t> </w:t>
            </w:r>
          </w:p>
        </w:tc>
      </w:tr>
      <w:tr>
        <w:trPr/>
        <w:tc>
          <w:tcPr>
            <w:tcW w:w="346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TSA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5" w:type="dxa"/>
            <w:gridSpan w:val="2"/>
            <w:tcBorders/>
            <w:shd w:fill="auto" w:val="clear"/>
            <w:vAlign w:val="center"/>
          </w:tcPr>
          <w:p>
            <w:pPr>
              <w:pStyle w:val="TableContents"/>
              <w:spacing w:lineRule="auto" w:line="312" w:before="0" w:after="0"/>
              <w:ind w:left="0" w:right="0" w:hanging="0"/>
              <w:jc w:val="center"/>
              <w:rPr/>
            </w:pPr>
            <w:r>
              <w:rPr/>
              <w:t> </w:t>
            </w:r>
          </w:p>
        </w:tc>
        <w:tc>
          <w:tcPr>
            <w:tcW w:w="206" w:type="dxa"/>
            <w:tcBorders/>
            <w:shd w:fill="auto" w:val="clear"/>
            <w:vAlign w:val="center"/>
          </w:tcPr>
          <w:p>
            <w:pPr>
              <w:pStyle w:val="TableContents"/>
              <w:spacing w:lineRule="auto" w:line="312" w:before="0" w:after="0"/>
              <w:ind w:left="0" w:right="0" w:hanging="0"/>
              <w:jc w:val="center"/>
              <w:rPr/>
            </w:pPr>
            <w:r>
              <w:rPr/>
              <w:t> </w:t>
            </w:r>
          </w:p>
        </w:tc>
        <w:tc>
          <w:tcPr>
            <w:tcW w:w="206" w:type="dxa"/>
            <w:tcBorders/>
            <w:shd w:fill="auto" w:val="clear"/>
            <w:vAlign w:val="center"/>
          </w:tcPr>
          <w:p>
            <w:pPr>
              <w:pStyle w:val="TableContents"/>
              <w:spacing w:lineRule="auto" w:line="312" w:before="0" w:after="0"/>
              <w:ind w:left="0" w:right="0" w:hanging="0"/>
              <w:jc w:val="center"/>
              <w:rPr/>
            </w:pPr>
            <w:r>
              <w:rPr/>
              <w:t> </w:t>
            </w:r>
          </w:p>
        </w:tc>
        <w:tc>
          <w:tcPr>
            <w:tcW w:w="1105"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5" w:type="dxa"/>
            <w:gridSpan w:val="2"/>
            <w:tcBorders/>
            <w:shd w:fill="auto" w:val="clear"/>
            <w:vAlign w:val="center"/>
          </w:tcPr>
          <w:p>
            <w:pPr>
              <w:pStyle w:val="TableContents"/>
              <w:spacing w:lineRule="auto" w:line="312" w:before="0" w:after="0"/>
              <w:ind w:left="0" w:right="0" w:hanging="0"/>
              <w:jc w:val="center"/>
              <w:rPr/>
            </w:pPr>
            <w:r>
              <w:rPr/>
              <w:t> </w:t>
            </w:r>
          </w:p>
        </w:tc>
        <w:tc>
          <w:tcPr>
            <w:tcW w:w="187" w:type="dxa"/>
            <w:tcBorders/>
            <w:shd w:fill="auto" w:val="clear"/>
            <w:vAlign w:val="center"/>
          </w:tcPr>
          <w:p>
            <w:pPr>
              <w:pStyle w:val="TableContents"/>
              <w:spacing w:lineRule="auto" w:line="312" w:before="0" w:after="0"/>
              <w:ind w:left="0" w:right="0" w:hanging="0"/>
              <w:jc w:val="center"/>
              <w:rPr/>
            </w:pPr>
            <w:r>
              <w:rPr/>
              <w:t> </w:t>
            </w:r>
          </w:p>
        </w:tc>
        <w:tc>
          <w:tcPr>
            <w:tcW w:w="187" w:type="dxa"/>
            <w:tcBorders/>
            <w:shd w:fill="auto" w:val="clear"/>
            <w:vAlign w:val="center"/>
          </w:tcPr>
          <w:p>
            <w:pPr>
              <w:pStyle w:val="TableContents"/>
              <w:spacing w:lineRule="auto" w:line="312" w:before="0" w:after="0"/>
              <w:ind w:left="0" w:right="0" w:hanging="0"/>
              <w:jc w:val="center"/>
              <w:rPr/>
            </w:pPr>
            <w:r>
              <w:rPr/>
              <w:t> </w:t>
            </w:r>
          </w:p>
        </w:tc>
        <w:tc>
          <w:tcPr>
            <w:tcW w:w="1005" w:type="dxa"/>
            <w:gridSpan w:val="2"/>
            <w:tcBorders/>
            <w:shd w:fill="auto" w:val="clear"/>
            <w:vAlign w:val="center"/>
          </w:tcPr>
          <w:p>
            <w:pPr>
              <w:pStyle w:val="TableContents"/>
              <w:spacing w:lineRule="auto" w:line="312" w:before="0" w:after="0"/>
              <w:ind w:left="0" w:right="0" w:hanging="0"/>
              <w:jc w:val="center"/>
              <w:rPr/>
            </w:pPr>
            <w:r>
              <w:rPr/>
              <w:t> </w:t>
            </w:r>
          </w:p>
        </w:tc>
        <w:tc>
          <w:tcPr>
            <w:tcW w:w="471" w:type="dxa"/>
            <w:tcBorders/>
            <w:shd w:fill="auto" w:val="clear"/>
            <w:vAlign w:val="center"/>
          </w:tcPr>
          <w:p>
            <w:pPr>
              <w:pStyle w:val="TableContents"/>
              <w:spacing w:lineRule="auto" w:line="312" w:before="0" w:after="0"/>
              <w:ind w:left="0" w:right="0" w:firstLine="140"/>
              <w:jc w:val="center"/>
              <w:rPr/>
            </w:pPr>
            <w:r>
              <w:rPr/>
              <w:t> </w:t>
            </w:r>
          </w:p>
        </w:tc>
      </w:tr>
      <w:tr>
        <w:trPr/>
        <w:tc>
          <w:tcPr>
            <w:tcW w:w="346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TSA compensation expense (1)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w:t>
            </w:r>
          </w:p>
        </w:tc>
        <w:tc>
          <w:tcPr>
            <w:tcW w:w="206" w:type="dxa"/>
            <w:tcBorders/>
            <w:shd w:fill="auto" w:val="clear"/>
            <w:vAlign w:val="center"/>
          </w:tcPr>
          <w:p>
            <w:pPr>
              <w:pStyle w:val="TableContents"/>
              <w:spacing w:lineRule="auto" w:line="312" w:before="0" w:after="0"/>
              <w:ind w:left="0" w:right="0" w:hanging="0"/>
              <w:jc w:val="left"/>
              <w:rPr/>
            </w:pPr>
            <w:r>
              <w:rPr/>
              <w:t> </w:t>
            </w:r>
          </w:p>
        </w:tc>
        <w:tc>
          <w:tcPr>
            <w:tcW w:w="206" w:type="dxa"/>
            <w:tcBorders/>
            <w:shd w:fill="auto" w:val="clear"/>
            <w:vAlign w:val="center"/>
          </w:tcPr>
          <w:p>
            <w:pPr>
              <w:pStyle w:val="TableContents"/>
              <w:spacing w:lineRule="auto" w:line="312" w:before="0" w:after="0"/>
              <w:ind w:left="0" w:right="0" w:hanging="0"/>
              <w:jc w:val="left"/>
              <w:rPr/>
            </w:pPr>
            <w:r>
              <w:rPr/>
              <w:t> </w:t>
            </w:r>
          </w:p>
        </w:tc>
        <w:tc>
          <w:tcPr>
            <w:tcW w:w="29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w:t>
            </w:r>
          </w:p>
        </w:tc>
        <w:tc>
          <w:tcPr>
            <w:tcW w:w="187" w:type="dxa"/>
            <w:tcBorders/>
            <w:shd w:fill="auto" w:val="clear"/>
            <w:vAlign w:val="center"/>
          </w:tcPr>
          <w:p>
            <w:pPr>
              <w:pStyle w:val="TableContents"/>
              <w:spacing w:lineRule="auto" w:line="312" w:before="0" w:after="0"/>
              <w:ind w:left="0" w:right="0" w:hanging="0"/>
              <w:jc w:val="left"/>
              <w:rPr/>
            </w:pPr>
            <w:r>
              <w:rPr/>
              <w:t> </w:t>
            </w:r>
          </w:p>
        </w:tc>
        <w:tc>
          <w:tcPr>
            <w:tcW w:w="187" w:type="dxa"/>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3466"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TSA non-compensation expense (2)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46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TSA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w:t>
            </w:r>
          </w:p>
        </w:tc>
        <w:tc>
          <w:tcPr>
            <w:tcW w:w="2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181</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0"/>
        <w:rPr>
          <w:rFonts w:ascii="Times New Roman" w:hAnsi="Times New Roman"/>
          <w:sz w:val="24"/>
        </w:rPr>
      </w:pPr>
      <w:r>
        <w:rPr>
          <w:rFonts w:ascii="Times New Roman" w:hAnsi="Times New Roman"/>
          <w:b w:val="false"/>
          <w:sz w:val="20"/>
        </w:rPr>
        <w:t>TSA compensation expense is included in Compensation and benefits in the Condensed Consolidated Statements of Operations.</w:t>
      </w:r>
      <w:r>
        <w:rPr>
          <w:rFonts w:ascii="Times New Roman" w:hAnsi="Times New Roman"/>
          <w:sz w:val="24"/>
        </w:rPr>
        <w:t xml:space="preserve"> </w:t>
      </w:r>
    </w:p>
    <w:p>
      <w:pPr>
        <w:pStyle w:val="TextBody"/>
        <w:spacing w:lineRule="auto" w:line="312" w:before="0" w:after="0"/>
        <w:rPr>
          <w:rFonts w:ascii="Times New Roman" w:hAnsi="Times New Roman"/>
          <w:b w:val="false"/>
          <w:sz w:val="20"/>
        </w:rPr>
      </w:pPr>
      <w:r>
        <w:rPr>
          <w:rFonts w:ascii="Times New Roman" w:hAnsi="Times New Roman"/>
          <w:b w:val="false"/>
          <w:sz w:val="20"/>
        </w:rPr>
        <w:t>(2)</w:t>
      </w:r>
    </w:p>
    <w:p>
      <w:pPr>
        <w:pStyle w:val="TextBody"/>
        <w:spacing w:lineRule="auto" w:line="312"/>
        <w:rPr>
          <w:rFonts w:ascii="Times New Roman" w:hAnsi="Times New Roman"/>
          <w:sz w:val="24"/>
        </w:rPr>
      </w:pPr>
      <w:r>
        <w:rPr>
          <w:rFonts w:ascii="Times New Roman" w:hAnsi="Times New Roman"/>
          <w:b w:val="false"/>
          <w:sz w:val="20"/>
        </w:rPr>
        <w:t>TSA non-compensation expense is included in various financial statement line items in the Condensed Consolidated Statements of Operations.</w:t>
      </w:r>
      <w:r>
        <w:rPr>
          <w:rFonts w:ascii="Times New Roman" w:hAnsi="Times New Roman"/>
          <w:sz w:val="24"/>
        </w:rPr>
        <w:t xml:space="preserve"> </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Tax Receivable Agreement</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In connection with the Business Combination, the Company entered into a tax receivable agreement with Professional Partners and certain other persons under which the Company agreed to payment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 As of June 30, 2021, the Company had an amount due of $13.7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pStyle w:val="TextBody"/>
        <w:spacing w:lineRule="auto" w:line="312" w:before="0" w:after="0"/>
        <w:ind w:left="0" w:right="0" w:firstLine="446"/>
        <w:jc w:val="both"/>
        <w:rPr/>
      </w:pPr>
      <w:r>
        <w:rPr/>
        <w:t> </w:t>
      </w:r>
    </w:p>
    <w:tbl>
      <w:tblPr>
        <w:tblW w:w="6758" w:type="dxa"/>
        <w:jc w:val="left"/>
        <w:tblInd w:w="0" w:type="dxa"/>
        <w:tblCellMar>
          <w:top w:w="28" w:type="dxa"/>
          <w:left w:w="28" w:type="dxa"/>
          <w:bottom w:w="28" w:type="dxa"/>
          <w:right w:w="28" w:type="dxa"/>
        </w:tblCellMar>
      </w:tblPr>
      <w:tblGrid>
        <w:gridCol w:w="1681"/>
        <w:gridCol w:w="146"/>
        <w:gridCol w:w="1125"/>
        <w:gridCol w:w="3615"/>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361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Years Ending:</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7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Estimated Payments Under Tax Receivable Agreement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Remainder of 2021</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61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418</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25" w:type="dxa"/>
            <w:tcBorders/>
            <w:shd w:fill="auto" w:val="clear"/>
            <w:vAlign w:val="center"/>
          </w:tcPr>
          <w:p>
            <w:pPr>
              <w:pStyle w:val="TableContents"/>
              <w:spacing w:lineRule="auto" w:line="312" w:before="0" w:after="0"/>
              <w:ind w:left="0" w:right="0" w:hanging="0"/>
              <w:jc w:val="left"/>
              <w:rPr/>
            </w:pPr>
            <w:r>
              <w:rPr/>
              <w:t> </w:t>
            </w:r>
          </w:p>
        </w:tc>
        <w:tc>
          <w:tcPr>
            <w:tcW w:w="361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722</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25" w:type="dxa"/>
            <w:tcBorders/>
            <w:shd w:fill="auto" w:val="clear"/>
            <w:vAlign w:val="center"/>
          </w:tcPr>
          <w:p>
            <w:pPr>
              <w:pStyle w:val="TableContents"/>
              <w:spacing w:lineRule="auto" w:line="312" w:before="0" w:after="0"/>
              <w:ind w:left="0" w:right="0" w:hanging="0"/>
              <w:jc w:val="left"/>
              <w:rPr/>
            </w:pPr>
            <w:r>
              <w:rPr/>
              <w:t> </w:t>
            </w:r>
          </w:p>
        </w:tc>
        <w:tc>
          <w:tcPr>
            <w:tcW w:w="361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732</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25" w:type="dxa"/>
            <w:tcBorders/>
            <w:shd w:fill="auto" w:val="clear"/>
            <w:vAlign w:val="center"/>
          </w:tcPr>
          <w:p>
            <w:pPr>
              <w:pStyle w:val="TableContents"/>
              <w:spacing w:lineRule="auto" w:line="312" w:before="0" w:after="0"/>
              <w:ind w:left="0" w:right="0" w:hanging="0"/>
              <w:jc w:val="left"/>
              <w:rPr/>
            </w:pPr>
            <w:r>
              <w:rPr/>
              <w:t> </w:t>
            </w:r>
          </w:p>
        </w:tc>
        <w:tc>
          <w:tcPr>
            <w:tcW w:w="361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750</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25" w:type="dxa"/>
            <w:tcBorders/>
            <w:shd w:fill="auto" w:val="clear"/>
            <w:vAlign w:val="center"/>
          </w:tcPr>
          <w:p>
            <w:pPr>
              <w:pStyle w:val="TableContents"/>
              <w:spacing w:lineRule="auto" w:line="312" w:before="0" w:after="0"/>
              <w:ind w:left="0" w:right="0" w:hanging="0"/>
              <w:jc w:val="left"/>
              <w:rPr/>
            </w:pPr>
            <w:r>
              <w:rPr/>
              <w:t> </w:t>
            </w:r>
          </w:p>
        </w:tc>
        <w:tc>
          <w:tcPr>
            <w:tcW w:w="361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765</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2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10,263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6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payments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2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6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13,650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Other Related Party Fees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has a minority interest in PFAC Holdings, an indirect parent of PFAC. The Company earned an advisory fee related to PFAC’s initial public offering of $0.6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six months ended June 30, 2021. In addition, the Company receives a fee of $10,000</w:t>
      </w:r>
      <w:r>
        <w:rPr>
          <w:rFonts w:ascii="Times New Roman" w:hAnsi="Times New Roman"/>
          <w:sz w:val="20"/>
        </w:rPr>
        <w:t xml:space="preserve"> </w:t>
      </w:r>
      <w:r>
        <w:rPr>
          <w:rFonts w:ascii="Times New Roman" w:hAnsi="Times New Roman"/>
          <w:b w:val="false"/>
          <w:sz w:val="20"/>
        </w:rPr>
        <w:t>per month for certain administrative services provided to PFAC.</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During the six months ended June 30, 2021, the Company earned $3.1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in advisory fees from entities controlled by a member of the Board of Directors, which are included in Revenues on the Condensed Consolidated Statements of Operations. The Company may earn additional advisory fees from these related entities in future periods.</w:t>
      </w:r>
    </w:p>
    <w:p>
      <w:pPr>
        <w:pStyle w:val="TextBody"/>
        <w:spacing w:lineRule="auto" w:line="312" w:before="240" w:after="0"/>
        <w:ind w:left="0" w:right="0" w:hanging="0"/>
        <w:jc w:val="both"/>
        <w:rPr>
          <w:rFonts w:ascii="Times New Roman" w:hAnsi="Times New Roman"/>
          <w:sz w:val="20"/>
        </w:rPr>
      </w:pPr>
      <w:r>
        <w:rPr>
          <w:rFonts w:ascii="Times New Roman" w:hAnsi="Times New Roman"/>
          <w:b/>
          <w:i/>
          <w:sz w:val="20"/>
        </w:rPr>
        <w:t>Partner Promissory Notes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$7.7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$8.0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as of June 30, 2021 and December 31, 2020, respectively.</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Convertible Notes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Principal amounts of $8.7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related to the Convertible Notes were held by affiliates prior to redemption. Refer to Note 10 – Debt</w:t>
      </w:r>
      <w:r>
        <w:rPr>
          <w:rFonts w:ascii="Times New Roman" w:hAnsi="Times New Roman"/>
          <w:sz w:val="20"/>
        </w:rPr>
        <w:t xml:space="preserve"> </w:t>
      </w:r>
      <w:r>
        <w:rPr>
          <w:rFonts w:ascii="Times New Roman" w:hAnsi="Times New Roman"/>
          <w:b w:val="false"/>
          <w:sz w:val="20"/>
        </w:rPr>
        <w:t>for additional information on the Convertible Notes.</w:t>
      </w:r>
    </w:p>
    <w:p>
      <w:pPr>
        <w:pStyle w:val="TextBody"/>
        <w:spacing w:lineRule="auto" w:line="312" w:before="240" w:after="0"/>
        <w:jc w:val="left"/>
        <w:rPr>
          <w:rFonts w:ascii="Times New Roman" w:hAnsi="Times New Roman"/>
          <w:sz w:val="20"/>
        </w:rPr>
      </w:pPr>
      <w:r>
        <w:rPr>
          <w:rFonts w:ascii="Times New Roman" w:hAnsi="Times New Roman"/>
          <w:b/>
          <w:sz w:val="20"/>
        </w:rPr>
        <w:t>Note 18</w:t>
      </w:r>
      <w:r>
        <w:rPr>
          <w:rFonts w:ascii="Times New Roman" w:hAnsi="Times New Roman"/>
          <w:sz w:val="20"/>
        </w:rPr>
        <w:t xml:space="preserve"> – </w:t>
      </w:r>
      <w:r>
        <w:rPr>
          <w:rFonts w:ascii="Times New Roman" w:hAnsi="Times New Roman"/>
          <w:b/>
          <w:sz w:val="20"/>
        </w:rPr>
        <w:t>Commitments and Contingencies </w:t>
      </w:r>
    </w:p>
    <w:p>
      <w:pPr>
        <w:pStyle w:val="TextBody"/>
        <w:pBdr/>
        <w:spacing w:lineRule="auto" w:line="312" w:before="240" w:after="0"/>
        <w:ind w:left="0" w:right="0" w:hanging="490"/>
        <w:jc w:val="left"/>
        <w:rPr>
          <w:rFonts w:ascii="Times New Roman" w:hAnsi="Times New Roman"/>
          <w:b/>
          <w:i/>
          <w:sz w:val="20"/>
        </w:rPr>
      </w:pPr>
      <w:r>
        <w:rPr>
          <w:rFonts w:ascii="Times New Roman" w:hAnsi="Times New Roman"/>
          <w:b/>
          <w:i/>
          <w:sz w:val="20"/>
        </w:rPr>
        <w:t>Loan Guarantees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has unconditionally guaranteed certain of its partners’ loans with First Republic Bank (“Lender”) whereby it will pay the Lender upon the occurrence of a default event. The total guarantees related to partners was $4.0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$5.6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as of June 30, 2021 and December 31, 2020, respectively. These guarantees are secured by either the partners’ interests in PWP OpCo or Professional Partners. As of June 30, 2021 and December 31, 2020, no</w:t>
      </w:r>
      <w:r>
        <w:rPr>
          <w:rFonts w:ascii="Times New Roman" w:hAnsi="Times New Roman"/>
          <w:sz w:val="20"/>
        </w:rPr>
        <w:t xml:space="preserve"> </w:t>
      </w:r>
      <w:r>
        <w:rPr>
          <w:rFonts w:ascii="Times New Roman" w:hAnsi="Times New Roman"/>
          <w:b w:val="false"/>
          <w:sz w:val="20"/>
        </w:rPr>
        <w:t>loan was in default.</w:t>
      </w:r>
    </w:p>
    <w:p>
      <w:pPr>
        <w:pStyle w:val="TextBody"/>
        <w:spacing w:lineRule="auto" w:line="312" w:before="240" w:after="0"/>
        <w:ind w:left="0" w:right="0" w:hanging="0"/>
        <w:jc w:val="both"/>
        <w:rPr>
          <w:rFonts w:ascii="Times New Roman" w:hAnsi="Times New Roman"/>
          <w:sz w:val="20"/>
        </w:rPr>
      </w:pPr>
      <w:r>
        <w:rPr>
          <w:rFonts w:ascii="Times New Roman" w:hAnsi="Times New Roman"/>
          <w:b/>
          <w:i/>
          <w:sz w:val="20"/>
        </w:rPr>
        <w:t>Indemnifications</w:t>
      </w:r>
      <w:r>
        <w:rPr>
          <w:rFonts w:ascii="Times New Roman" w:hAnsi="Times New Roman"/>
          <w:sz w:val="20"/>
        </w:rPr>
        <w:t xml:space="preserve"> </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 enters into certain contracts that contain a variety of indemnification provisions. The Company’s maximum exposure under these arrangements is unknown. As of June 30, 2021 and December 31, 2020, the Company expects no claims or losses pursuant to these contracts; therefore, no</w:t>
      </w:r>
      <w:r>
        <w:rPr>
          <w:rFonts w:ascii="Times New Roman" w:hAnsi="Times New Roman"/>
          <w:sz w:val="20"/>
        </w:rPr>
        <w:t xml:space="preserve"> </w:t>
      </w:r>
      <w:r>
        <w:rPr>
          <w:rFonts w:ascii="Times New Roman" w:hAnsi="Times New Roman"/>
          <w:b w:val="false"/>
          <w:sz w:val="20"/>
        </w:rPr>
        <w:t>liability has been recorded related to these indemnification provisions.</w:t>
      </w:r>
      <w:r>
        <w:rPr>
          <w:rFonts w:ascii="Times New Roman" w:hAnsi="Times New Roman"/>
          <w:sz w:val="20"/>
        </w:rPr>
        <w:t xml:space="preserve"> </w:t>
      </w:r>
    </w:p>
    <w:p>
      <w:pPr>
        <w:pStyle w:val="TextBody"/>
        <w:spacing w:lineRule="auto" w:line="312" w:before="240" w:after="0"/>
        <w:ind w:left="0" w:right="0" w:hanging="0"/>
        <w:jc w:val="both"/>
        <w:rPr>
          <w:rFonts w:ascii="Times New Roman" w:hAnsi="Times New Roman"/>
          <w:b/>
          <w:i/>
          <w:sz w:val="20"/>
        </w:rPr>
      </w:pPr>
      <w:r>
        <w:rPr>
          <w:rFonts w:ascii="Times New Roman" w:hAnsi="Times New Roman"/>
          <w:b/>
          <w:i/>
          <w:sz w:val="20"/>
        </w:rPr>
        <w:t>Legal Contingencies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June 30, 2021 and December 31, 2020 and for the three and six months ended June 30, 2021 and 2020.</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w:t>
      </w:r>
      <w:r>
        <w:rPr>
          <w:rFonts w:ascii="Times New Roman" w:hAnsi="Times New Roman"/>
          <w:sz w:val="20"/>
        </w:rPr>
        <w:t xml:space="preserve"> </w:t>
      </w:r>
      <w:r>
        <w:rPr>
          <w:rFonts w:ascii="Times New Roman" w:hAnsi="Times New Roman"/>
          <w:b w:val="false"/>
          <w:sz w:val="20"/>
        </w:rPr>
        <w:t>million, as well as statutory interest.</w:t>
      </w:r>
    </w:p>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w:t>
      </w:r>
      <w:r>
        <w:rPr>
          <w:rFonts w:ascii="Times New Roman" w:hAnsi="Times New Roman"/>
          <w:sz w:val="20"/>
        </w:rPr>
        <w:t xml:space="preserve"> </w:t>
      </w:r>
      <w:r>
        <w:rPr>
          <w:rFonts w:ascii="Times New Roman" w:hAnsi="Times New Roman"/>
          <w:b w:val="false"/>
          <w:sz w:val="20"/>
        </w:rPr>
        <w:t>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r>
        <w:rPr>
          <w:rFonts w:ascii="Times New Roman" w:hAnsi="Times New Roman"/>
          <w:sz w:val="20"/>
        </w:rPr>
        <w:t xml:space="preserve"> </w:t>
      </w:r>
    </w:p>
    <w:p>
      <w:pPr>
        <w:pStyle w:val="TextBody"/>
        <w:spacing w:lineRule="auto" w:line="312" w:before="240" w:after="0"/>
        <w:ind w:left="0" w:right="0" w:firstLine="450"/>
        <w:jc w:val="both"/>
        <w:rPr>
          <w:rFonts w:ascii="Times New Roman" w:hAnsi="Times New Roman"/>
          <w:b w:val="false"/>
          <w:sz w:val="20"/>
        </w:rPr>
      </w:pPr>
      <w:r>
        <w:rPr>
          <w:rFonts w:ascii="Times New Roman" w:hAnsi="Times New Roman"/>
          <w:b w:val="false"/>
          <w:sz w:val="20"/>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pStyle w:val="TextBody"/>
        <w:spacing w:lineRule="auto" w:line="312" w:before="240" w:after="0"/>
        <w:ind w:left="0" w:right="0" w:firstLine="450"/>
        <w:jc w:val="both"/>
        <w:rPr>
          <w:rFonts w:ascii="Times New Roman" w:hAnsi="Times New Roman"/>
          <w:sz w:val="20"/>
        </w:rPr>
      </w:pPr>
      <w:r>
        <w:rPr>
          <w:rFonts w:ascii="Times New Roman" w:hAnsi="Times New Roman"/>
          <w:b w:val="false"/>
          <w:sz w:val="20"/>
        </w:rPr>
        <w:t>The Company incurred $0.5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$0.7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2021, respectively, and $0.4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$0.7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and six months ended June 30, 2020, respectively, in legal and professional fees, net of expected insurance reimbursement, related to this litigation. These litigation costs are included in Professional fees in the Condensed Consolidated Statements of Operations.</w:t>
      </w:r>
    </w:p>
    <w:p>
      <w:pPr>
        <w:pStyle w:val="TextBody"/>
        <w:spacing w:lineRule="auto" w:line="312" w:before="240" w:after="0"/>
        <w:ind w:left="0" w:right="0" w:hanging="0"/>
        <w:jc w:val="left"/>
        <w:rPr>
          <w:rFonts w:ascii="Times New Roman" w:hAnsi="Times New Roman"/>
          <w:b/>
          <w:i/>
          <w:sz w:val="20"/>
        </w:rPr>
      </w:pPr>
      <w:r>
        <w:rPr>
          <w:rFonts w:ascii="Times New Roman" w:hAnsi="Times New Roman"/>
          <w:b/>
          <w:i/>
          <w:sz w:val="20"/>
        </w:rPr>
        <w:t>Other</w:t>
      </w:r>
    </w:p>
    <w:p>
      <w:pPr>
        <w:pStyle w:val="TextBody"/>
        <w:spacing w:lineRule="auto" w:line="312" w:before="240" w:after="0"/>
        <w:jc w:val="both"/>
        <w:rPr>
          <w:rFonts w:ascii="Times New Roman" w:hAnsi="Times New Roman"/>
          <w:sz w:val="20"/>
        </w:rPr>
      </w:pPr>
      <w:r>
        <w:rPr>
          <w:rFonts w:ascii="Times New Roman" w:hAnsi="Times New Roman"/>
          <w:b w:val="false"/>
          <w:sz w:val="20"/>
        </w:rPr>
        <w:t>In the ordinary course of business and in connection with hiring certain senior employees, the Company has entered into employment agreements whereby the Company commits to grant future equity awards to such newly hired employees that is contingent upon certain events (including but not limited to the Company becoming a public company). Once all contingencies have been met and all key terms and conditions surrounding these awards are known, equity-based compensation cost will be recognized over the requisite service period. As of June 30, 2021, the Company had approximately $24.8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potential future equity awards pursuant to these agreements. The Company expects to settle these commitments in the third quarter of 2021 with a grant of awards approved by the compensation committee under our PWP Incentive Plan.</w:t>
      </w:r>
    </w:p>
    <w:p>
      <w:pPr>
        <w:pStyle w:val="TextBody"/>
        <w:spacing w:lineRule="auto" w:line="312" w:before="240" w:after="0"/>
        <w:jc w:val="both"/>
        <w:rPr>
          <w:rFonts w:ascii="Times New Roman" w:hAnsi="Times New Roman"/>
          <w:sz w:val="20"/>
        </w:rPr>
      </w:pPr>
      <w:r>
        <w:rPr>
          <w:rFonts w:ascii="Times New Roman" w:hAnsi="Times New Roman"/>
          <w:b/>
          <w:sz w:val="20"/>
        </w:rPr>
        <w:t>Note 19</w:t>
      </w:r>
      <w:r>
        <w:rPr>
          <w:rFonts w:ascii="Times New Roman" w:hAnsi="Times New Roman"/>
          <w:sz w:val="20"/>
        </w:rPr>
        <w:t xml:space="preserve"> – </w:t>
      </w:r>
      <w:r>
        <w:rPr>
          <w:rFonts w:ascii="Times New Roman" w:hAnsi="Times New Roman"/>
          <w:b/>
          <w:sz w:val="20"/>
        </w:rPr>
        <w:t>Business Information</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w:t>
      </w:r>
      <w:r>
        <w:rPr>
          <w:rFonts w:ascii="Times New Roman" w:hAnsi="Times New Roman"/>
          <w:sz w:val="20"/>
        </w:rPr>
        <w:t xml:space="preserve"> </w:t>
      </w:r>
      <w:r>
        <w:rPr>
          <w:rFonts w:ascii="Times New Roman" w:hAnsi="Times New Roman"/>
          <w:b w:val="false"/>
          <w:sz w:val="20"/>
        </w:rPr>
        <w:t>operating segment in order to maximize the value of advice to clients by drawing upon the diversified expertise and broad relationships of its senior professionals across the Company. The Company has a single operating segment and therefore a single reportable segment.</w:t>
      </w:r>
      <w:r>
        <w:rPr>
          <w:rFonts w:ascii="Times New Roman" w:hAnsi="Times New Roman"/>
          <w:sz w:val="20"/>
        </w:rPr>
        <w:t xml:space="preserve"> </w:t>
      </w:r>
    </w:p>
    <w:p>
      <w:pPr>
        <w:pStyle w:val="TextBody"/>
        <w:spacing w:lineRule="auto" w:line="312" w:before="240" w:after="240"/>
        <w:ind w:left="0" w:right="0" w:firstLine="446"/>
        <w:jc w:val="both"/>
        <w:rPr>
          <w:rFonts w:ascii="Times New Roman" w:hAnsi="Times New Roman"/>
          <w:sz w:val="20"/>
        </w:rPr>
      </w:pPr>
      <w:r>
        <w:rPr>
          <w:rFonts w:ascii="Times New Roman" w:hAnsi="Times New Roman"/>
          <w:b w:val="false"/>
          <w:sz w:val="20"/>
        </w:rPr>
        <w:t>For the three months ended June 30, 2021, revenues of $30.0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related to one individual client accounted for more than 10% of aggregate revenue. For the six months ended June 30, 2021, no</w:t>
      </w:r>
      <w:r>
        <w:rPr>
          <w:rFonts w:ascii="Times New Roman" w:hAnsi="Times New Roman"/>
          <w:sz w:val="20"/>
        </w:rPr>
        <w:t xml:space="preserve"> </w:t>
      </w:r>
      <w:r>
        <w:rPr>
          <w:rFonts w:ascii="Times New Roman" w:hAnsi="Times New Roman"/>
          <w:b w:val="false"/>
          <w:sz w:val="20"/>
        </w:rPr>
        <w:t>individual client accounted for more than 10% of aggregate revenue. For the three and six months ended June 30, 2020, revenues of $46.3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$26.2</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related to three</w:t>
      </w:r>
      <w:r>
        <w:rPr>
          <w:rFonts w:ascii="Times New Roman" w:hAnsi="Times New Roman"/>
          <w:sz w:val="20"/>
        </w:rPr>
        <w:t xml:space="preserve"> </w:t>
      </w:r>
      <w:r>
        <w:rPr>
          <w:rFonts w:ascii="Times New Roman" w:hAnsi="Times New Roman"/>
          <w:b w:val="false"/>
          <w:sz w:val="20"/>
        </w:rPr>
        <w:t>individual clients and one</w:t>
      </w:r>
      <w:r>
        <w:rPr>
          <w:rFonts w:ascii="Times New Roman" w:hAnsi="Times New Roman"/>
          <w:sz w:val="20"/>
        </w:rPr>
        <w:t xml:space="preserve"> </w:t>
      </w:r>
      <w:r>
        <w:rPr>
          <w:rFonts w:ascii="Times New Roman" w:hAnsi="Times New Roman"/>
          <w:b w:val="false"/>
          <w:sz w:val="20"/>
        </w:rPr>
        <w:t>individual client, respectively, accounted for more than 10% of aggregate revenue. Since the financial markets are global in nature, the Company generally manages its business based on the operating results of the Company taken as a whole, not by geographic region.</w:t>
      </w:r>
      <w:r>
        <w:rPr>
          <w:rFonts w:ascii="Times New Roman" w:hAnsi="Times New Roman"/>
          <w:sz w:val="20"/>
        </w:rPr>
        <w:t xml:space="preserve"> </w:t>
      </w:r>
      <w:r>
        <w:rPr>
          <w:rFonts w:ascii="Times New Roman" w:hAnsi="Times New Roman"/>
          <w:b w:val="false"/>
          <w:sz w:val="20"/>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tbl>
      <w:tblPr>
        <w:tblW w:w="7118" w:type="dxa"/>
        <w:jc w:val="left"/>
        <w:tblInd w:w="0" w:type="dxa"/>
        <w:tblCellMar>
          <w:top w:w="28" w:type="dxa"/>
          <w:left w:w="28" w:type="dxa"/>
          <w:bottom w:w="28" w:type="dxa"/>
          <w:right w:w="28" w:type="dxa"/>
        </w:tblCellMar>
      </w:tblPr>
      <w:tblGrid>
        <w:gridCol w:w="1201"/>
        <w:gridCol w:w="146"/>
        <w:gridCol w:w="243"/>
        <w:gridCol w:w="901"/>
        <w:gridCol w:w="168"/>
        <w:gridCol w:w="168"/>
        <w:gridCol w:w="243"/>
        <w:gridCol w:w="901"/>
        <w:gridCol w:w="146"/>
        <w:gridCol w:w="146"/>
        <w:gridCol w:w="221"/>
        <w:gridCol w:w="818"/>
        <w:gridCol w:w="153"/>
        <w:gridCol w:w="153"/>
        <w:gridCol w:w="221"/>
        <w:gridCol w:w="818"/>
        <w:gridCol w:w="47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2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384"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0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4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14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3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3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44" w:type="dxa"/>
            <w:gridSpan w:val="2"/>
            <w:tcBorders/>
            <w:shd w:fill="auto" w:val="clear"/>
            <w:vAlign w:val="center"/>
          </w:tcPr>
          <w:p>
            <w:pPr>
              <w:pStyle w:val="TableContents"/>
              <w:spacing w:lineRule="auto" w:line="312" w:before="0" w:after="0"/>
              <w:ind w:left="0" w:right="0" w:hanging="0"/>
              <w:jc w:val="right"/>
              <w:rPr/>
            </w:pPr>
            <w:r>
              <w:rPr/>
              <w:t> </w:t>
            </w:r>
          </w:p>
        </w:tc>
        <w:tc>
          <w:tcPr>
            <w:tcW w:w="168" w:type="dxa"/>
            <w:tcBorders/>
            <w:shd w:fill="auto" w:val="clear"/>
            <w:vAlign w:val="center"/>
          </w:tcPr>
          <w:p>
            <w:pPr>
              <w:pStyle w:val="TableContents"/>
              <w:spacing w:lineRule="auto" w:line="312" w:before="0" w:after="0"/>
              <w:ind w:left="0" w:right="0" w:hanging="0"/>
              <w:jc w:val="right"/>
              <w:rPr/>
            </w:pPr>
            <w:r>
              <w:rPr/>
              <w:t> </w:t>
            </w:r>
          </w:p>
        </w:tc>
        <w:tc>
          <w:tcPr>
            <w:tcW w:w="168" w:type="dxa"/>
            <w:tcBorders/>
            <w:shd w:fill="auto" w:val="clear"/>
            <w:vAlign w:val="center"/>
          </w:tcPr>
          <w:p>
            <w:pPr>
              <w:pStyle w:val="TableContents"/>
              <w:spacing w:lineRule="auto" w:line="312" w:before="0" w:after="0"/>
              <w:ind w:left="0" w:right="0" w:hanging="0"/>
              <w:jc w:val="right"/>
              <w:rPr/>
            </w:pPr>
            <w:r>
              <w:rPr/>
              <w:t> </w:t>
            </w:r>
          </w:p>
        </w:tc>
        <w:tc>
          <w:tcPr>
            <w:tcW w:w="1144"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39" w:type="dxa"/>
            <w:gridSpan w:val="2"/>
            <w:tcBorders/>
            <w:shd w:fill="auto" w:val="clear"/>
            <w:vAlign w:val="center"/>
          </w:tcPr>
          <w:p>
            <w:pPr>
              <w:pStyle w:val="TableContents"/>
              <w:spacing w:lineRule="auto" w:line="312" w:before="0" w:after="0"/>
              <w:ind w:left="0" w:right="0" w:hanging="0"/>
              <w:jc w:val="right"/>
              <w:rPr/>
            </w:pPr>
            <w:r>
              <w:rPr/>
              <w:t> </w:t>
            </w:r>
          </w:p>
        </w:tc>
        <w:tc>
          <w:tcPr>
            <w:tcW w:w="153" w:type="dxa"/>
            <w:tcBorders/>
            <w:shd w:fill="auto" w:val="clear"/>
            <w:vAlign w:val="center"/>
          </w:tcPr>
          <w:p>
            <w:pPr>
              <w:pStyle w:val="TableContents"/>
              <w:spacing w:lineRule="auto" w:line="312" w:before="0" w:after="0"/>
              <w:ind w:left="0" w:right="0" w:hanging="0"/>
              <w:jc w:val="right"/>
              <w:rPr/>
            </w:pPr>
            <w:r>
              <w:rPr/>
              <w:t> </w:t>
            </w:r>
          </w:p>
        </w:tc>
        <w:tc>
          <w:tcPr>
            <w:tcW w:w="153" w:type="dxa"/>
            <w:tcBorders/>
            <w:shd w:fill="auto" w:val="clear"/>
            <w:vAlign w:val="center"/>
          </w:tcPr>
          <w:p>
            <w:pPr>
              <w:pStyle w:val="TableContents"/>
              <w:spacing w:lineRule="auto" w:line="312" w:before="0" w:after="0"/>
              <w:ind w:left="0" w:right="0" w:hanging="0"/>
              <w:jc w:val="right"/>
              <w:rPr/>
            </w:pPr>
            <w:r>
              <w:rPr/>
              <w:t> </w:t>
            </w:r>
          </w:p>
        </w:tc>
        <w:tc>
          <w:tcPr>
            <w:tcW w:w="1039"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firstLine="140"/>
              <w:jc w:val="right"/>
              <w:rPr/>
            </w:pPr>
            <w:r>
              <w:rPr/>
              <w:t> </w:t>
            </w:r>
          </w:p>
        </w:tc>
      </w:tr>
      <w:tr>
        <w:trPr/>
        <w:tc>
          <w:tcPr>
            <w:tcW w:w="12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United States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218,037</w:t>
            </w:r>
          </w:p>
        </w:tc>
        <w:tc>
          <w:tcPr>
            <w:tcW w:w="168" w:type="dxa"/>
            <w:tcBorders/>
            <w:shd w:fill="auto" w:val="clear"/>
            <w:vAlign w:val="center"/>
          </w:tcPr>
          <w:p>
            <w:pPr>
              <w:pStyle w:val="TableContents"/>
              <w:spacing w:lineRule="auto" w:line="312" w:before="0" w:after="0"/>
              <w:ind w:left="0" w:right="0" w:hanging="0"/>
              <w:jc w:val="left"/>
              <w:rPr/>
            </w:pPr>
            <w:r>
              <w:rPr/>
              <w:t> </w:t>
            </w:r>
          </w:p>
        </w:tc>
        <w:tc>
          <w:tcPr>
            <w:tcW w:w="168" w:type="dxa"/>
            <w:tcBorders/>
            <w:shd w:fill="auto" w:val="clear"/>
            <w:vAlign w:val="center"/>
          </w:tcPr>
          <w:p>
            <w:pPr>
              <w:pStyle w:val="TableContents"/>
              <w:spacing w:lineRule="auto" w:line="312" w:before="0" w:after="0"/>
              <w:ind w:left="0" w:right="0" w:hanging="0"/>
              <w:jc w:val="right"/>
              <w:rPr/>
            </w:pPr>
            <w:r>
              <w:rPr/>
              <w:t> </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85,638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344,863</w:t>
            </w:r>
          </w:p>
        </w:tc>
        <w:tc>
          <w:tcPr>
            <w:tcW w:w="153" w:type="dxa"/>
            <w:tcBorders/>
            <w:shd w:fill="auto" w:val="clear"/>
            <w:vAlign w:val="center"/>
          </w:tcPr>
          <w:p>
            <w:pPr>
              <w:pStyle w:val="TableContents"/>
              <w:spacing w:lineRule="auto" w:line="312" w:before="0" w:after="0"/>
              <w:ind w:left="0" w:right="0" w:hanging="0"/>
              <w:jc w:val="left"/>
              <w:rPr/>
            </w:pPr>
            <w:r>
              <w:rPr/>
              <w:t> </w:t>
            </w:r>
          </w:p>
        </w:tc>
        <w:tc>
          <w:tcPr>
            <w:tcW w:w="153" w:type="dxa"/>
            <w:tcBorders/>
            <w:shd w:fill="auto" w:val="clear"/>
            <w:vAlign w:val="center"/>
          </w:tcPr>
          <w:p>
            <w:pPr>
              <w:pStyle w:val="TableContents"/>
              <w:spacing w:lineRule="auto" w:line="312" w:before="0" w:after="0"/>
              <w:ind w:left="0" w:right="0" w:hanging="0"/>
              <w:jc w:val="right"/>
              <w:rPr/>
            </w:pPr>
            <w:r>
              <w:rPr/>
              <w:t> </w:t>
            </w:r>
          </w:p>
        </w:tc>
        <w:tc>
          <w:tcPr>
            <w:tcW w:w="2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141,350</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12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International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37,483</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28,963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80,459</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65,647</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120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28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255,520</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114,601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425,322</w:t>
            </w:r>
          </w:p>
        </w:tc>
        <w:tc>
          <w:tcPr>
            <w:tcW w:w="15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206,997</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240" w:after="0"/>
        <w:ind w:left="0" w:right="0" w:hanging="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336" w:before="0" w:after="0"/>
        <w:ind w:left="0" w:right="0" w:hanging="0"/>
        <w:jc w:val="center"/>
        <w:rPr>
          <w:rFonts w:ascii="Times New Roman" w:hAnsi="Times New Roman"/>
          <w:sz w:val="20"/>
        </w:rPr>
      </w:pPr>
      <w:r>
        <w:rPr>
          <w:rFonts w:ascii="Times New Roman" w:hAnsi="Times New Roman"/>
          <w:b/>
          <w:sz w:val="20"/>
        </w:rPr>
        <w:t>Perella Weinberg Partners</w:t>
      </w:r>
      <w:r>
        <w:rPr>
          <w:rFonts w:ascii="Times New Roman" w:hAnsi="Times New Roman"/>
          <w:sz w:val="20"/>
        </w:rPr>
        <w:t xml:space="preserve"> </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uto" w:line="312" w:before="40" w:after="0"/>
        <w:ind w:left="0" w:right="0" w:hanging="0"/>
        <w:jc w:val="center"/>
        <w:rPr>
          <w:rFonts w:ascii="Times New Roman" w:hAnsi="Times New Roman"/>
          <w:b/>
          <w:sz w:val="20"/>
        </w:rPr>
      </w:pPr>
      <w:r>
        <w:rPr>
          <w:rFonts w:ascii="Times New Roman" w:hAnsi="Times New Roman"/>
          <w:b/>
          <w:sz w:val="20"/>
        </w:rPr>
        <w:t>(Dollars in Thousands, Except Per Share Amounts and Where Otherwise Noted)</w:t>
      </w:r>
    </w:p>
    <w:p>
      <w:pPr>
        <w:pStyle w:val="TextBody"/>
        <w:spacing w:lineRule="auto" w:line="312" w:before="0" w:after="0"/>
        <w:ind w:left="0" w:right="0" w:hanging="0"/>
        <w:jc w:val="both"/>
        <w:rPr/>
      </w:pPr>
      <w:r>
        <w:rPr/>
        <w:t> </w:t>
      </w:r>
    </w:p>
    <w:p>
      <w:pPr>
        <w:pStyle w:val="TextBody"/>
        <w:spacing w:lineRule="auto" w:line="312" w:before="0" w:after="0"/>
        <w:ind w:left="0" w:right="0" w:hanging="0"/>
        <w:jc w:val="left"/>
        <w:rPr/>
      </w:pPr>
      <w:r>
        <w:rPr/>
        <w:t> </w:t>
      </w:r>
    </w:p>
    <w:tbl>
      <w:tblPr>
        <w:tblW w:w="5110" w:type="dxa"/>
        <w:jc w:val="left"/>
        <w:tblInd w:w="0" w:type="dxa"/>
        <w:tblCellMar>
          <w:top w:w="28" w:type="dxa"/>
          <w:left w:w="28" w:type="dxa"/>
          <w:bottom w:w="28" w:type="dxa"/>
          <w:right w:w="28" w:type="dxa"/>
        </w:tblCellMar>
      </w:tblPr>
      <w:tblGrid>
        <w:gridCol w:w="1201"/>
        <w:gridCol w:w="146"/>
        <w:gridCol w:w="271"/>
        <w:gridCol w:w="1004"/>
        <w:gridCol w:w="146"/>
        <w:gridCol w:w="146"/>
        <w:gridCol w:w="366"/>
        <w:gridCol w:w="1359"/>
        <w:gridCol w:w="47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June 30,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December 31, 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0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75"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725" w:type="dxa"/>
            <w:gridSpan w:val="2"/>
            <w:tcBorders/>
            <w:shd w:fill="auto" w:val="clear"/>
            <w:vAlign w:val="center"/>
          </w:tcPr>
          <w:p>
            <w:pPr>
              <w:pStyle w:val="TableContents"/>
              <w:spacing w:lineRule="auto" w:line="312" w:before="0" w:after="0"/>
              <w:ind w:left="0" w:right="0" w:hanging="0"/>
              <w:jc w:val="center"/>
              <w:rPr/>
            </w:pPr>
            <w:r>
              <w:rPr/>
              <w:t> </w:t>
            </w:r>
          </w:p>
        </w:tc>
        <w:tc>
          <w:tcPr>
            <w:tcW w:w="471" w:type="dxa"/>
            <w:tcBorders/>
            <w:shd w:fill="auto" w:val="clear"/>
            <w:vAlign w:val="center"/>
          </w:tcPr>
          <w:p>
            <w:pPr>
              <w:pStyle w:val="TableContents"/>
              <w:spacing w:lineRule="auto" w:line="312" w:before="0" w:after="0"/>
              <w:ind w:left="0" w:right="0" w:firstLine="140"/>
              <w:jc w:val="center"/>
              <w:rPr/>
            </w:pPr>
            <w:r>
              <w:rPr/>
              <w:t> </w:t>
            </w:r>
          </w:p>
        </w:tc>
      </w:tr>
      <w:tr>
        <w:trPr/>
        <w:tc>
          <w:tcPr>
            <w:tcW w:w="12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United States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461,723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406,884</w:t>
            </w:r>
          </w:p>
        </w:tc>
        <w:tc>
          <w:tcPr>
            <w:tcW w:w="471" w:type="dxa"/>
            <w:tcBorders/>
            <w:shd w:fill="auto" w:val="clear"/>
            <w:vAlign w:val="center"/>
          </w:tcPr>
          <w:p>
            <w:pPr>
              <w:pStyle w:val="TableContents"/>
              <w:spacing w:lineRule="auto" w:line="312" w:before="0" w:after="0"/>
              <w:ind w:left="0" w:right="0" w:firstLine="140"/>
              <w:jc w:val="left"/>
              <w:rPr/>
            </w:pPr>
            <w:r>
              <w:rPr/>
              <w:t> </w:t>
            </w:r>
          </w:p>
        </w:tc>
      </w:tr>
      <w:tr>
        <w:trPr/>
        <w:tc>
          <w:tcPr>
            <w:tcW w:w="120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International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148,729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136,069</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120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28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610,452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542,953</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36" w:before="0" w:after="160"/>
        <w:jc w:val="left"/>
        <w:rPr/>
      </w:pPr>
      <w:r>
        <w:rPr/>
        <w:t> </w:t>
      </w:r>
    </w:p>
    <w:p>
      <w:pPr>
        <w:pStyle w:val="TextBody"/>
        <w:pBdr/>
        <w:spacing w:lineRule="auto" w:line="312" w:before="240" w:after="0"/>
        <w:ind w:left="0" w:right="0" w:hanging="490"/>
        <w:jc w:val="both"/>
        <w:rPr>
          <w:rFonts w:ascii="Times New Roman" w:hAnsi="Times New Roman"/>
          <w:b/>
          <w:sz w:val="20"/>
        </w:rPr>
      </w:pPr>
      <w:r>
        <w:rPr>
          <w:rFonts w:ascii="Times New Roman" w:hAnsi="Times New Roman"/>
          <w:b/>
          <w:sz w:val="20"/>
        </w:rPr>
        <w:t>Note 20 – Subsequent Events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The Company has evaluated subsequent events through the issuance date of these condensed consolidated financial statements.</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On July 26, 2021, the Company executed a lease amendment to vacate a portion of its Houston office space, which resulted in an adjustment to the right-of-use lease asset and corresponding lease liability. The Houston sublease agreement with the Asset Management business was terminated in conjunction with this lease amendment.</w:t>
      </w:r>
    </w:p>
    <w:p>
      <w:pPr>
        <w:pStyle w:val="TextBody"/>
        <w:spacing w:lineRule="auto" w:line="312" w:before="240" w:after="0"/>
        <w:ind w:left="0" w:right="0" w:firstLine="446"/>
        <w:jc w:val="both"/>
        <w:rPr>
          <w:rFonts w:ascii="Times New Roman" w:hAnsi="Times New Roman"/>
          <w:b w:val="false"/>
          <w:sz w:val="20"/>
        </w:rPr>
      </w:pPr>
      <w:r>
        <w:rPr>
          <w:rFonts w:ascii="Times New Roman" w:hAnsi="Times New Roman"/>
          <w:b w:val="false"/>
          <w:sz w:val="20"/>
        </w:rPr>
        <w:t>On August 3, 2021, the Company executed a lease amendment to expand the leased space in its Paris office, which resulted in an adjustment to the right-of-use lease asset and corresponding lease liability.</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 August 3, 2021, the Company’s Board of Directors declared a cash dividend of $0.07</w:t>
      </w:r>
      <w:r>
        <w:rPr>
          <w:rFonts w:ascii="Times New Roman" w:hAnsi="Times New Roman"/>
          <w:sz w:val="20"/>
        </w:rPr>
        <w:t xml:space="preserve"> </w:t>
      </w:r>
      <w:r>
        <w:rPr>
          <w:rFonts w:ascii="Times New Roman" w:hAnsi="Times New Roman"/>
          <w:b w:val="false"/>
          <w:sz w:val="20"/>
        </w:rPr>
        <w:t>per outstanding share of Class A common stock. This dividend will be payable on September 21, 2021</w:t>
      </w:r>
      <w:r>
        <w:rPr>
          <w:rFonts w:ascii="Times New Roman" w:hAnsi="Times New Roman"/>
          <w:sz w:val="20"/>
        </w:rPr>
        <w:t xml:space="preserve"> </w:t>
      </w:r>
      <w:r>
        <w:rPr>
          <w:rFonts w:ascii="Times New Roman" w:hAnsi="Times New Roman"/>
          <w:b w:val="false"/>
          <w:sz w:val="20"/>
        </w:rPr>
        <w:t>to each of the holders of Class A common stock of record as of the close of business on September 3, 2021.</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 August 3, 2021, the compensation committee of the Board of Directors approved certain Business Combination-related incentive compensation awards in the form of restricted stock units (“RSUs”) for grant pursuant to the PWP Incentive Plan. 10,200,000</w:t>
      </w:r>
      <w:r>
        <w:rPr>
          <w:rFonts w:ascii="Times New Roman" w:hAnsi="Times New Roman"/>
          <w:sz w:val="20"/>
        </w:rPr>
        <w:t xml:space="preserve"> </w:t>
      </w:r>
      <w:r>
        <w:rPr>
          <w:rFonts w:ascii="Times New Roman" w:hAnsi="Times New Roman"/>
          <w:b w:val="false"/>
          <w:sz w:val="20"/>
        </w:rPr>
        <w:t>RSUs from the Transaction Pool Share Reserve will be granted to certain working partners, employees and certain other eligible recipients. In addition, 9,500,000</w:t>
      </w:r>
      <w:r>
        <w:rPr>
          <w:rFonts w:ascii="Times New Roman" w:hAnsi="Times New Roman"/>
          <w:sz w:val="20"/>
        </w:rPr>
        <w:t xml:space="preserve"> </w:t>
      </w:r>
      <w:r>
        <w:rPr>
          <w:rFonts w:ascii="Times New Roman" w:hAnsi="Times New Roman"/>
          <w:b w:val="false"/>
          <w:sz w:val="20"/>
        </w:rPr>
        <w:t>RSUs from the General Share Reserve will be granted to the Company's top three executive officers and a small number of other partners.</w:t>
      </w:r>
    </w:p>
    <w:p>
      <w:pPr>
        <w:pStyle w:val="TextBody"/>
        <w:spacing w:lineRule="auto" w:line="312" w:before="240" w:after="0"/>
        <w:ind w:left="0" w:right="0" w:firstLine="446"/>
        <w:jc w:val="both"/>
        <w:rPr>
          <w:rFonts w:ascii="Times New Roman" w:hAnsi="Times New Roman"/>
          <w:sz w:val="20"/>
        </w:rPr>
      </w:pPr>
      <w:r>
        <w:rPr>
          <w:rFonts w:ascii="Times New Roman" w:hAnsi="Times New Roman"/>
          <w:b w:val="false"/>
          <w:sz w:val="20"/>
        </w:rPr>
        <w:t>On August 9, 2021, the Company repurchased 1,000,000</w:t>
      </w:r>
      <w:r>
        <w:rPr>
          <w:rFonts w:ascii="Times New Roman" w:hAnsi="Times New Roman"/>
          <w:sz w:val="20"/>
        </w:rPr>
        <w:t xml:space="preserve"> </w:t>
      </w:r>
      <w:r>
        <w:rPr>
          <w:rFonts w:ascii="Times New Roman" w:hAnsi="Times New Roman"/>
          <w:b w:val="false"/>
          <w:sz w:val="20"/>
        </w:rPr>
        <w:t>founder shares from the Sponsor at $12.00</w:t>
      </w:r>
      <w:r>
        <w:rPr>
          <w:rFonts w:ascii="Times New Roman" w:hAnsi="Times New Roman"/>
          <w:sz w:val="20"/>
        </w:rPr>
        <w:t xml:space="preserve"> </w:t>
      </w:r>
      <w:r>
        <w:rPr>
          <w:rFonts w:ascii="Times New Roman" w:hAnsi="Times New Roman"/>
          <w:b w:val="false"/>
          <w:sz w:val="20"/>
        </w:rPr>
        <w:t>per share for a total purchase price of $12.0</w:t>
      </w:r>
      <w:r>
        <w:rPr>
          <w:rFonts w:ascii="Times New Roman" w:hAnsi="Times New Roman"/>
          <w:sz w:val="20"/>
        </w:rPr>
        <w:t xml:space="preserve"> </w:t>
      </w:r>
      <w:r>
        <w:rPr>
          <w:rFonts w:ascii="Times New Roman" w:hAnsi="Times New Roman"/>
          <w:b w:val="false"/>
          <w:sz w:val="20"/>
        </w:rPr>
        <w:t>million.</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sz w:val="20"/>
        </w:rPr>
      </w:pPr>
      <w:bookmarkStart w:id="10" w:name="item_2_mda"/>
      <w:bookmarkEnd w:id="10"/>
      <w:r>
        <w:rPr>
          <w:rFonts w:ascii="Times New Roman" w:hAnsi="Times New Roman"/>
          <w:b/>
          <w:sz w:val="20"/>
        </w:rPr>
        <w:t>Item 2. Management</w:t>
      </w:r>
      <w:r>
        <w:rPr>
          <w:rFonts w:ascii="Times New Roman" w:hAnsi="Times New Roman"/>
          <w:sz w:val="20"/>
        </w:rPr>
        <w:t>’</w:t>
      </w:r>
      <w:r>
        <w:rPr>
          <w:rFonts w:ascii="Times New Roman" w:hAnsi="Times New Roman"/>
          <w:b/>
          <w:sz w:val="20"/>
        </w:rPr>
        <w:t>s Discussion and Analysis of Financial Condition and Results of Operations</w:t>
      </w:r>
    </w:p>
    <w:p>
      <w:pPr>
        <w:pStyle w:val="TextBody"/>
        <w:spacing w:lineRule="auto" w:line="312" w:before="240" w:after="0"/>
        <w:jc w:val="both"/>
        <w:rPr>
          <w:rFonts w:ascii="Times New Roman" w:hAnsi="Times New Roman"/>
          <w:sz w:val="20"/>
        </w:rPr>
      </w:pPr>
      <w:r>
        <w:rPr>
          <w:rFonts w:ascii="Times New Roman" w:hAnsi="Times New Roman"/>
          <w:b w:val="false"/>
          <w:i/>
          <w:sz w:val="20"/>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r>
        <w:rPr>
          <w:rFonts w:ascii="Times New Roman" w:hAnsi="Times New Roman"/>
          <w:sz w:val="20"/>
        </w:rPr>
        <w:t xml:space="preserve"> </w:t>
      </w:r>
    </w:p>
    <w:p>
      <w:pPr>
        <w:pStyle w:val="TextBody"/>
        <w:spacing w:lineRule="auto" w:line="312" w:before="240" w:after="0"/>
        <w:jc w:val="both"/>
        <w:rPr>
          <w:rFonts w:ascii="Times New Roman" w:hAnsi="Times New Roman"/>
          <w:b/>
          <w:sz w:val="20"/>
        </w:rPr>
      </w:pPr>
      <w:r>
        <w:rPr>
          <w:rFonts w:ascii="Times New Roman" w:hAnsi="Times New Roman"/>
          <w:b/>
          <w:sz w:val="20"/>
        </w:rPr>
        <w:t>Executive Overview</w:t>
      </w:r>
    </w:p>
    <w:p>
      <w:pPr>
        <w:pStyle w:val="TextBody"/>
        <w:spacing w:lineRule="auto" w:line="312" w:before="240" w:after="0"/>
        <w:jc w:val="both"/>
        <w:rPr>
          <w:rFonts w:ascii="Times New Roman" w:hAnsi="Times New Roman"/>
          <w:sz w:val="20"/>
        </w:rPr>
      </w:pPr>
      <w:r>
        <w:rPr>
          <w:rFonts w:ascii="Times New Roman" w:hAnsi="Times New Roman"/>
          <w:b w:val="false"/>
          <w:sz w:val="20"/>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r>
        <w:rPr>
          <w:rFonts w:ascii="Times New Roman" w:hAnsi="Times New Roman"/>
          <w:sz w:val="20"/>
        </w:rPr>
        <w:t xml:space="preserve"> </w:t>
      </w:r>
    </w:p>
    <w:p>
      <w:pPr>
        <w:pStyle w:val="TextBody"/>
        <w:spacing w:lineRule="auto" w:line="312" w:before="240" w:after="0"/>
        <w:jc w:val="both"/>
        <w:rPr>
          <w:rFonts w:ascii="Times New Roman" w:hAnsi="Times New Roman"/>
          <w:sz w:val="20"/>
        </w:rPr>
      </w:pPr>
      <w:r>
        <w:rPr>
          <w:rFonts w:ascii="Times New Roman" w:hAnsi="Times New Roman"/>
          <w:b w:val="false"/>
          <w:sz w:val="20"/>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r>
        <w:rPr>
          <w:rFonts w:ascii="Times New Roman" w:hAnsi="Times New Roman"/>
          <w:sz w:val="20"/>
        </w:rPr>
        <w:t xml:space="preserve"> </w:t>
      </w:r>
    </w:p>
    <w:p>
      <w:pPr>
        <w:pStyle w:val="TextBody"/>
        <w:spacing w:lineRule="auto" w:line="312" w:before="240" w:after="0"/>
        <w:jc w:val="both"/>
        <w:rPr>
          <w:rFonts w:ascii="Times New Roman" w:hAnsi="Times New Roman"/>
          <w:sz w:val="20"/>
        </w:rPr>
      </w:pPr>
      <w:r>
        <w:rPr>
          <w:rFonts w:ascii="Times New Roman" w:hAnsi="Times New Roman"/>
          <w:b w:val="false"/>
          <w:sz w:val="20"/>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capital markets advisory, shareholder and defense advisory, capital raising, capital structure and restructuring, specialized underwriting and research services for the energy industry.</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As of June 30, 2021, we serve our clients with 57 advisory partners based in 10 offices, located in five countries around the world.</w:t>
      </w:r>
    </w:p>
    <w:p>
      <w:pPr>
        <w:pStyle w:val="TextBody"/>
        <w:spacing w:lineRule="auto" w:line="312" w:before="240" w:after="0"/>
        <w:jc w:val="both"/>
        <w:rPr>
          <w:rFonts w:ascii="Times New Roman" w:hAnsi="Times New Roman"/>
          <w:sz w:val="20"/>
        </w:rPr>
      </w:pPr>
      <w:r>
        <w:rPr>
          <w:rFonts w:ascii="Times New Roman" w:hAnsi="Times New Roman"/>
          <w:b w:val="false"/>
          <w:sz w:val="20"/>
        </w:rPr>
        <w:t>We generate and recognize revenues when earned, primarily from providing advisory services on transactions that are subject to individually negotiated engagement letters, which set forth our fees.</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sz w:val="20"/>
        </w:rPr>
      </w:pPr>
      <w:r>
        <w:rPr>
          <w:rFonts w:ascii="Times New Roman" w:hAnsi="Times New Roman"/>
          <w:b w:val="false"/>
          <w:sz w:val="20"/>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direct ownership interests in shares of Class A common stock of Perella Weinberg Partners. The non-controlling interest owners of PWP OpCo receive economics through ownership of PWP OpCo Class A partnership units (“PWP OpCo Units”). See Note 3 – Business Combination and Note 11 – Stockholders’ Equity in the notes to condensed consolidated financial statements included elsewhere in this Form 10-Q for additional discussion related to the transaction.</w:t>
      </w:r>
      <w:r>
        <w:rPr>
          <w:rFonts w:ascii="Times New Roman" w:hAnsi="Times New Roman"/>
          <w:sz w:val="20"/>
        </w:rPr>
        <w:t xml:space="preserve"> </w:t>
      </w:r>
    </w:p>
    <w:p>
      <w:pPr>
        <w:pStyle w:val="TextBody"/>
        <w:spacing w:lineRule="auto" w:line="312" w:before="240" w:after="0"/>
        <w:jc w:val="both"/>
        <w:rPr>
          <w:rFonts w:ascii="Times New Roman" w:hAnsi="Times New Roman"/>
          <w:b/>
          <w:sz w:val="20"/>
        </w:rPr>
      </w:pPr>
      <w:r>
        <w:rPr>
          <w:rFonts w:ascii="Times New Roman" w:hAnsi="Times New Roman"/>
          <w:b/>
          <w:sz w:val="20"/>
        </w:rPr>
        <w:t>Business Environment and Outlook</w:t>
      </w:r>
    </w:p>
    <w:p>
      <w:pPr>
        <w:pStyle w:val="TextBody"/>
        <w:spacing w:lineRule="auto" w:line="312" w:before="240" w:after="0"/>
        <w:jc w:val="both"/>
        <w:rPr>
          <w:rFonts w:ascii="Times New Roman" w:hAnsi="Times New Roman"/>
          <w:sz w:val="20"/>
        </w:rPr>
      </w:pPr>
      <w:r>
        <w:rPr>
          <w:rFonts w:ascii="Times New Roman" w:hAnsi="Times New Roman"/>
          <w:b w:val="false"/>
          <w:sz w:val="20"/>
        </w:rPr>
        <w:t>Worldwide announced M&amp;A volumes during the first quarter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six months ended June 30, 2021.</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Although restructuring activity in the first half of 2021 was higher than in the first half of 2020, this level of activity moderated in the first half of 2021 compared to the elevated levels seen throughout most of 2020. Restructuring activity continues to be less active as compared to 2020 and while we expect that this more moderate pace of activity will continue through the year, we believe that the restructuring and liability management opportunity remains significant.</w:t>
      </w:r>
    </w:p>
    <w:p>
      <w:pPr>
        <w:pStyle w:val="TextBody"/>
        <w:spacing w:lineRule="auto" w:line="312" w:before="240" w:after="0"/>
        <w:jc w:val="both"/>
        <w:rPr>
          <w:rFonts w:ascii="Times New Roman" w:hAnsi="Times New Roman"/>
          <w:sz w:val="20"/>
        </w:rPr>
      </w:pPr>
      <w:r>
        <w:rPr>
          <w:rFonts w:ascii="Times New Roman" w:hAnsi="Times New Roman"/>
          <w:b w:val="false"/>
          <w:sz w:val="20"/>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 </w:t>
      </w:r>
    </w:p>
    <w:p>
      <w:pPr>
        <w:pStyle w:val="TextBody"/>
        <w:spacing w:lineRule="auto" w:line="312" w:before="240" w:after="0"/>
        <w:jc w:val="both"/>
        <w:rPr>
          <w:rFonts w:ascii="Times New Roman" w:hAnsi="Times New Roman"/>
          <w:sz w:val="20"/>
        </w:rPr>
      </w:pPr>
      <w:r>
        <w:rPr>
          <w:rFonts w:ascii="Times New Roman" w:hAnsi="Times New Roman"/>
          <w:b w:val="false"/>
          <w:sz w:val="20"/>
        </w:rPr>
        <w:t>Economic and global financial conditions can materially affect our operational and financial performance. See “</w:t>
      </w:r>
      <w:r>
        <w:rPr>
          <w:rFonts w:ascii="Times New Roman" w:hAnsi="Times New Roman"/>
          <w:b w:val="false"/>
          <w:i/>
          <w:sz w:val="20"/>
        </w:rPr>
        <w:t>Risk Factors</w:t>
      </w:r>
      <w:r>
        <w:rPr>
          <w:rFonts w:ascii="Times New Roman" w:hAnsi="Times New Roman"/>
          <w:sz w:val="20"/>
        </w:rPr>
        <w:t xml:space="preserve">” </w:t>
      </w:r>
      <w:r>
        <w:rPr>
          <w:rFonts w:ascii="Times New Roman" w:hAnsi="Times New Roman"/>
          <w:b w:val="false"/>
          <w:sz w:val="20"/>
        </w:rPr>
        <w:t>included elsewhere in this Form 10-Q for a discussion of some of the factors that can affect our performance.</w:t>
      </w:r>
      <w:r>
        <w:rPr>
          <w:rFonts w:ascii="Times New Roman" w:hAnsi="Times New Roman"/>
          <w:sz w:val="20"/>
        </w:rPr>
        <w:t xml:space="preserve">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sz w:val="20"/>
        </w:rPr>
      </w:pPr>
      <w:r>
        <w:rPr>
          <w:rFonts w:ascii="Times New Roman" w:hAnsi="Times New Roman"/>
          <w:b/>
          <w:sz w:val="20"/>
        </w:rPr>
        <w:t>Results of Operations</w:t>
      </w:r>
    </w:p>
    <w:p>
      <w:pPr>
        <w:pStyle w:val="TextBody"/>
        <w:spacing w:lineRule="auto" w:line="312" w:before="240" w:after="240"/>
        <w:jc w:val="both"/>
        <w:rPr>
          <w:rFonts w:ascii="Times New Roman" w:hAnsi="Times New Roman"/>
          <w:b w:val="false"/>
          <w:sz w:val="20"/>
        </w:rPr>
      </w:pPr>
      <w:r>
        <w:rPr>
          <w:rFonts w:ascii="Times New Roman" w:hAnsi="Times New Roman"/>
          <w:b w:val="false"/>
          <w:sz w:val="20"/>
        </w:rPr>
        <w:t>The following is a discussion of our results of operations for the respective periods indicated: </w:t>
      </w:r>
    </w:p>
    <w:tbl>
      <w:tblPr>
        <w:tblW w:w="10205" w:type="dxa"/>
        <w:jc w:val="left"/>
        <w:tblInd w:w="0" w:type="dxa"/>
        <w:tblCellMar>
          <w:top w:w="28" w:type="dxa"/>
          <w:left w:w="28" w:type="dxa"/>
          <w:bottom w:w="28" w:type="dxa"/>
          <w:right w:w="28" w:type="dxa"/>
        </w:tblCellMar>
      </w:tblPr>
      <w:tblGrid>
        <w:gridCol w:w="3021"/>
        <w:gridCol w:w="146"/>
        <w:gridCol w:w="211"/>
        <w:gridCol w:w="781"/>
        <w:gridCol w:w="166"/>
        <w:gridCol w:w="146"/>
        <w:gridCol w:w="211"/>
        <w:gridCol w:w="781"/>
        <w:gridCol w:w="166"/>
        <w:gridCol w:w="146"/>
        <w:gridCol w:w="771"/>
        <w:gridCol w:w="146"/>
        <w:gridCol w:w="211"/>
        <w:gridCol w:w="781"/>
        <w:gridCol w:w="166"/>
        <w:gridCol w:w="146"/>
        <w:gridCol w:w="211"/>
        <w:gridCol w:w="781"/>
        <w:gridCol w:w="166"/>
        <w:gridCol w:w="146"/>
        <w:gridCol w:w="905"/>
      </w:tblGrid>
      <w:tr>
        <w:trPr/>
        <w:tc>
          <w:tcPr>
            <w:tcW w:w="3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r>
      <w:tr>
        <w:trPr/>
        <w:tc>
          <w:tcPr>
            <w:tcW w:w="302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379" w:type="dxa"/>
            <w:gridSpan w:val="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513" w:type="dxa"/>
            <w:gridSpan w:val="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 vs. 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 vs. 2020</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255,520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114,601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123%</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425,322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206,997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105%</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pPr>
            <w:r>
              <w:rPr/>
              <w:t> </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Compensation and benefits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164,404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86,254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91%</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273,874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144,765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89%</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Equity-based compensation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6,179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center"/>
              <w:rPr>
                <w:rFonts w:ascii="Times New Roman" w:hAnsi="Times New Roman"/>
                <w:b w:val="false"/>
                <w:sz w:val="20"/>
              </w:rPr>
            </w:pPr>
            <w:r>
              <w:rPr>
                <w:rFonts w:ascii="Times New Roman" w:hAnsi="Times New Roman"/>
                <w:b w:val="false"/>
                <w:sz w:val="20"/>
              </w:rPr>
              <w:t>7%</w:t>
            </w:r>
          </w:p>
        </w:tc>
      </w:tr>
      <w:tr>
        <w:trPr/>
        <w:tc>
          <w:tcPr>
            <w:tcW w:w="302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compensation and benefits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171,469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92,433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86%</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287,096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157,129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83%</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Non-compensation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34,565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42,869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60,696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74,164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center"/>
              <w:rPr>
                <w:rFonts w:ascii="Times New Roman" w:hAnsi="Times New Roman"/>
                <w:b w:val="false"/>
                <w:sz w:val="20"/>
              </w:rPr>
            </w:pPr>
            <w:r>
              <w:rPr>
                <w:rFonts w:ascii="Times New Roman" w:hAnsi="Times New Roman"/>
                <w:b w:val="false"/>
                <w:sz w:val="20"/>
              </w:rPr>
              <w:t>(18%)</w:t>
            </w:r>
          </w:p>
        </w:tc>
      </w:tr>
      <w:tr>
        <w:trPr/>
        <w:tc>
          <w:tcPr>
            <w:tcW w:w="302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206,034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135,302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347,792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231,293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50%</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Operating income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49,486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(20,701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77,530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(24,296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Non-operating income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pPr>
            <w:r>
              <w:rPr/>
              <w:t> </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Related party income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1,565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(35%)</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4,771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(21%)</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Other income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(48%)</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2,850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NM</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Change in fair value of warrant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100%</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100%</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Loss on debt extinguishment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(39,408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(100%)</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(39,408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(100%)</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(7,970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6%</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Total non-operating income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(39,965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(43,478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Income (loss) before income taxes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9,521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(21,293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34,052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(24,645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NM</w:t>
            </w:r>
          </w:p>
        </w:tc>
      </w:tr>
      <w:tr>
        <w:trPr/>
        <w:tc>
          <w:tcPr>
            <w:tcW w:w="3021"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Income tax benefit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38%</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(1,544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(65%)</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(22,127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31,507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(26,189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 attributable to</w:t>
              <w:br/>
              <w:t>non-controlling interests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21,499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44,006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hanging="0"/>
              <w:jc w:val="center"/>
              <w:rPr/>
            </w:pPr>
            <w:r>
              <w:rPr/>
              <w:t> </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 attributable to</w:t>
              <w:br/>
              <w:t>Perella Weinberg Partners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05" w:type="dxa"/>
            <w:tcBorders/>
            <w:shd w:fill="auto" w:val="clear"/>
            <w:vAlign w:val="center"/>
          </w:tcPr>
          <w:p>
            <w:pPr>
              <w:pStyle w:val="TableContents"/>
              <w:spacing w:lineRule="auto" w:line="312" w:before="0" w:after="0"/>
              <w:ind w:left="0" w:right="0" w:hanging="0"/>
              <w:jc w:val="center"/>
              <w:rPr/>
            </w:pPr>
            <w:r>
              <w:rPr/>
              <w:t> </w:t>
            </w:r>
          </w:p>
        </w:tc>
      </w:tr>
      <w:tr>
        <w:trPr/>
        <w:tc>
          <w:tcPr>
            <w:tcW w:w="30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NM = Not meaningful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05"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240" w:after="240"/>
        <w:jc w:val="left"/>
        <w:rPr>
          <w:rFonts w:ascii="Times New Roman" w:hAnsi="Times New Roman"/>
          <w:b/>
          <w:i/>
          <w:sz w:val="20"/>
        </w:rPr>
      </w:pPr>
      <w:r>
        <w:rPr>
          <w:rFonts w:ascii="Times New Roman" w:hAnsi="Times New Roman"/>
          <w:b/>
          <w:i/>
          <w:sz w:val="20"/>
        </w:rPr>
        <w:t>Revenues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sz w:val="20"/>
        </w:rPr>
      </w:pPr>
      <w:r>
        <w:rPr>
          <w:rFonts w:ascii="Times New Roman" w:hAnsi="Times New Roman"/>
          <w:b w:val="false"/>
          <w:sz w:val="20"/>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Three Months Ended June 30, 2021 Compared to Three Months Ended June 30, 2020</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Revenues were $255.5 million for the three months ended June 30, 2021 as compared with $114.6 million for the same period in 2020, representing an increase of 123%. The quarter-on-quarter increase in revenue reflects a significant acceleration of activity across substantially all industry groups, geographies, and product areas, particularly in M&amp;A advice.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For the three months ended June 30, 2021 and 2020, we earned revenues from 106 and 76 advisory clients, respectively. The number of advisory clients who paid fees equal to or greater than $1.0 million increased to 46 for the three months ended June 30, 2021 compared to 23 advisory clients for the three months ended June 30, 2020. The average fee size increased to $2.4 million for the three months ended June 30, 2021 from $1.4 million for the three months ended June 30, 2020.</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Six Months Ended June 30, 2021 Compared to Six Months Ended June 30, 2020</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Revenues were $425.3 million for the six months ended June 30, 2021 as compared with $207.0 million for the same period in 2020, representing an increase of 105%. The period-over-period growth reflects a significant acceleration of activity across substantially all industry groups, geographies, and product areas, particularly in M&amp;A activity when compared to the decreased M&amp;A activity in the prior year period primarily due to the COVID-19 pandemic. Restructuring activity has begun to moderate from levels experienced in the back half of 2020.</w:t>
      </w:r>
    </w:p>
    <w:p>
      <w:pPr>
        <w:pStyle w:val="TextBody"/>
        <w:spacing w:lineRule="auto" w:line="312" w:before="240" w:after="0"/>
        <w:jc w:val="both"/>
        <w:rPr>
          <w:rFonts w:ascii="Times New Roman" w:hAnsi="Times New Roman"/>
          <w:sz w:val="20"/>
        </w:rPr>
      </w:pPr>
      <w:r>
        <w:rPr>
          <w:rFonts w:ascii="Times New Roman" w:hAnsi="Times New Roman"/>
          <w:b w:val="false"/>
          <w:sz w:val="20"/>
        </w:rPr>
        <w:t>For the six months ended June 30, 2021 and 2020, we earned revenues from 149 and 102 advisory clients, respectively. The number of advisory clients who paid fees equal to or greater than $1.0 million increased to 70 advisory clients for the six months ended June 30, 2021 compared to 44 advisory clients for the six months ended June 30, 2020. The average fee size increased to $2.8 million for the six months ended June 30, 2021 from $1.9 million for the six months ended June 30, 2020.</w:t>
      </w:r>
      <w:r>
        <w:rPr>
          <w:rFonts w:ascii="Times New Roman" w:hAnsi="Times New Roman"/>
          <w:sz w:val="20"/>
        </w:rPr>
        <w:t xml:space="preserve">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Operating Expenses</w:t>
      </w:r>
    </w:p>
    <w:p>
      <w:pPr>
        <w:pStyle w:val="TextBody"/>
        <w:spacing w:lineRule="auto" w:line="312" w:before="240" w:after="240"/>
        <w:jc w:val="both"/>
        <w:rPr>
          <w:rFonts w:ascii="Times New Roman" w:hAnsi="Times New Roman"/>
          <w:b w:val="false"/>
          <w:sz w:val="20"/>
        </w:rPr>
      </w:pPr>
      <w:r>
        <w:rPr>
          <w:rFonts w:ascii="Times New Roman" w:hAnsi="Times New Roman"/>
          <w:b w:val="false"/>
          <w:sz w:val="20"/>
        </w:rPr>
        <w:t>The following table sets forth information relating to our operating expenses:</w:t>
      </w:r>
    </w:p>
    <w:tbl>
      <w:tblPr>
        <w:tblW w:w="10205" w:type="dxa"/>
        <w:jc w:val="left"/>
        <w:tblInd w:w="0" w:type="dxa"/>
        <w:tblCellMar>
          <w:top w:w="28" w:type="dxa"/>
          <w:left w:w="28" w:type="dxa"/>
          <w:bottom w:w="28" w:type="dxa"/>
          <w:right w:w="28" w:type="dxa"/>
        </w:tblCellMar>
      </w:tblPr>
      <w:tblGrid>
        <w:gridCol w:w="2571"/>
        <w:gridCol w:w="146"/>
        <w:gridCol w:w="211"/>
        <w:gridCol w:w="781"/>
        <w:gridCol w:w="146"/>
        <w:gridCol w:w="146"/>
        <w:gridCol w:w="211"/>
        <w:gridCol w:w="781"/>
        <w:gridCol w:w="166"/>
        <w:gridCol w:w="146"/>
        <w:gridCol w:w="1060"/>
        <w:gridCol w:w="146"/>
        <w:gridCol w:w="211"/>
        <w:gridCol w:w="781"/>
        <w:gridCol w:w="146"/>
        <w:gridCol w:w="146"/>
        <w:gridCol w:w="211"/>
        <w:gridCol w:w="781"/>
        <w:gridCol w:w="166"/>
        <w:gridCol w:w="146"/>
        <w:gridCol w:w="1106"/>
      </w:tblGrid>
      <w:tr>
        <w:trPr/>
        <w:tc>
          <w:tcPr>
            <w:tcW w:w="2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r>
      <w:tr>
        <w:trPr/>
        <w:tc>
          <w:tcPr>
            <w:tcW w:w="25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3648" w:type="dxa"/>
            <w:gridSpan w:val="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94" w:type="dxa"/>
            <w:gridSpan w:val="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r>
      <w:tr>
        <w:trPr/>
        <w:tc>
          <w:tcPr>
            <w:tcW w:w="25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hanging="0"/>
              <w:jc w:val="center"/>
              <w:rPr/>
            </w:pPr>
            <w:r>
              <w:rPr/>
              <w:t> </w:t>
            </w:r>
          </w:p>
        </w:tc>
      </w:tr>
      <w:tr>
        <w:trPr/>
        <w:tc>
          <w:tcPr>
            <w:tcW w:w="257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 vs. 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 vs. 2020</w:t>
            </w:r>
          </w:p>
        </w:tc>
      </w:tr>
      <w:tr>
        <w:trPr/>
        <w:tc>
          <w:tcPr>
            <w:tcW w:w="257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hanging="0"/>
              <w:jc w:val="center"/>
              <w:rPr/>
            </w:pPr>
            <w:r>
              <w:rPr/>
              <w:t> </w:t>
            </w:r>
          </w:p>
        </w:tc>
      </w:tr>
      <w:tr>
        <w:trPr/>
        <w:tc>
          <w:tcPr>
            <w:tcW w:w="2571" w:type="dxa"/>
            <w:tcBorders/>
            <w:shd w:fill="auto" w:val="clear"/>
            <w:vAlign w:val="center"/>
          </w:tcPr>
          <w:p>
            <w:pPr>
              <w:pStyle w:val="TableContents"/>
              <w:spacing w:lineRule="auto" w:line="312" w:before="0" w:after="0"/>
              <w:ind w:left="0" w:right="0" w:hanging="0"/>
              <w:jc w:val="left"/>
              <w:rPr/>
            </w:pPr>
            <w:r>
              <w:rPr/>
              <w:t>  </w:t>
            </w:r>
            <w:r>
              <w:rPr>
                <w:rFonts w:ascii="Times New Roman" w:hAnsi="Times New Roman"/>
                <w:b w:val="false"/>
                <w:sz w:val="20"/>
              </w:rPr>
              <w:t>Compensation and benefits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164,404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86,254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91%</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273,874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144,765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89%</w:t>
            </w:r>
          </w:p>
        </w:tc>
      </w:tr>
      <w:tr>
        <w:trPr/>
        <w:tc>
          <w:tcPr>
            <w:tcW w:w="2571" w:type="dxa"/>
            <w:tcBorders/>
            <w:shd w:fill="auto" w:val="clear"/>
            <w:vAlign w:val="center"/>
          </w:tcPr>
          <w:p>
            <w:pPr>
              <w:pStyle w:val="TableContents"/>
              <w:spacing w:lineRule="auto" w:line="312" w:before="0" w:after="0"/>
              <w:ind w:left="140" w:right="0" w:hanging="0"/>
              <w:jc w:val="left"/>
              <w:rPr>
                <w:rFonts w:ascii="Times New Roman" w:hAnsi="Times New Roman"/>
                <w:b w:val="false"/>
                <w:i/>
                <w:sz w:val="20"/>
              </w:rPr>
            </w:pPr>
            <w:r>
              <w:rPr>
                <w:rFonts w:ascii="Times New Roman" w:hAnsi="Times New Roman"/>
                <w:b w:val="false"/>
                <w:i/>
                <w:sz w:val="20"/>
              </w:rPr>
              <w:t>% of 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64%</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75%</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64%</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70%</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hanging="0"/>
              <w:jc w:val="center"/>
              <w:rPr/>
            </w:pPr>
            <w:r>
              <w:rPr/>
              <w:t> </w:t>
            </w:r>
          </w:p>
        </w:tc>
      </w:tr>
      <w:tr>
        <w:trPr/>
        <w:tc>
          <w:tcPr>
            <w:tcW w:w="2571" w:type="dxa"/>
            <w:tcBorders/>
            <w:shd w:fill="auto" w:val="clear"/>
            <w:vAlign w:val="center"/>
          </w:tcPr>
          <w:p>
            <w:pPr>
              <w:pStyle w:val="TableContents"/>
              <w:spacing w:lineRule="auto" w:line="312" w:before="0" w:after="0"/>
              <w:ind w:left="0" w:right="0" w:hanging="0"/>
              <w:jc w:val="left"/>
              <w:rPr/>
            </w:pPr>
            <w:r>
              <w:rPr/>
              <w:t>  </w:t>
            </w:r>
            <w:r>
              <w:rPr>
                <w:rFonts w:ascii="Times New Roman" w:hAnsi="Times New Roman"/>
                <w:b w:val="false"/>
                <w:sz w:val="20"/>
              </w:rPr>
              <w:t>Equity-based compensation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6,179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14%</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13,222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12,364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7%</w:t>
            </w:r>
          </w:p>
        </w:tc>
      </w:tr>
      <w:tr>
        <w:trPr/>
        <w:tc>
          <w:tcPr>
            <w:tcW w:w="2571" w:type="dxa"/>
            <w:tcBorders/>
            <w:shd w:fill="auto" w:val="clear"/>
            <w:vAlign w:val="center"/>
          </w:tcPr>
          <w:p>
            <w:pPr>
              <w:pStyle w:val="TableContents"/>
              <w:spacing w:lineRule="auto" w:line="312" w:before="0" w:after="0"/>
              <w:ind w:left="140" w:right="0" w:hanging="0"/>
              <w:jc w:val="left"/>
              <w:rPr>
                <w:rFonts w:ascii="Times New Roman" w:hAnsi="Times New Roman"/>
                <w:b w:val="false"/>
                <w:i/>
                <w:sz w:val="20"/>
              </w:rPr>
            </w:pPr>
            <w:r>
              <w:rPr>
                <w:rFonts w:ascii="Times New Roman" w:hAnsi="Times New Roman"/>
                <w:b w:val="false"/>
                <w:i/>
                <w:sz w:val="20"/>
              </w:rPr>
              <w:t>% of 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5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compensation and benefits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171,469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92,433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86%</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287,096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157,129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83%</w:t>
            </w:r>
          </w:p>
        </w:tc>
      </w:tr>
      <w:tr>
        <w:trPr/>
        <w:tc>
          <w:tcPr>
            <w:tcW w:w="2571" w:type="dxa"/>
            <w:tcBorders/>
            <w:shd w:fill="auto" w:val="clear"/>
            <w:vAlign w:val="center"/>
          </w:tcPr>
          <w:p>
            <w:pPr>
              <w:pStyle w:val="TableContents"/>
              <w:spacing w:lineRule="auto" w:line="312" w:before="0" w:after="0"/>
              <w:ind w:left="140" w:right="0" w:hanging="0"/>
              <w:jc w:val="left"/>
              <w:rPr>
                <w:rFonts w:ascii="Times New Roman" w:hAnsi="Times New Roman"/>
                <w:b w:val="false"/>
                <w:i/>
                <w:sz w:val="20"/>
              </w:rPr>
            </w:pPr>
            <w:r>
              <w:rPr>
                <w:rFonts w:ascii="Times New Roman" w:hAnsi="Times New Roman"/>
                <w:b w:val="false"/>
                <w:i/>
                <w:sz w:val="20"/>
              </w:rPr>
              <w:t>% of 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67%</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81%</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68%</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76%</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hanging="0"/>
              <w:jc w:val="center"/>
              <w:rPr/>
            </w:pPr>
            <w:r>
              <w:rPr/>
              <w:t> </w:t>
            </w:r>
          </w:p>
        </w:tc>
      </w:tr>
      <w:tr>
        <w:trPr/>
        <w:tc>
          <w:tcPr>
            <w:tcW w:w="2571" w:type="dxa"/>
            <w:tcBorders/>
            <w:shd w:fill="auto" w:val="clear"/>
            <w:vAlign w:val="center"/>
          </w:tcPr>
          <w:p>
            <w:pPr>
              <w:pStyle w:val="TableContents"/>
              <w:spacing w:lineRule="auto" w:line="312" w:before="0" w:after="0"/>
              <w:ind w:left="0" w:right="0" w:hanging="0"/>
              <w:jc w:val="left"/>
              <w:rPr/>
            </w:pPr>
            <w:r>
              <w:rPr/>
              <w:t>  </w:t>
            </w:r>
            <w:r>
              <w:rPr>
                <w:rFonts w:ascii="Times New Roman" w:hAnsi="Times New Roman"/>
                <w:b w:val="false"/>
                <w:sz w:val="20"/>
              </w:rPr>
              <w:t>Non-compensation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34,565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42,869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(19%)</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60,696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74,164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firstLine="140"/>
              <w:jc w:val="center"/>
              <w:rPr>
                <w:rFonts w:ascii="Times New Roman" w:hAnsi="Times New Roman"/>
                <w:b w:val="false"/>
                <w:sz w:val="20"/>
              </w:rPr>
            </w:pPr>
            <w:r>
              <w:rPr>
                <w:rFonts w:ascii="Times New Roman" w:hAnsi="Times New Roman"/>
                <w:b w:val="false"/>
                <w:sz w:val="20"/>
              </w:rPr>
              <w:t>(18%)</w:t>
            </w:r>
          </w:p>
        </w:tc>
      </w:tr>
      <w:tr>
        <w:trPr/>
        <w:tc>
          <w:tcPr>
            <w:tcW w:w="2571" w:type="dxa"/>
            <w:tcBorders/>
            <w:shd w:fill="auto" w:val="clear"/>
            <w:vAlign w:val="center"/>
          </w:tcPr>
          <w:p>
            <w:pPr>
              <w:pStyle w:val="TableContents"/>
              <w:spacing w:lineRule="auto" w:line="312" w:before="0" w:after="0"/>
              <w:ind w:left="140" w:right="0" w:hanging="0"/>
              <w:jc w:val="left"/>
              <w:rPr>
                <w:rFonts w:ascii="Times New Roman" w:hAnsi="Times New Roman"/>
                <w:b w:val="false"/>
                <w:i/>
                <w:sz w:val="20"/>
              </w:rPr>
            </w:pPr>
            <w:r>
              <w:rPr>
                <w:rFonts w:ascii="Times New Roman" w:hAnsi="Times New Roman"/>
                <w:b w:val="false"/>
                <w:i/>
                <w:sz w:val="20"/>
              </w:rPr>
              <w:t>% of 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37%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5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206,034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135,302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52%</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347,792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231,293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50%</w:t>
            </w:r>
          </w:p>
        </w:tc>
      </w:tr>
      <w:tr>
        <w:trPr/>
        <w:tc>
          <w:tcPr>
            <w:tcW w:w="25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 of 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81%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118%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82%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112%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5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Income (loss) before income taxes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(21,293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34,052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(24,645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NM</w:t>
            </w:r>
          </w:p>
        </w:tc>
      </w:tr>
      <w:tr>
        <w:trPr/>
        <w:tc>
          <w:tcPr>
            <w:tcW w:w="25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 of revenues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4%</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(19%)</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8%</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99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(12%)</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06" w:type="dxa"/>
            <w:tcBorders/>
            <w:shd w:fill="auto" w:val="clear"/>
            <w:vAlign w:val="center"/>
          </w:tcPr>
          <w:p>
            <w:pPr>
              <w:pStyle w:val="TableContents"/>
              <w:spacing w:lineRule="auto" w:line="312" w:before="0" w:after="0"/>
              <w:ind w:left="0" w:right="0" w:hanging="0"/>
              <w:jc w:val="center"/>
              <w:rPr/>
            </w:pPr>
            <w:r>
              <w:rPr/>
              <w:t> </w:t>
            </w:r>
          </w:p>
        </w:tc>
      </w:tr>
    </w:tbl>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pStyle w:val="TextBody"/>
        <w:spacing w:lineRule="auto" w:line="292" w:before="240" w:after="0"/>
        <w:jc w:val="both"/>
        <w:rPr>
          <w:rFonts w:ascii="Times New Roman" w:hAnsi="Times New Roman"/>
          <w:b w:val="false"/>
          <w:i/>
          <w:sz w:val="20"/>
        </w:rPr>
      </w:pPr>
      <w:r>
        <w:rPr>
          <w:rFonts w:ascii="Times New Roman" w:hAnsi="Times New Roman"/>
          <w:b w:val="false"/>
          <w:i/>
          <w:sz w:val="20"/>
        </w:rPr>
        <w:t>Three Months Ended June 30, 2021 Compared to Three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Operating expenses were $206.0 million for the three months ended June 30, 2021 and represented 81% of revenues, compared with $135.3 million for the three months ended June 30, 2020, which represented 118% of revenues. The increase in operating expenses was primarily driven by an increase in compensation and benefits expenses, which were $164.4 million, for the three months ended June 30, 2021 compared to $86.3 million, for the three months ended June 30, 2020, partially offset by lower non-compensation expenses which were $34.6 million for the three months ended June 30, 2021 compared to $42.9 million for the three months ended June 30, 2020. The increase in compensation and benefits expenses was primarily due to a larger bonus accrual associated with the increase in revenue despite a lower compensation margin. The decrease in non-compensation expense was primarily driven by a decrease in professional fees compared to the prior year period which included the write-off of certain previously deferred offering costs due to the termination of a public company transaction process in May 2020, partially offset by an increase in technology and infrastructure expenses and travel and related expenses.</w:t>
      </w:r>
      <w:r>
        <w:rPr>
          <w:rFonts w:ascii="Times New Roman" w:hAnsi="Times New Roman"/>
          <w:sz w:val="20"/>
        </w:rPr>
        <w:t xml:space="preserve"> </w:t>
      </w:r>
    </w:p>
    <w:p>
      <w:pPr>
        <w:pStyle w:val="TextBody"/>
        <w:spacing w:lineRule="auto" w:line="292" w:before="240" w:after="0"/>
        <w:jc w:val="both"/>
        <w:rPr>
          <w:rFonts w:ascii="Times New Roman" w:hAnsi="Times New Roman"/>
          <w:b w:val="false"/>
          <w:i/>
          <w:sz w:val="20"/>
        </w:rPr>
      </w:pPr>
      <w:r>
        <w:rPr>
          <w:rFonts w:ascii="Times New Roman" w:hAnsi="Times New Roman"/>
          <w:b w:val="false"/>
          <w:i/>
          <w:sz w:val="20"/>
        </w:rPr>
        <w:t>Six Months Ended June 30, 2021 Compared to Six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Operating expenses were $347.8 million for the six months ended June 30, 2021 and represented 82% of revenues, compared with $231.3 million for the six months ended June 30, 2020, which represented 112% of revenues. The increase in operating expenses was primarily driven by an increase in compensation and benefits expenses, which were $273.9 million for the six months ended June 30, 2021 compared to $144.8 million for the six months ended June 30, 2020, partially offset by lower non-compensation expenses which were $60.7 million for the six months ended June 30, 2021 compared to $74.2 million for the six months ended June 30, 2020. The increase in compensation and benefits expense was primarily due to a larger bonus accrual associated with the increase in revenue despite a lower compensation margin.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decreased travel and entertainment as well as conference and seminars from the COVID-19 pandemic.</w:t>
      </w:r>
      <w:r>
        <w:rPr>
          <w:rFonts w:ascii="Times New Roman" w:hAnsi="Times New Roman"/>
          <w:sz w:val="20"/>
        </w:rPr>
        <w:t xml:space="preserve">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312" w:before="0" w:after="0"/>
        <w:jc w:val="left"/>
        <w:rPr/>
      </w:pPr>
      <w:r>
        <w:rPr/>
        <w:t> </w:t>
      </w:r>
    </w:p>
    <w:p>
      <w:pPr>
        <w:pStyle w:val="TextBody"/>
        <w:spacing w:lineRule="auto" w:line="292" w:before="240" w:after="0"/>
        <w:jc w:val="both"/>
        <w:rPr>
          <w:rFonts w:ascii="Times New Roman" w:hAnsi="Times New Roman"/>
          <w:b/>
          <w:i/>
          <w:sz w:val="20"/>
        </w:rPr>
      </w:pPr>
      <w:r>
        <w:rPr>
          <w:rFonts w:ascii="Times New Roman" w:hAnsi="Times New Roman"/>
          <w:b/>
          <w:i/>
          <w:sz w:val="20"/>
        </w:rPr>
        <w:t>Compensation and Benefits Expenses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pStyle w:val="TextBody"/>
        <w:spacing w:lineRule="auto" w:line="312" w:before="240" w:after="0"/>
        <w:jc w:val="both"/>
        <w:rPr>
          <w:rFonts w:ascii="Times New Roman" w:hAnsi="Times New Roman"/>
          <w:sz w:val="20"/>
        </w:rPr>
      </w:pPr>
      <w:r>
        <w:rPr>
          <w:rFonts w:ascii="Times New Roman" w:hAnsi="Times New Roman"/>
          <w:b w:val="false"/>
          <w:sz w:val="20"/>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r>
        <w:rPr>
          <w:rFonts w:ascii="Times New Roman" w:hAnsi="Times New Roman"/>
          <w:sz w:val="20"/>
        </w:rPr>
        <w:t xml:space="preserve"> </w:t>
      </w:r>
    </w:p>
    <w:p>
      <w:pPr>
        <w:pStyle w:val="TextBody"/>
        <w:spacing w:lineRule="auto" w:line="312" w:before="240" w:after="0"/>
        <w:jc w:val="both"/>
        <w:rPr>
          <w:rFonts w:ascii="Times New Roman" w:hAnsi="Times New Roman"/>
          <w:sz w:val="20"/>
        </w:rPr>
      </w:pPr>
      <w:r>
        <w:rPr>
          <w:rFonts w:ascii="Times New Roman" w:hAnsi="Times New Roman"/>
          <w:b w:val="false"/>
          <w:sz w:val="20"/>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Beginning in the third quarter of 2021, the Company plans to grant incentive compensation awards in accordance with the Perella Weinberg Partners 2021 Omnibus Incentive Plan (the “PWP Incentive Plan”). The Company intends to use newly issued shares of PWP Class A common stock to satisfy vested awards under the plan. The vesting of these awards will be recorded as equity-based compensation expense at PWP OpCo for U.S. GAAP accounting purposes. Due to the accounting for this equity-based compensation expense, we may experience operating losses in future periods.</w:t>
      </w:r>
    </w:p>
    <w:p>
      <w:pPr>
        <w:pStyle w:val="TextBody"/>
        <w:spacing w:lineRule="auto" w:line="312" w:before="240" w:after="0"/>
        <w:jc w:val="both"/>
        <w:rPr>
          <w:rFonts w:ascii="Times New Roman" w:hAnsi="Times New Roman"/>
          <w:sz w:val="20"/>
        </w:rPr>
      </w:pPr>
      <w:r>
        <w:rPr>
          <w:rFonts w:ascii="Times New Roman" w:hAnsi="Times New Roman"/>
          <w:b w:val="false"/>
          <w:sz w:val="20"/>
        </w:rPr>
        <w:t>We intend to compensate our personnel competitively in order to continue building our business and growing our firm.</w:t>
      </w:r>
      <w:r>
        <w:rPr>
          <w:rFonts w:ascii="Times New Roman" w:hAnsi="Times New Roman"/>
          <w:sz w:val="20"/>
        </w:rPr>
        <w:t xml:space="preserve"> </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Three Months Ended June 30, 2021 Compared to Three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For the three months ended June 30, 2021, compensation-related expenses of $171.5 million represented 67% of revenues, compared with $92.4 million of compensation-related expenses, which represented 81% of revenues for the three months ended June 30, 2020. Included in total compensation-related expense was $7.1 million</w:t>
      </w:r>
      <w:r>
        <w:rPr>
          <w:rFonts w:ascii="Times New Roman" w:hAnsi="Times New Roman"/>
          <w:sz w:val="20"/>
        </w:rPr>
        <w:t xml:space="preserve"> </w:t>
      </w:r>
      <w:r>
        <w:rPr>
          <w:rFonts w:ascii="Times New Roman" w:hAnsi="Times New Roman"/>
          <w:b w:val="false"/>
          <w:sz w:val="20"/>
        </w:rPr>
        <w:t>amortization of equity awards, for the three months ended June 30, 2021. The increase in total compensation and benefit expenses was due to a larger bonus accrual associated with the increase in revenue despite a lower compensation margin when compared to the same period in 2020.</w:t>
      </w:r>
      <w:r>
        <w:rPr>
          <w:rFonts w:ascii="Times New Roman" w:hAnsi="Times New Roman"/>
          <w:sz w:val="20"/>
        </w:rPr>
        <w:t xml:space="preserve"> </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Six Months Ended June 30, 2021 Compared to Six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For the six months ended June 30, 2021, compensation-related expenses of $287.1 million represented 68% of revenues, compared with $157.1 million of compensation-related expenses, which represented 76% of revenues for the six months ended June 30, 2020. Included in total compensation-related expense was $13.2 million and $12.4 million amortization of equity awards for the six months ended June 30, 2021 and 2020, respectively. The increase in total compensation and benefit expenses was due to a larger bonus accrual associated with the increase in revenue despite a lower compensation margin when compared to the same period in 2020.</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Non-Compensation Expenses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Condensed Consolidated Statements of Operations.</w:t>
      </w:r>
    </w:p>
    <w:p>
      <w:pPr>
        <w:pStyle w:val="TextBody"/>
        <w:spacing w:lineRule="auto" w:line="312" w:before="240" w:after="0"/>
        <w:jc w:val="both"/>
        <w:rPr>
          <w:rFonts w:ascii="Times New Roman" w:hAnsi="Times New Roman"/>
          <w:sz w:val="20"/>
        </w:rPr>
      </w:pPr>
      <w:r>
        <w:rPr>
          <w:rFonts w:ascii="Times New Roman" w:hAnsi="Times New Roman"/>
          <w:b w:val="false"/>
          <w:sz w:val="20"/>
        </w:rPr>
        <w:t>Historically, our non-compensation expenses associated with business development have increased as we have increased our headcount. These costs include non-compensation support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r>
        <w:rPr>
          <w:rFonts w:ascii="Times New Roman" w:hAnsi="Times New Roman"/>
          <w:sz w:val="20"/>
        </w:rPr>
        <w:t xml:space="preserve"> </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Three Months Ended June 30, 2021 Compared to Three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For the three months ended June 30, 2021, non-compensation expenses of $34.6 million represented 14% of revenues, compared with $42.9 million, which represented 37% of revenues, for the three months ended June 30, 2020. The decrease in non-compensation expense was primarily driven by a $10.1 million decrease in professional fees, partially offset by an increase in technology and infrastructure costs and travel and related expenses. This reduction is largely due to elevated professional fees during the three months ended June 30, 2020 related to previously deferred offering costs of $14.8 million that were expensed due to the termination of a public company transaction process in May 2020. Excluding this write-off, professional fees during the three months ended June 30, 2021, increased $4.7 million, including $2.9 million of transaction-related expenses as well as increased consulting expenses and recruiting placement fees for strategic hires.</w:t>
      </w:r>
      <w:r>
        <w:rPr>
          <w:rFonts w:ascii="Times New Roman" w:hAnsi="Times New Roman"/>
          <w:sz w:val="20"/>
        </w:rPr>
        <w:t xml:space="preserve"> </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Six Months Ended June 30, 2021 Compared to Six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For the six months ended June 30, 2021, non-compensation expenses of $60.7 million represented 14% of revenues, compared with $74.2 million, which represented 36% of revenues, for the six months ended June 30, 2020. The decrease in non-compensation expense was primarily driven by a $10.4 million decrease in professional fees. This reduction is largely due to elevated professional fees during the six months ended June 30, 2021 as previously deferred offering costs of $14.8 million were expensed due to the termination of a public company transaction process in May 2020. Excluding this write-off, professional fees during the six months ended June 30, 2021, increased $4.4 million, including $2.9 million of transaction-related expenses as well as increased consulting expenses and recruiting expenses. The decrease in non-compensation expense was also due to a $2.7 million decrease in travel and related expenses as a result of the COVID-19 pandemic.</w:t>
      </w:r>
      <w:r>
        <w:rPr>
          <w:rFonts w:ascii="Times New Roman" w:hAnsi="Times New Roman"/>
          <w:sz w:val="20"/>
        </w:rPr>
        <w:t xml:space="preserve"> </w:t>
      </w:r>
    </w:p>
    <w:p>
      <w:pPr>
        <w:pStyle w:val="TextBody"/>
        <w:spacing w:lineRule="auto" w:line="312" w:before="240" w:after="0"/>
        <w:jc w:val="both"/>
        <w:rPr>
          <w:rFonts w:ascii="Times New Roman" w:hAnsi="Times New Roman"/>
          <w:b/>
          <w:i/>
          <w:sz w:val="20"/>
        </w:rPr>
      </w:pPr>
      <w:r>
        <w:rPr>
          <w:rFonts w:ascii="Times New Roman" w:hAnsi="Times New Roman"/>
          <w:b/>
          <w:i/>
          <w:sz w:val="20"/>
        </w:rPr>
        <w:t>Non-Operating Income (Expenses)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 For the three and six months ended June 30, 2021, the most significant component and change from the prior year periods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w:t>
      </w:r>
    </w:p>
    <w:p>
      <w:pPr>
        <w:pStyle w:val="TextBody"/>
        <w:spacing w:lineRule="auto" w:line="312" w:before="240" w:after="0"/>
        <w:jc w:val="both"/>
        <w:rPr>
          <w:rFonts w:ascii="Times New Roman" w:hAnsi="Times New Roman"/>
          <w:b/>
          <w:i/>
          <w:sz w:val="20"/>
        </w:rPr>
      </w:pPr>
      <w:r>
        <w:rPr>
          <w:rFonts w:ascii="Times New Roman" w:hAnsi="Times New Roman"/>
          <w:b/>
          <w:i/>
          <w:sz w:val="20"/>
        </w:rPr>
        <w:t>Income Tax Benefit (Expense)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Three Months Ended June 30, 2021 Compared to Three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The Company’s income tax expense and effective tax rate were $0.5 million and 5.47%, respectively, for the three months ended June 30, 2021, compared to income tax expense and effective tax rate of $0.8 million and (3.92%), respectively, for the three months ended June 30, 2020.</w:t>
      </w:r>
      <w:r>
        <w:rPr>
          <w:rFonts w:ascii="Times New Roman" w:hAnsi="Times New Roman"/>
          <w:sz w:val="20"/>
        </w:rPr>
        <w:t xml:space="preserve"> </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Six Months Ended June 30, 2021 Compared to Six Months Ended June 30, 2020</w:t>
      </w:r>
    </w:p>
    <w:p>
      <w:pPr>
        <w:pStyle w:val="TextBody"/>
        <w:spacing w:lineRule="auto" w:line="312" w:before="240" w:after="0"/>
        <w:jc w:val="both"/>
        <w:rPr>
          <w:rFonts w:ascii="Times New Roman" w:hAnsi="Times New Roman"/>
          <w:sz w:val="20"/>
        </w:rPr>
      </w:pPr>
      <w:r>
        <w:rPr>
          <w:rFonts w:ascii="Times New Roman" w:hAnsi="Times New Roman"/>
          <w:b w:val="false"/>
          <w:sz w:val="20"/>
        </w:rPr>
        <w:t>The Company’s income tax expense and effective tax rate were $2.5 million and 7.47%, respectively, for the six months ended June 30, 2021, compared to income tax expense and effective tax rate of $1.5 million and (6.26%), respectively, for the six months ended June 30, 2020.</w:t>
      </w:r>
      <w:r>
        <w:rPr>
          <w:rFonts w:ascii="Times New Roman" w:hAnsi="Times New Roman"/>
          <w:sz w:val="20"/>
        </w:rPr>
        <w:t xml:space="preserve"> </w:t>
      </w:r>
    </w:p>
    <w:p>
      <w:pPr>
        <w:pStyle w:val="TextBody"/>
        <w:spacing w:lineRule="auto" w:line="312" w:before="240" w:after="0"/>
        <w:jc w:val="both"/>
        <w:rPr>
          <w:rFonts w:ascii="Times New Roman" w:hAnsi="Times New Roman"/>
          <w:b/>
          <w:sz w:val="20"/>
        </w:rPr>
      </w:pPr>
      <w:r>
        <w:rPr>
          <w:rFonts w:ascii="Times New Roman" w:hAnsi="Times New Roman"/>
          <w:b/>
          <w:sz w:val="20"/>
        </w:rPr>
        <w:t>Liquidity and Capital Resources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pStyle w:val="TextBody"/>
        <w:spacing w:lineRule="auto" w:line="312" w:before="240" w:after="0"/>
        <w:jc w:val="both"/>
        <w:rPr>
          <w:rFonts w:ascii="Times New Roman" w:hAnsi="Times New Roman"/>
          <w:sz w:val="20"/>
        </w:rPr>
      </w:pPr>
      <w:r>
        <w:rPr>
          <w:rFonts w:ascii="Times New Roman" w:hAnsi="Times New Roman"/>
          <w:b w:val="false"/>
          <w:sz w:val="20"/>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Holdings LP.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made partner tax distributions of $47.4 million and $9.4 million during the six months ended June 30, 2021 and 2020, respectively. Additionally, as a public company, we intend to pay dividends throughout the year and may consider share repurchases as well.</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June 30, 2021 and December 31, 2020. As of June 30, 2021 and December 31, 2020, the Company had cash balances of $349.7 million and $329.1 million, respectively, maintained in U.S. and non-U.S. bank accounts, of which most bank account balances exceeded the U.S. Federal Deposit Insurance Corporation (“FDIC”) and U.K. Financial Services Compensation Scheme (“FSCS”) coverage limits.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liquidity is highly dependent upon cash receipts from clients, which generally require the successful completion of transactions. Accounts receivable generally have net terms of 30 days. Accounts receivable was $85.1 million, with $1.1 million of allowance for credit losses balance as of June 30, 2021. Accounts receivable was $40.8 million, with $1.0 million of allowance for credit losses balance as of December 31, 2020.</w:t>
      </w:r>
    </w:p>
    <w:p>
      <w:pPr>
        <w:pStyle w:val="TextBody"/>
        <w:spacing w:lineRule="auto" w:line="312" w:before="240" w:after="0"/>
        <w:jc w:val="both"/>
        <w:rPr>
          <w:rFonts w:ascii="Times New Roman" w:hAnsi="Times New Roman"/>
          <w:sz w:val="20"/>
        </w:rPr>
      </w:pPr>
      <w:r>
        <w:rPr>
          <w:rFonts w:ascii="Times New Roman" w:hAnsi="Times New Roman"/>
          <w:b w:val="false"/>
          <w:sz w:val="20"/>
        </w:rPr>
        <w:t>In December 2018, the Company amended the Credit Agreement to modify a term loan to a revolving credit facility with a line of credit of $50.0 million (the “Revolving Credit Facility”). During the six months ended June 30, 2020, the</w:t>
      </w:r>
      <w:r>
        <w:rPr>
          <w:rFonts w:ascii="Times New Roman" w:hAnsi="Times New Roman"/>
          <w:sz w:val="20"/>
        </w:rPr>
        <w:t xml:space="preserve"> </w:t>
      </w:r>
      <w:r>
        <w:rPr>
          <w:rFonts w:ascii="Times New Roman" w:hAnsi="Times New Roman"/>
          <w:b w:val="false"/>
          <w:sz w:val="20"/>
        </w:rPr>
        <w:t>Company made principal payments on the Revolving Credit Facility of $10.0 million as well as drawdowns of $22.0 million.</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sz w:val="20"/>
        </w:rPr>
      </w:pPr>
      <w:r>
        <w:rPr>
          <w:rFonts w:ascii="Times New Roman" w:hAnsi="Times New Roman"/>
          <w:b w:val="false"/>
          <w:sz w:val="20"/>
        </w:rPr>
        <w:t>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June 30, 2021, the Company had no outstanding balance related to the Revolving Credit Facility and no incremental revolving commitments were incurred. For further information on the Revolving Credit Facility, refer to Note 10 – Debt in the notes to condensed consolidated financial statements included elsewhere in this Form 10-Q.</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pStyle w:val="TextBody"/>
        <w:spacing w:lineRule="auto" w:line="312" w:before="240" w:after="0"/>
        <w:jc w:val="both"/>
        <w:rPr>
          <w:rFonts w:ascii="Times New Roman" w:hAnsi="Times New Roman"/>
          <w:b/>
          <w:i/>
          <w:sz w:val="20"/>
        </w:rPr>
      </w:pPr>
      <w:r>
        <w:rPr>
          <w:rFonts w:ascii="Times New Roman" w:hAnsi="Times New Roman"/>
          <w:b/>
          <w:i/>
          <w:sz w:val="20"/>
        </w:rPr>
        <w:t>Regulatory Capital</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 – 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pStyle w:val="TextBody"/>
        <w:spacing w:lineRule="auto" w:line="312" w:before="240" w:after="0"/>
        <w:jc w:val="both"/>
        <w:rPr>
          <w:rFonts w:ascii="Times New Roman" w:hAnsi="Times New Roman"/>
          <w:b/>
          <w:i/>
          <w:sz w:val="20"/>
        </w:rPr>
      </w:pPr>
      <w:r>
        <w:rPr>
          <w:rFonts w:ascii="Times New Roman" w:hAnsi="Times New Roman"/>
          <w:b/>
          <w:i/>
          <w:sz w:val="20"/>
        </w:rPr>
        <w:t>Exchange Rights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Depending on our liquidity and capital resources, market conditions, the timing and concentration of exchanges and other considerations, we may choose to fund exchanges of PWP OpCo Units with available cash, borrowings or issuances of Class A common stock.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the foregoing restrictions for any holder with respect to all or a portion of such holder’s units, with no obligation to do so for any other holder.</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Sponsor Share Surrender and Share Restriction Agreement</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On August 9, 2021, the Company repurchased 1,000,000 founder shares from the Sponsor at $12.00 per share for a total purchase price of $12.0 million.</w:t>
      </w:r>
    </w:p>
    <w:p>
      <w:pPr>
        <w:pStyle w:val="TextBody"/>
        <w:spacing w:lineRule="auto" w:line="312" w:before="240" w:after="0"/>
        <w:jc w:val="both"/>
        <w:rPr>
          <w:rFonts w:ascii="Times New Roman" w:hAnsi="Times New Roman"/>
          <w:b/>
          <w:i/>
          <w:sz w:val="20"/>
        </w:rPr>
      </w:pPr>
      <w:r>
        <w:rPr>
          <w:rFonts w:ascii="Times New Roman" w:hAnsi="Times New Roman"/>
          <w:b/>
          <w:i/>
          <w:sz w:val="20"/>
        </w:rPr>
        <w:t>Cash Flows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partners, and in the six months ended June 30, 2021, the proceeds and distributions related to the Business Combination.</w:t>
      </w:r>
    </w:p>
    <w:p>
      <w:pPr>
        <w:pStyle w:val="TextBody"/>
        <w:spacing w:lineRule="auto" w:line="312" w:before="240" w:after="240"/>
        <w:jc w:val="both"/>
        <w:rPr>
          <w:rFonts w:ascii="Times New Roman" w:hAnsi="Times New Roman"/>
          <w:b w:val="false"/>
          <w:sz w:val="20"/>
        </w:rPr>
      </w:pPr>
      <w:r>
        <w:rPr>
          <w:rFonts w:ascii="Times New Roman" w:hAnsi="Times New Roman"/>
          <w:b w:val="false"/>
          <w:sz w:val="20"/>
        </w:rPr>
        <w:t>A summary of our operating, investing and financing cash flows is as follows:</w:t>
      </w:r>
    </w:p>
    <w:tbl>
      <w:tblPr>
        <w:tblW w:w="9070" w:type="dxa"/>
        <w:jc w:val="left"/>
        <w:tblInd w:w="0" w:type="dxa"/>
        <w:tblCellMar>
          <w:top w:w="28" w:type="dxa"/>
          <w:left w:w="28" w:type="dxa"/>
          <w:bottom w:w="28" w:type="dxa"/>
          <w:right w:w="28" w:type="dxa"/>
        </w:tblCellMar>
      </w:tblPr>
      <w:tblGrid>
        <w:gridCol w:w="6331"/>
        <w:gridCol w:w="146"/>
        <w:gridCol w:w="213"/>
        <w:gridCol w:w="790"/>
        <w:gridCol w:w="168"/>
        <w:gridCol w:w="147"/>
        <w:gridCol w:w="213"/>
        <w:gridCol w:w="851"/>
        <w:gridCol w:w="211"/>
      </w:tblGrid>
      <w:tr>
        <w:trPr/>
        <w:tc>
          <w:tcPr>
            <w:tcW w:w="6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33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82"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Cash Provided By (Used In)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03" w:type="dxa"/>
            <w:gridSpan w:val="2"/>
            <w:tcBorders/>
            <w:shd w:fill="auto" w:val="clear"/>
            <w:vAlign w:val="center"/>
          </w:tcPr>
          <w:p>
            <w:pPr>
              <w:pStyle w:val="TableContents"/>
              <w:spacing w:lineRule="auto" w:line="312" w:before="0" w:after="0"/>
              <w:ind w:left="0" w:right="0" w:hanging="0"/>
              <w:jc w:val="right"/>
              <w:rPr/>
            </w:pPr>
            <w:r>
              <w:rPr/>
              <w:t> </w:t>
            </w:r>
          </w:p>
        </w:tc>
        <w:tc>
          <w:tcPr>
            <w:tcW w:w="168" w:type="dxa"/>
            <w:tcBorders/>
            <w:shd w:fill="auto" w:val="clear"/>
            <w:vAlign w:val="center"/>
          </w:tcPr>
          <w:p>
            <w:pPr>
              <w:pStyle w:val="TableContents"/>
              <w:spacing w:lineRule="auto" w:line="312" w:before="0" w:after="0"/>
              <w:ind w:left="0" w:right="0" w:hanging="0"/>
              <w:jc w:val="right"/>
              <w:rPr/>
            </w:pPr>
            <w:r>
              <w:rPr/>
              <w:t> </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1064" w:type="dxa"/>
            <w:gridSpan w:val="2"/>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Operating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03" w:type="dxa"/>
            <w:gridSpan w:val="2"/>
            <w:tcBorders/>
            <w:shd w:fill="auto" w:val="clear"/>
            <w:vAlign w:val="center"/>
          </w:tcPr>
          <w:p>
            <w:pPr>
              <w:pStyle w:val="TableContents"/>
              <w:spacing w:lineRule="auto" w:line="312" w:before="0" w:after="0"/>
              <w:ind w:left="0" w:right="0" w:hanging="0"/>
              <w:jc w:val="right"/>
              <w:rPr/>
            </w:pPr>
            <w:r>
              <w:rPr/>
              <w:t> </w:t>
            </w:r>
          </w:p>
        </w:tc>
        <w:tc>
          <w:tcPr>
            <w:tcW w:w="168" w:type="dxa"/>
            <w:tcBorders/>
            <w:shd w:fill="auto" w:val="clear"/>
            <w:vAlign w:val="center"/>
          </w:tcPr>
          <w:p>
            <w:pPr>
              <w:pStyle w:val="TableContents"/>
              <w:spacing w:lineRule="auto" w:line="312" w:before="0" w:after="0"/>
              <w:ind w:left="0" w:right="0" w:hanging="0"/>
              <w:jc w:val="right"/>
              <w:rPr/>
            </w:pPr>
            <w:r>
              <w:rPr/>
              <w:t> </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1064" w:type="dxa"/>
            <w:gridSpan w:val="2"/>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6331" w:type="dxa"/>
            <w:tcBorders/>
            <w:shd w:fill="auto" w:val="clear"/>
            <w:vAlign w:val="center"/>
          </w:tcPr>
          <w:p>
            <w:pPr>
              <w:pStyle w:val="TableContents"/>
              <w:spacing w:lineRule="auto" w:line="312" w:before="0" w:after="0"/>
              <w:ind w:left="0" w:right="0" w:hanging="0"/>
              <w:jc w:val="left"/>
              <w:rPr/>
            </w:pPr>
            <w:r>
              <w:rPr/>
              <w:t>   </w:t>
            </w:r>
            <w:r>
              <w:rPr>
                <w:rFonts w:ascii="Times New Roman" w:hAnsi="Times New Roman"/>
                <w:b w:val="false"/>
                <w:sz w:val="20"/>
              </w:rPr>
              <w:t>Net income (loss)</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31,507</w:t>
            </w:r>
          </w:p>
        </w:tc>
        <w:tc>
          <w:tcPr>
            <w:tcW w:w="168" w:type="dxa"/>
            <w:tcBorders/>
            <w:shd w:fill="auto" w:val="clear"/>
            <w:vAlign w:val="center"/>
          </w:tcPr>
          <w:p>
            <w:pPr>
              <w:pStyle w:val="TableContents"/>
              <w:spacing w:lineRule="auto" w:line="312" w:before="0" w:after="0"/>
              <w:ind w:left="0" w:right="0" w:hanging="0"/>
              <w:jc w:val="left"/>
              <w:rPr/>
            </w:pPr>
            <w:r>
              <w:rPr/>
              <w:t> </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(26,189</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31" w:type="dxa"/>
            <w:tcBorders/>
            <w:shd w:fill="auto" w:val="clear"/>
            <w:vAlign w:val="center"/>
          </w:tcPr>
          <w:p>
            <w:pPr>
              <w:pStyle w:val="TableContents"/>
              <w:spacing w:lineRule="auto" w:line="312" w:before="0" w:after="0"/>
              <w:ind w:left="0" w:right="0" w:hanging="0"/>
              <w:jc w:val="left"/>
              <w:rPr/>
            </w:pPr>
            <w:r>
              <w:rPr/>
              <w:t>   </w:t>
            </w:r>
            <w:r>
              <w:rPr>
                <w:rFonts w:ascii="Times New Roman" w:hAnsi="Times New Roman"/>
                <w:b w:val="false"/>
                <w:sz w:val="20"/>
              </w:rPr>
              <w:t>Non-cash charges and other operating activity adjustments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7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69,765</w:t>
            </w:r>
          </w:p>
        </w:tc>
        <w:tc>
          <w:tcPr>
            <w:tcW w:w="168" w:type="dxa"/>
            <w:tcBorders/>
            <w:shd w:fill="auto" w:val="clear"/>
            <w:vAlign w:val="center"/>
          </w:tcPr>
          <w:p>
            <w:pPr>
              <w:pStyle w:val="TableContents"/>
              <w:spacing w:lineRule="auto" w:line="312" w:before="0" w:after="0"/>
              <w:ind w:left="0" w:right="0" w:hanging="0"/>
              <w:jc w:val="left"/>
              <w:rPr/>
            </w:pPr>
            <w:r>
              <w:rPr/>
              <w:t> </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30,300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6331" w:type="dxa"/>
            <w:tcBorders/>
            <w:shd w:fill="auto" w:val="clear"/>
            <w:vAlign w:val="center"/>
          </w:tcPr>
          <w:p>
            <w:pPr>
              <w:pStyle w:val="TableContents"/>
              <w:spacing w:lineRule="auto" w:line="312" w:before="0" w:after="0"/>
              <w:ind w:left="0" w:right="0" w:hanging="0"/>
              <w:jc w:val="left"/>
              <w:rPr/>
            </w:pPr>
            <w:r>
              <w:rPr/>
              <w:t>   </w:t>
            </w:r>
            <w:r>
              <w:rPr>
                <w:rFonts w:ascii="Times New Roman" w:hAnsi="Times New Roman"/>
                <w:b w:val="false"/>
                <w:sz w:val="20"/>
              </w:rPr>
              <w:t>Other operating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(73,443</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(112,510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operating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7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27,829</w:t>
            </w:r>
          </w:p>
        </w:tc>
        <w:tc>
          <w:tcPr>
            <w:tcW w:w="168" w:type="dxa"/>
            <w:tcBorders/>
            <w:shd w:fill="auto" w:val="clear"/>
            <w:vAlign w:val="center"/>
          </w:tcPr>
          <w:p>
            <w:pPr>
              <w:pStyle w:val="TableContents"/>
              <w:spacing w:lineRule="auto" w:line="312" w:before="0" w:after="0"/>
              <w:ind w:left="0" w:right="0" w:hanging="0"/>
              <w:jc w:val="left"/>
              <w:rPr/>
            </w:pPr>
            <w:r>
              <w:rPr/>
              <w:t> </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(108,399</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Investing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7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(1,429</w:t>
            </w:r>
          </w:p>
        </w:tc>
        <w:tc>
          <w:tcPr>
            <w:tcW w:w="16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(4,104</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Financing Activities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7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(6,459</w:t>
            </w:r>
          </w:p>
        </w:tc>
        <w:tc>
          <w:tcPr>
            <w:tcW w:w="16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2,570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Effect of exchange rate changes on cash, cash equivalents and restricted cash</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668</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(3,130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increase (decrease) in cash, cash equivalents and restricted cash</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79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20,609</w:t>
            </w:r>
          </w:p>
        </w:tc>
        <w:tc>
          <w:tcPr>
            <w:tcW w:w="168" w:type="dxa"/>
            <w:tcBorders/>
            <w:shd w:fill="auto" w:val="clear"/>
            <w:vAlign w:val="center"/>
          </w:tcPr>
          <w:p>
            <w:pPr>
              <w:pStyle w:val="TableContents"/>
              <w:spacing w:lineRule="auto" w:line="312" w:before="0" w:after="0"/>
              <w:ind w:left="0" w:right="0" w:hanging="0"/>
              <w:jc w:val="left"/>
              <w:rPr/>
            </w:pPr>
            <w:r>
              <w:rPr/>
              <w:t> </w:t>
            </w:r>
          </w:p>
        </w:tc>
        <w:tc>
          <w:tcPr>
            <w:tcW w:w="147" w:type="dxa"/>
            <w:tcBorders/>
            <w:shd w:fill="auto" w:val="clear"/>
            <w:vAlign w:val="center"/>
          </w:tcPr>
          <w:p>
            <w:pPr>
              <w:pStyle w:val="TableContents"/>
              <w:spacing w:lineRule="auto" w:line="312" w:before="0" w:after="0"/>
              <w:ind w:left="0" w:right="0" w:hanging="0"/>
              <w:jc w:val="righ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(113,063</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beginning of period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330,908</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266,582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3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end of period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351,517</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153,519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jc w:val="both"/>
        <w:rPr>
          <w:rFonts w:ascii="Times New Roman" w:hAnsi="Times New Roman"/>
          <w:sz w:val="20"/>
        </w:rPr>
      </w:pPr>
      <w:r>
        <w:rPr>
          <w:rFonts w:ascii="Times New Roman" w:hAnsi="Times New Roman"/>
          <w:b w:val="false"/>
          <w:i/>
          <w:sz w:val="20"/>
        </w:rPr>
        <w:t>Six Months Ended June 30, 2021</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Cash and restricted cash were $351.5 million as of June 30, 2021, an increase of $20.6 million from $330.9 million as of December 31, 2020. Operating activities resulted in a net inflow of $27.8 million largely attributable to net income generated during the six months ended June 30, 2021, partially offset by changes in working capital. Net income included $30.4 million of non-cash charges as well as a $39.4 million loss on debt extinguishment related to the redemption of the Convertible Notes concurrent with the Business Combination. Investing activities resulted in a net outflow of $1.4 million attributable to the Company’s deconsolidation in PFAC Holdings and the purchases of fixed assets. Financing activities resulted in a net outflow of $6.5 million primarily related to the transactions associated with the Business Combination, the payoff of all outstanding debt and tax distributions to partners.</w:t>
      </w:r>
    </w:p>
    <w:p>
      <w:pPr>
        <w:pStyle w:val="TextBody"/>
        <w:spacing w:lineRule="auto" w:line="312" w:before="240" w:after="0"/>
        <w:jc w:val="both"/>
        <w:rPr>
          <w:rFonts w:ascii="Times New Roman" w:hAnsi="Times New Roman"/>
          <w:sz w:val="20"/>
        </w:rPr>
      </w:pPr>
      <w:r>
        <w:rPr>
          <w:rFonts w:ascii="Times New Roman" w:hAnsi="Times New Roman"/>
          <w:b w:val="false"/>
          <w:i/>
          <w:sz w:val="20"/>
        </w:rPr>
        <w:t>Six Months Ended June 30, 2020</w:t>
      </w:r>
      <w:r>
        <w:rPr>
          <w:rFonts w:ascii="Times New Roman" w:hAnsi="Times New Roman"/>
          <w:sz w:val="20"/>
        </w:rPr>
        <w:t xml:space="preserve"> </w:t>
      </w:r>
    </w:p>
    <w:p>
      <w:pPr>
        <w:pStyle w:val="TextBody"/>
        <w:spacing w:lineRule="auto" w:line="312" w:before="240" w:after="0"/>
        <w:jc w:val="both"/>
        <w:rPr>
          <w:rFonts w:ascii="Times New Roman" w:hAnsi="Times New Roman"/>
          <w:sz w:val="20"/>
        </w:rPr>
      </w:pPr>
      <w:r>
        <w:rPr>
          <w:rFonts w:ascii="Times New Roman" w:hAnsi="Times New Roman"/>
          <w:b w:val="false"/>
          <w:sz w:val="20"/>
        </w:rPr>
        <w:t>Cash and restricted cash were $153.5 million as of June 30, 2020. Operating activities resulted in a net outflow of $108.4 million attributable to changes in working capital and net loss incurred during the six months ended June 30, 2020, both partially offset by non-cash operating charges. Investing activities resulted in a net outflow of $4.1 million primarily attributable to purchases of fixed assets. Financing activities resulted in a net inflow of $2.6 million primarily related to draw downs and principal payments on the Revolving Credit Facility and distributions to partners.</w:t>
      </w:r>
      <w:r>
        <w:rPr>
          <w:rFonts w:ascii="Times New Roman" w:hAnsi="Times New Roman"/>
          <w:sz w:val="20"/>
        </w:rPr>
        <w:t xml:space="preserve">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w:t>
      </w:r>
    </w:p>
    <w:p>
      <w:pPr>
        <w:pStyle w:val="TextBody"/>
        <w:spacing w:lineRule="auto" w:line="312" w:before="240" w:after="0"/>
        <w:jc w:val="both"/>
        <w:rPr>
          <w:rFonts w:ascii="Times New Roman" w:hAnsi="Times New Roman"/>
          <w:b/>
          <w:i/>
          <w:sz w:val="20"/>
        </w:rPr>
      </w:pPr>
      <w:r>
        <w:rPr>
          <w:rFonts w:ascii="Times New Roman" w:hAnsi="Times New Roman"/>
          <w:b/>
          <w:i/>
          <w:sz w:val="20"/>
        </w:rPr>
        <w:t>Contractual Obligations</w:t>
      </w:r>
    </w:p>
    <w:p>
      <w:pPr>
        <w:pStyle w:val="TextBody"/>
        <w:spacing w:lineRule="auto" w:line="312" w:before="0" w:after="0"/>
        <w:jc w:val="left"/>
        <w:rPr/>
      </w:pPr>
      <w:r>
        <w:rPr/>
        <w:t> </w:t>
      </w:r>
    </w:p>
    <w:p>
      <w:pPr>
        <w:pStyle w:val="TextBody"/>
        <w:spacing w:lineRule="auto" w:line="312" w:before="0" w:after="0"/>
        <w:jc w:val="both"/>
        <w:rPr>
          <w:rFonts w:ascii="Times New Roman" w:hAnsi="Times New Roman"/>
          <w:b w:val="false"/>
          <w:sz w:val="20"/>
        </w:rPr>
      </w:pPr>
      <w:r>
        <w:rPr>
          <w:rFonts w:ascii="Times New Roman" w:hAnsi="Times New Roman"/>
          <w:b w:val="false"/>
          <w:sz w:val="20"/>
        </w:rPr>
        <w:t>We have various non-cancelable operating leases in connection with the leases of our office spaces and equipment. The related lease agreements, which range from non-cancelable and month-to-month terms, generally provide for fixed monthly rentals and can also include renewal options. See Note 5 – Leases in the notes to condensed consolidated financial statements included elsewhere in this Form 10-Q for further information.</w:t>
      </w:r>
    </w:p>
    <w:p>
      <w:pPr>
        <w:pStyle w:val="TextBody"/>
        <w:spacing w:lineRule="auto" w:line="312" w:before="240" w:after="0"/>
        <w:jc w:val="both"/>
        <w:rPr>
          <w:rFonts w:ascii="Times New Roman" w:hAnsi="Times New Roman"/>
          <w:sz w:val="20"/>
        </w:rPr>
      </w:pPr>
      <w:r>
        <w:rPr>
          <w:rFonts w:ascii="Times New Roman" w:hAnsi="Times New Roman"/>
          <w:b w:val="false"/>
          <w:sz w:val="20"/>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 – Other Compensation and Benefits in the notes to condensed consolidated financial statements included elsewhere in this Form 10-Q for further information.</w:t>
      </w:r>
      <w:r>
        <w:rPr>
          <w:rFonts w:ascii="Times New Roman" w:hAnsi="Times New Roman"/>
          <w:sz w:val="20"/>
        </w:rPr>
        <w:t xml:space="preserve"> </w:t>
      </w:r>
    </w:p>
    <w:p>
      <w:pPr>
        <w:pStyle w:val="TextBody"/>
        <w:spacing w:lineRule="auto" w:line="312" w:before="240" w:after="0"/>
        <w:jc w:val="both"/>
        <w:rPr>
          <w:rFonts w:ascii="Times New Roman" w:hAnsi="Times New Roman"/>
          <w:b/>
          <w:i/>
          <w:sz w:val="20"/>
        </w:rPr>
      </w:pPr>
      <w:r>
        <w:rPr>
          <w:rFonts w:ascii="Times New Roman" w:hAnsi="Times New Roman"/>
          <w:b/>
          <w:i/>
          <w:sz w:val="20"/>
        </w:rPr>
        <w:t>Guarantees</w:t>
      </w:r>
    </w:p>
    <w:p>
      <w:pPr>
        <w:pStyle w:val="TextBody"/>
        <w:spacing w:lineRule="auto" w:line="312" w:before="240" w:after="0"/>
        <w:jc w:val="both"/>
        <w:rPr>
          <w:rFonts w:ascii="Times New Roman" w:hAnsi="Times New Roman"/>
          <w:sz w:val="20"/>
        </w:rPr>
      </w:pPr>
      <w:r>
        <w:rPr>
          <w:rFonts w:ascii="Times New Roman" w:hAnsi="Times New Roman"/>
          <w:b w:val="false"/>
          <w:sz w:val="20"/>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 – Related Party Transactions and Note 18 – Commitments and Contingencies in the notes to condensed consolidated financial statements included elsewhere in this Form 10-Q for further information.</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i/>
          <w:sz w:val="20"/>
        </w:rPr>
      </w:pPr>
      <w:r>
        <w:rPr>
          <w:rFonts w:ascii="Times New Roman" w:hAnsi="Times New Roman"/>
          <w:b/>
          <w:i/>
          <w:sz w:val="20"/>
        </w:rPr>
        <w:t>Tax Receivable Agreement</w:t>
      </w:r>
    </w:p>
    <w:p>
      <w:pPr>
        <w:pStyle w:val="TextBody"/>
        <w:spacing w:lineRule="auto" w:line="312" w:before="0" w:after="0"/>
        <w:jc w:val="left"/>
        <w:rPr/>
      </w:pPr>
      <w:r>
        <w:rPr/>
        <w:t> </w:t>
      </w:r>
    </w:p>
    <w:p>
      <w:pPr>
        <w:pStyle w:val="TextBody"/>
        <w:spacing w:lineRule="auto" w:line="312" w:before="0" w:after="0"/>
        <w:jc w:val="both"/>
        <w:rPr>
          <w:rFonts w:ascii="Times New Roman" w:hAnsi="Times New Roman"/>
          <w:sz w:val="20"/>
        </w:rPr>
      </w:pPr>
      <w:r>
        <w:rPr>
          <w:rFonts w:ascii="Times New Roman" w:hAnsi="Times New Roman"/>
          <w:b w:val="false"/>
          <w:sz w:val="20"/>
        </w:rPr>
        <w:t>In connection with the Business Combination, the Company entered into a tax receivable agreement with Professional Partners and certain other persons (the “TRA”) under which the Company agreed to payments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w:t>
      </w:r>
      <w:r>
        <w:rPr>
          <w:rFonts w:ascii="Times New Roman" w:hAnsi="Times New Roman"/>
          <w:sz w:val="20"/>
        </w:rPr>
        <w:t xml:space="preserve"> </w:t>
      </w:r>
    </w:p>
    <w:p>
      <w:pPr>
        <w:pStyle w:val="TextBody"/>
        <w:spacing w:lineRule="auto" w:line="312" w:before="240" w:after="0"/>
        <w:jc w:val="both"/>
        <w:rPr>
          <w:rFonts w:ascii="Times New Roman" w:hAnsi="Times New Roman"/>
          <w:b/>
          <w:sz w:val="20"/>
        </w:rPr>
      </w:pPr>
      <w:r>
        <w:rPr>
          <w:rFonts w:ascii="Times New Roman" w:hAnsi="Times New Roman"/>
          <w:b/>
          <w:sz w:val="20"/>
        </w:rPr>
        <w:t>Off-Balance Sheet Arrangements</w:t>
      </w:r>
    </w:p>
    <w:p>
      <w:pPr>
        <w:pStyle w:val="TextBody"/>
        <w:spacing w:lineRule="auto" w:line="312" w:before="240" w:after="0"/>
        <w:jc w:val="both"/>
        <w:rPr>
          <w:rFonts w:ascii="Times New Roman" w:hAnsi="Times New Roman"/>
          <w:sz w:val="20"/>
        </w:rPr>
      </w:pPr>
      <w:r>
        <w:rPr>
          <w:rFonts w:ascii="Times New Roman" w:hAnsi="Times New Roman"/>
          <w:b w:val="false"/>
          <w:sz w:val="20"/>
        </w:rPr>
        <w:t>We do not invest in any off-balance sheet vehicles that provide liquidity, capital resources, market or credit risk support, or engage in any activities that expose us to any liability that is not reflected in our condensed consolidated financial statements except for those described under “</w:t>
      </w:r>
      <w:r>
        <w:rPr>
          <w:rFonts w:ascii="Times New Roman" w:hAnsi="Times New Roman"/>
          <w:b w:val="false"/>
          <w:i/>
          <w:sz w:val="20"/>
        </w:rPr>
        <w:t>Commitments and Contingencies</w:t>
      </w:r>
      <w:r>
        <w:rPr>
          <w:rFonts w:ascii="Times New Roman" w:hAnsi="Times New Roman"/>
          <w:sz w:val="20"/>
        </w:rPr>
        <w:t xml:space="preserve">” </w:t>
      </w:r>
      <w:r>
        <w:rPr>
          <w:rFonts w:ascii="Times New Roman" w:hAnsi="Times New Roman"/>
          <w:b w:val="false"/>
          <w:sz w:val="20"/>
        </w:rPr>
        <w:t>above.</w:t>
      </w:r>
    </w:p>
    <w:p>
      <w:pPr>
        <w:pStyle w:val="TextBody"/>
        <w:spacing w:lineRule="auto" w:line="312" w:before="240" w:after="0"/>
        <w:jc w:val="both"/>
        <w:rPr>
          <w:rFonts w:ascii="Times New Roman" w:hAnsi="Times New Roman"/>
          <w:b/>
          <w:sz w:val="20"/>
        </w:rPr>
      </w:pPr>
      <w:r>
        <w:rPr>
          <w:rFonts w:ascii="Times New Roman" w:hAnsi="Times New Roman"/>
          <w:b/>
          <w:sz w:val="20"/>
        </w:rPr>
        <w:t>Market Risk and Credit Risk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business is not capital-intensive and we do not invest in derivative instruments. We are not subject to significant market risk (including interest rate risk, foreign currency exchange rate risk and commodity price risk) or significant credit risk.</w:t>
      </w:r>
    </w:p>
    <w:p>
      <w:pPr>
        <w:pStyle w:val="TextBody"/>
        <w:spacing w:lineRule="auto" w:line="312" w:before="240" w:after="0"/>
        <w:jc w:val="both"/>
        <w:rPr>
          <w:rFonts w:ascii="Times New Roman" w:hAnsi="Times New Roman"/>
          <w:b/>
          <w:i/>
          <w:sz w:val="20"/>
        </w:rPr>
      </w:pPr>
      <w:r>
        <w:rPr>
          <w:rFonts w:ascii="Times New Roman" w:hAnsi="Times New Roman"/>
          <w:b/>
          <w:i/>
          <w:sz w:val="20"/>
        </w:rPr>
        <w:t>Risks Related to Cash and Cash Equivalents</w:t>
      </w:r>
    </w:p>
    <w:p>
      <w:pPr>
        <w:pStyle w:val="TextBody"/>
        <w:spacing w:lineRule="auto" w:line="312" w:before="240" w:after="0"/>
        <w:jc w:val="both"/>
        <w:rPr>
          <w:rFonts w:ascii="Times New Roman" w:hAnsi="Times New Roman"/>
          <w:sz w:val="20"/>
        </w:rPr>
      </w:pPr>
      <w:r>
        <w:rPr>
          <w:rFonts w:ascii="Times New Roman" w:hAnsi="Times New Roman"/>
          <w:b w:val="false"/>
          <w:sz w:val="20"/>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r>
        <w:rPr>
          <w:rFonts w:ascii="Times New Roman" w:hAnsi="Times New Roman"/>
          <w:sz w:val="20"/>
        </w:rPr>
        <w:t xml:space="preserve"> </w:t>
      </w:r>
    </w:p>
    <w:p>
      <w:pPr>
        <w:pStyle w:val="TextBody"/>
        <w:spacing w:lineRule="auto" w:line="312" w:before="240" w:after="0"/>
        <w:jc w:val="both"/>
        <w:rPr>
          <w:rFonts w:ascii="Times New Roman" w:hAnsi="Times New Roman"/>
          <w:b/>
          <w:i/>
          <w:sz w:val="20"/>
        </w:rPr>
      </w:pPr>
      <w:r>
        <w:rPr>
          <w:rFonts w:ascii="Times New Roman" w:hAnsi="Times New Roman"/>
          <w:b/>
          <w:i/>
          <w:sz w:val="20"/>
        </w:rPr>
        <w:t>Credit Risk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 Summary of Significant Accounting Policies in the notes to condensed consolidated financial statements included elsewhere in this Form 10-Q for further information.</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Exchange Rate Risk</w:t>
      </w:r>
    </w:p>
    <w:p>
      <w:pPr>
        <w:pStyle w:val="TextBody"/>
        <w:spacing w:lineRule="auto" w:line="312" w:before="240" w:after="0"/>
        <w:jc w:val="both"/>
        <w:rPr>
          <w:rFonts w:ascii="Times New Roman" w:hAnsi="Times New Roman"/>
          <w:sz w:val="20"/>
        </w:rPr>
      </w:pPr>
      <w:r>
        <w:rPr>
          <w:rFonts w:ascii="Times New Roman" w:hAnsi="Times New Roman"/>
          <w:b w:val="false"/>
          <w:sz w:val="20"/>
        </w:rPr>
        <w:t>The Company is exposed to exchange rate risk as a result of entering into transactions that are not denominated in the functional currency of its operating subsidiaries, as well as having foreign subsidiaries with non-U.S. dollar functional currencies. For the six months ended June 30, 2021 and 2020, the net impact of non-functional currency-related transaction gains and losses recorded in other income (expense) on our Condensed Consolidated Statements of Operations was a $1.8 million loss and a</w:t>
      </w:r>
      <w:r>
        <w:rPr>
          <w:rFonts w:ascii="Times New Roman" w:hAnsi="Times New Roman"/>
          <w:sz w:val="20"/>
        </w:rPr>
        <w:t xml:space="preserve"> </w:t>
      </w:r>
      <w:r>
        <w:rPr>
          <w:rFonts w:ascii="Times New Roman" w:hAnsi="Times New Roman"/>
          <w:b w:val="false"/>
          <w:sz w:val="20"/>
        </w:rPr>
        <w:t>$2.7 million gain, respectively. In addition, the reported amounts in our condensed consolidated financial statements may be affected by movements in the rate of exchange between the pound sterling, Euro, Canadian dollar and our reporting currency, the U.S. dollar, resulting in translation gains and losses.</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For the six months ended June 30, 2021 and 2020, the net impact of the fluctuation of foreign currencies recorded in Foreign currency translation gain (loss) within our Condensed Consolidated Statements of Comprehensive Income (Loss) was a $0.5 million gain and $2.5 million loss, respectively. We have not entered into any transactions to hedge our exposure to these foreign currency fluctuations using derivative instruments or other methods but may do so if we deem appropriate in the future.</w:t>
      </w:r>
    </w:p>
    <w:p>
      <w:pPr>
        <w:pStyle w:val="TextBody"/>
        <w:spacing w:lineRule="auto" w:line="312" w:before="240" w:after="0"/>
        <w:jc w:val="both"/>
        <w:rPr>
          <w:rFonts w:ascii="Times New Roman" w:hAnsi="Times New Roman"/>
          <w:sz w:val="20"/>
        </w:rPr>
      </w:pPr>
      <w:r>
        <w:rPr>
          <w:rFonts w:ascii="Times New Roman" w:hAnsi="Times New Roman"/>
          <w:b w:val="false"/>
          <w:sz w:val="20"/>
        </w:rPr>
        <w:t>As of June 30, 2021, we held balances of $48.0 million of non-U.S. dollar denominated currencies, composed of pound sterling, the Euro, and Canadian dollars.</w:t>
      </w:r>
      <w:r>
        <w:rPr>
          <w:rFonts w:ascii="Times New Roman" w:hAnsi="Times New Roman"/>
          <w:sz w:val="20"/>
        </w:rPr>
        <w:t xml:space="preserve"> </w:t>
      </w:r>
    </w:p>
    <w:p>
      <w:pPr>
        <w:pStyle w:val="TextBody"/>
        <w:spacing w:lineRule="auto" w:line="312" w:before="240" w:after="0"/>
        <w:jc w:val="both"/>
        <w:rPr>
          <w:rFonts w:ascii="Times New Roman" w:hAnsi="Times New Roman"/>
          <w:b/>
          <w:sz w:val="20"/>
        </w:rPr>
      </w:pPr>
      <w:r>
        <w:rPr>
          <w:rFonts w:ascii="Times New Roman" w:hAnsi="Times New Roman"/>
          <w:b/>
          <w:sz w:val="20"/>
        </w:rPr>
        <w:t>Critical Accounting Policies</w:t>
      </w:r>
    </w:p>
    <w:p>
      <w:pPr>
        <w:pStyle w:val="TextBody"/>
        <w:spacing w:lineRule="auto" w:line="312" w:before="240" w:after="0"/>
        <w:jc w:val="both"/>
        <w:rPr>
          <w:rFonts w:ascii="Times New Roman" w:hAnsi="Times New Roman"/>
          <w:sz w:val="20"/>
        </w:rPr>
      </w:pPr>
      <w:r>
        <w:rPr>
          <w:rFonts w:ascii="Times New Roman" w:hAnsi="Times New Roman"/>
          <w:b w:val="false"/>
          <w:sz w:val="20"/>
        </w:rPr>
        <w:t>This Quarterly Report on Form 10-Q should be read together with the discussion within “</w:t>
      </w:r>
      <w:r>
        <w:rPr>
          <w:rFonts w:ascii="Times New Roman" w:hAnsi="Times New Roman"/>
          <w:b w:val="false"/>
          <w:i/>
          <w:sz w:val="20"/>
        </w:rPr>
        <w:t>Management</w:t>
      </w:r>
      <w:r>
        <w:rPr>
          <w:rFonts w:ascii="Times New Roman" w:hAnsi="Times New Roman"/>
          <w:sz w:val="20"/>
        </w:rPr>
        <w:t>’</w:t>
      </w:r>
      <w:r>
        <w:rPr>
          <w:rFonts w:ascii="Times New Roman" w:hAnsi="Times New Roman"/>
          <w:b w:val="false"/>
          <w:i/>
          <w:sz w:val="20"/>
        </w:rPr>
        <w:t>s Discussion and Analysis of Financial Condition and Results of Operations”</w:t>
      </w:r>
      <w:r>
        <w:rPr>
          <w:rFonts w:ascii="Times New Roman" w:hAnsi="Times New Roman"/>
          <w:sz w:val="20"/>
        </w:rPr>
        <w:t xml:space="preserve"> </w:t>
      </w:r>
      <w:r>
        <w:rPr>
          <w:rFonts w:ascii="Times New Roman" w:hAnsi="Times New Roman"/>
          <w:b w:val="false"/>
          <w:sz w:val="20"/>
        </w:rPr>
        <w:t>contained in the Current Report on Form 8-K filed on June 24, 2021 regarding these critical accounting policies. For changes to our critical accounting policies during the six months ended June 30, 2021, refer to Note 2 – Summary of Significant Accounting Policies in the notes to condensed consolidated financial statements included elsewhere in this Form 10-Q.</w:t>
      </w:r>
    </w:p>
    <w:p>
      <w:pPr>
        <w:pStyle w:val="TextBody"/>
        <w:spacing w:lineRule="auto" w:line="312" w:before="240" w:after="0"/>
        <w:jc w:val="left"/>
        <w:rPr>
          <w:rFonts w:ascii="Times New Roman" w:hAnsi="Times New Roman"/>
          <w:b/>
          <w:sz w:val="20"/>
        </w:rPr>
      </w:pPr>
      <w:bookmarkStart w:id="11" w:name="item_3_market_risk"/>
      <w:bookmarkEnd w:id="11"/>
      <w:r>
        <w:rPr>
          <w:rFonts w:ascii="Times New Roman" w:hAnsi="Times New Roman"/>
          <w:b/>
          <w:sz w:val="20"/>
        </w:rPr>
        <w:t>Item 3. Quantitative and Qualitative Disclosures About Market Risk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are exposed to market risks associated with changes in foreign currency exchange rates due to our international operations. The currencies for which we have our largest exchange rate exposures are related to changes in the British Pound, the Canadian dollar and the Euro. Our revenue contracts are primarily denominated in these currencies or the U.S. dollar. The contracts denominated in currencies other than the U.S. dollar, primarily from the transaction-related advisory services that we provide, are exposed to foreign currency fluctuations.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Additionally, the net assets and liabilities of these international operations are exposed to changes in foreign currency exchange rates. These operations may also have net assets and liabilities not denominated in their functional currency, which exposes us to changes in foreign currency exchange rates that impact income. Our foreign currency gains (losses) are primarily due to exchange rate fluctuations related to monetary asset balances denominated in currencies other than the functional currency, including foreign currency exchange rate changes recorded on intercompany obligations. Changes in exchange rates may create gains or losses in future periods to the extent we maintain net assets and liabilities not denominated in the functional currency.</w:t>
      </w:r>
    </w:p>
    <w:p>
      <w:pPr>
        <w:pStyle w:val="TextBody"/>
        <w:spacing w:lineRule="auto" w:line="312" w:before="240" w:after="0"/>
        <w:jc w:val="left"/>
        <w:rPr>
          <w:rFonts w:ascii="Times New Roman" w:hAnsi="Times New Roman"/>
          <w:b/>
          <w:sz w:val="20"/>
        </w:rPr>
      </w:pPr>
      <w:bookmarkStart w:id="12" w:name="item_4_controls"/>
      <w:bookmarkEnd w:id="12"/>
      <w:r>
        <w:rPr>
          <w:rFonts w:ascii="Times New Roman" w:hAnsi="Times New Roman"/>
          <w:b/>
          <w:sz w:val="20"/>
        </w:rPr>
        <w:t>Item 4. Controls and Procedures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pStyle w:val="TextBody"/>
        <w:spacing w:lineRule="auto" w:line="312" w:before="240" w:after="0"/>
        <w:jc w:val="both"/>
        <w:rPr>
          <w:rFonts w:ascii="Times New Roman" w:hAnsi="Times New Roman"/>
          <w:b/>
          <w:i/>
          <w:sz w:val="20"/>
        </w:rPr>
      </w:pPr>
      <w:r>
        <w:rPr>
          <w:rFonts w:ascii="Times New Roman" w:hAnsi="Times New Roman"/>
          <w:b/>
          <w:i/>
          <w:sz w:val="20"/>
        </w:rPr>
        <w:t>Previously Reported Material Weakness in Internal Control</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previously reported, FTIV identified a material weakness in the operation of FTIV’s internal control over financial reporting related to accounting for FTIV’s warrants following the issuance, on April 12, 2021, by the staff of the SEC of a public statement entitled “Staff Statement on Accounting and Reporting Considerations for Warrants issued by Special Purpose Acquisition Companies.”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sz w:val="20"/>
        </w:rPr>
      </w:pPr>
      <w:r>
        <w:rPr>
          <w:rFonts w:ascii="Times New Roman" w:hAnsi="Times New Roman"/>
          <w:b w:val="false"/>
          <w:sz w:val="20"/>
        </w:rPr>
        <w:t xml:space="preserve">Based on FTIV management’s evaluation, the Audit Committee of FTIV’s Board of Directors (the “FTIV Audit Committee”), in consultation with management and after discussion with FTIV’s independent registered public accounting firm, concluded that FTIV’s warrants were not indexed to FTIV’s common stock in the manner contemplated by ASC Subtopic 815-40, </w:t>
      </w:r>
      <w:r>
        <w:rPr>
          <w:rFonts w:ascii="Times New Roman" w:hAnsi="Times New Roman"/>
          <w:b w:val="false"/>
          <w:i/>
          <w:sz w:val="20"/>
        </w:rPr>
        <w:t>Contracts in Entity’s Own Equity</w:t>
      </w:r>
      <w:r>
        <w:rPr>
          <w:rFonts w:ascii="Times New Roman" w:hAnsi="Times New Roman"/>
          <w:b w:val="false"/>
          <w:sz w:val="20"/>
        </w:rPr>
        <w:t>, because the holder of the instrument is not an input into the pricing of a fixed-for-fixed option on equity shares. In addition, based on FTIV management’s evaluation, FTIV’s Audit Committee, in consultation with management and after discussion with FTIV’s independent registered public accounting firm, concluded the tender offer provision included in the warrant agreement fails the “classified in stockholders’ equity” criteria as contemplated by ASC Section 815-40-25.</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described elsewhere in this Quarterly Report on Form 10-Q, the Business Combination closed on June 24, 2021 and was treated as a reverse recapitalization transaction between entities under common control, whereby PWP OpCo was considered the accounting acquirer and predecessor entity.  As a result of the Business Combination, the internal controls of FTIV no longer exist as of June 30, 2021 and have been replaced by the internal controls of PWP OpCo as of such date.  Furthermore, although the warrants remain outstanding following the Business Combination, the warrants have been accounted for appropriately by PWP OpCo for each period in which PWP OpCo has been required to include the warrants in its financial statements.</w:t>
      </w:r>
    </w:p>
    <w:p>
      <w:pPr>
        <w:pStyle w:val="TextBody"/>
        <w:spacing w:lineRule="auto" w:line="312" w:before="240" w:after="0"/>
        <w:jc w:val="left"/>
        <w:rPr>
          <w:rFonts w:ascii="Times New Roman" w:hAnsi="Times New Roman"/>
          <w:b/>
          <w:i/>
          <w:sz w:val="20"/>
        </w:rPr>
      </w:pPr>
      <w:r>
        <w:rPr>
          <w:rFonts w:ascii="Times New Roman" w:hAnsi="Times New Roman"/>
          <w:b/>
          <w:i/>
          <w:sz w:val="20"/>
        </w:rPr>
        <w:t>Management’s Evaluation of Disclosure Controls and Procedures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June 30, 2021.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pStyle w:val="TextBody"/>
        <w:spacing w:lineRule="auto" w:line="312" w:before="240" w:after="0"/>
        <w:jc w:val="left"/>
        <w:rPr>
          <w:rFonts w:ascii="Times New Roman" w:hAnsi="Times New Roman"/>
          <w:sz w:val="20"/>
        </w:rPr>
      </w:pPr>
      <w:r>
        <w:rPr>
          <w:rFonts w:ascii="Times New Roman" w:hAnsi="Times New Roman"/>
          <w:b/>
          <w:i/>
          <w:sz w:val="20"/>
        </w:rPr>
        <w:t>Changes in Internal Control over Financial Reporting</w:t>
      </w:r>
      <w:r>
        <w:rPr>
          <w:rFonts w:ascii="Times New Roman" w:hAnsi="Times New Roman"/>
          <w:sz w:val="20"/>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There were no changes in our internal control over financial reporting (as defined in Exchange Act Rules 13a-15(f) and 15d-15(f)) during the three months ended June 30, 2021 that materially affected, or are reasonably likely to materially affect, our internal control over financial reporting.</w:t>
      </w:r>
    </w:p>
    <w:p>
      <w:pPr>
        <w:pStyle w:val="TextBody"/>
        <w:spacing w:lineRule="auto" w:line="312" w:before="240" w:after="0"/>
        <w:jc w:val="left"/>
        <w:rPr>
          <w:rFonts w:ascii="Times New Roman" w:hAnsi="Times New Roman"/>
          <w:b/>
          <w:sz w:val="20"/>
        </w:rPr>
      </w:pPr>
      <w:bookmarkStart w:id="13" w:name="part_ii_other_information"/>
      <w:bookmarkEnd w:id="13"/>
      <w:r>
        <w:rPr>
          <w:rFonts w:ascii="Times New Roman" w:hAnsi="Times New Roman"/>
          <w:b/>
          <w:sz w:val="20"/>
        </w:rPr>
        <w:t>PART II. OTHER INFORMATION</w:t>
      </w:r>
    </w:p>
    <w:p>
      <w:pPr>
        <w:pStyle w:val="TextBody"/>
        <w:spacing w:lineRule="auto" w:line="312" w:before="240" w:after="0"/>
        <w:jc w:val="both"/>
        <w:rPr>
          <w:rFonts w:ascii="Times New Roman" w:hAnsi="Times New Roman"/>
          <w:b/>
          <w:sz w:val="20"/>
        </w:rPr>
      </w:pPr>
      <w:bookmarkStart w:id="14" w:name="item_1_legal_proceedings"/>
      <w:bookmarkEnd w:id="14"/>
      <w:r>
        <w:rPr>
          <w:rFonts w:ascii="Times New Roman" w:hAnsi="Times New Roman"/>
          <w:b/>
          <w:sz w:val="20"/>
        </w:rPr>
        <w:t>Item 1. Legal Proceedings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For further details on the current legal proceedings, refer to Note 18 – Commitments and Contingencies in the notes to condensed consolidated financial statements included elsewhere in this Form 10-Q.</w:t>
      </w:r>
    </w:p>
    <w:p>
      <w:pPr>
        <w:pStyle w:val="TextBody"/>
        <w:spacing w:lineRule="auto" w:line="312" w:before="240" w:after="0"/>
        <w:jc w:val="both"/>
        <w:rPr>
          <w:rFonts w:ascii="Times New Roman" w:hAnsi="Times New Roman"/>
          <w:b/>
          <w:sz w:val="20"/>
        </w:rPr>
      </w:pPr>
      <w:bookmarkStart w:id="15" w:name="item_1a_risk_factors"/>
      <w:bookmarkEnd w:id="15"/>
      <w:r>
        <w:rPr>
          <w:rFonts w:ascii="Times New Roman" w:hAnsi="Times New Roman"/>
          <w:b/>
          <w:sz w:val="20"/>
        </w:rPr>
        <w:t>Item 1A. Risk Factors</w:t>
      </w:r>
    </w:p>
    <w:p>
      <w:pPr>
        <w:pStyle w:val="TextBody"/>
        <w:spacing w:lineRule="auto" w:line="312" w:before="240" w:after="0"/>
        <w:jc w:val="both"/>
        <w:rPr>
          <w:rFonts w:ascii="Times New Roman" w:hAnsi="Times New Roman"/>
          <w:b w:val="false"/>
          <w:i/>
          <w:sz w:val="20"/>
        </w:rPr>
      </w:pPr>
      <w:r>
        <w:rPr>
          <w:rFonts w:ascii="Times New Roman" w:hAnsi="Times New Roman"/>
          <w:b w:val="false"/>
          <w:i/>
          <w:sz w:val="20"/>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 Additional risks and uncertainties not presently known to us or that we currently deem immaterial may also impair our business.</w:t>
      </w:r>
    </w:p>
    <w:p>
      <w:pPr>
        <w:pStyle w:val="TextBody"/>
        <w:spacing w:lineRule="auto" w:line="312" w:before="240" w:after="0"/>
        <w:jc w:val="left"/>
        <w:rPr>
          <w:rFonts w:ascii="Times New Roman" w:hAnsi="Times New Roman"/>
          <w:b/>
          <w:sz w:val="20"/>
        </w:rPr>
      </w:pPr>
      <w:r>
        <w:rPr>
          <w:rFonts w:ascii="Times New Roman" w:hAnsi="Times New Roman"/>
          <w:b/>
          <w:sz w:val="20"/>
        </w:rPr>
        <w:t>Risk Factor Summary</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principal risks and uncertainties affecting our business include the following: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retain working limited partners whose tenure was not terminated prior to November 1, 2020 (“Working Partners”) and key employees is critical to the success of our business.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future growth will depend on, among other things, our ability to successfully identify, recruit and develop talent and will require us to commit additional resources. </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Our inability to successfully identify, consummate and integrate strategic transactions such as joint ventures, strategic investments and acquisitions may result in additional risks and uncertainties in our business.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312" w:before="0" w:after="0"/>
        <w:jc w:val="left"/>
        <w:rPr/>
      </w:pPr>
      <w:r>
        <w:rPr/>
        <w:t>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Changing market conditions can adversely affect our business in many ways, including by reducing the volume of the transactions involving our business, which could materially reduce our revenue.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Our engagements are often singular in nature and do not provide for subsequent engagements, which could cause our revenues to fluctuate materially from period to period.</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Our clients may be unable to pay us for our services.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Our failure to deal appropriately with actual, potential or perceived conflicts of interest could damage our reputation and materially adversely affect our business.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Goodwill and other intangible assets represent a significant portion of our assets, and an impairment of these assets could have a material adverse effect on our business, financial condition and results of operation.</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We may be unable to execute on our growth initiatives, business strategies or operating plans.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As a member of the financial services industry, we face substantial litigation risks.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Our business is subject to various cybersecurity and other operational risks.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We may enter into new lines of business which may result in additional risks and uncertainties in our business.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Fluctuations in foreign currency exchange rates could adversely affect our results.</w:t>
      </w:r>
    </w:p>
    <w:p>
      <w:pPr>
        <w:pStyle w:val="TextBody"/>
        <w:spacing w:lineRule="auto" w:line="312" w:before="120" w:after="0"/>
        <w:rPr/>
      </w:pPr>
      <w:r>
        <w:rPr/>
        <w:t></w:t>
      </w:r>
    </w:p>
    <w:p>
      <w:pPr>
        <w:pStyle w:val="TextBody"/>
        <w:spacing w:lineRule="auto" w:line="312" w:before="120" w:after="0"/>
        <w:rPr/>
      </w:pPr>
      <w:r>
        <w:rPr/>
        <w:t> </w:t>
      </w:r>
      <w:r>
        <w:rPr>
          <w:rFonts w:ascii="Times New Roman" w:hAnsi="Times New Roman"/>
          <w:b w:val="false"/>
          <w:sz w:val="20"/>
        </w:rPr>
        <w:t>The historical consolidated and unaudited pro forma financial information in our filings is not representative of the results we would have achieved as a stand-alone public company and may not permit you to predict our future results.</w:t>
      </w:r>
    </w:p>
    <w:p>
      <w:pPr>
        <w:pStyle w:val="TextBody"/>
        <w:spacing w:lineRule="auto" w:line="312" w:before="120" w:after="0"/>
        <w:rPr/>
      </w:pPr>
      <w:r>
        <w:rPr/>
        <w:t></w:t>
      </w:r>
    </w:p>
    <w:p>
      <w:pPr>
        <w:pStyle w:val="TextBody"/>
        <w:spacing w:lineRule="auto" w:line="312" w:before="120" w:after="283"/>
        <w:rPr/>
      </w:pPr>
      <w:r>
        <w:rPr/>
        <w:t> </w:t>
      </w:r>
      <w:r>
        <w:rPr>
          <w:rFonts w:ascii="Times New Roman" w:hAnsi="Times New Roman"/>
          <w:b w:val="false"/>
          <w:sz w:val="20"/>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pStyle w:val="TextBody"/>
        <w:spacing w:lineRule="auto" w:line="312" w:before="240" w:after="0"/>
        <w:jc w:val="both"/>
        <w:rPr>
          <w:rFonts w:ascii="Times New Roman" w:hAnsi="Times New Roman"/>
          <w:b/>
          <w:sz w:val="20"/>
        </w:rPr>
      </w:pPr>
      <w:r>
        <w:rPr>
          <w:rFonts w:ascii="Times New Roman" w:hAnsi="Times New Roman"/>
          <w:b/>
          <w:sz w:val="20"/>
        </w:rPr>
        <w:t>Risks Related to Our Business</w:t>
      </w:r>
    </w:p>
    <w:p>
      <w:pPr>
        <w:pStyle w:val="TextBody"/>
        <w:spacing w:lineRule="auto" w:line="312" w:before="240" w:after="0"/>
        <w:jc w:val="both"/>
        <w:rPr>
          <w:rFonts w:ascii="Times New Roman" w:hAnsi="Times New Roman"/>
          <w:b/>
          <w:i/>
          <w:sz w:val="20"/>
        </w:rPr>
      </w:pPr>
      <w:r>
        <w:rPr>
          <w:rFonts w:ascii="Times New Roman" w:hAnsi="Times New Roman"/>
          <w:b/>
          <w:i/>
          <w:sz w:val="20"/>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remain subject to the risks of future pandemics, which could result in challenges to our business that are similar to, or in excess of, those posed by COVID-19.</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Our ability to retain Working Partners and key employees is critical to the success of our business.</w:t>
      </w:r>
    </w:p>
    <w:p>
      <w:pPr>
        <w:pStyle w:val="TextBody"/>
        <w:spacing w:lineRule="auto" w:line="312" w:before="240" w:after="0"/>
        <w:jc w:val="both"/>
        <w:rPr>
          <w:rFonts w:ascii="Times New Roman" w:hAnsi="Times New Roman"/>
          <w:sz w:val="20"/>
        </w:rPr>
      </w:pPr>
      <w:r>
        <w:rPr>
          <w:rFonts w:ascii="Times New Roman" w:hAnsi="Times New Roman"/>
          <w:b w:val="false"/>
          <w:sz w:val="20"/>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Times New Roman" w:hAnsi="Times New Roman"/>
          <w:b w:val="false"/>
          <w:i/>
          <w:sz w:val="20"/>
        </w:rPr>
        <w:t>Legal Proceedings</w:t>
      </w:r>
      <w:r>
        <w:rPr>
          <w:rFonts w:ascii="Times New Roman" w:hAnsi="Times New Roman"/>
          <w:sz w:val="20"/>
        </w:rPr>
        <w:t xml:space="preserve">” </w:t>
      </w:r>
      <w:r>
        <w:rPr>
          <w:rFonts w:ascii="Times New Roman" w:hAnsi="Times New Roman"/>
          <w:b w:val="false"/>
          <w:sz w:val="20"/>
        </w:rPr>
        <w:t>included elsewhere in this Form 10-Q.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pStyle w:val="TextBody"/>
        <w:spacing w:lineRule="auto" w:line="312" w:before="240" w:after="0"/>
        <w:jc w:val="both"/>
        <w:rPr>
          <w:rFonts w:ascii="Times New Roman" w:hAnsi="Times New Roman"/>
          <w:b/>
          <w:i/>
          <w:sz w:val="20"/>
        </w:rPr>
      </w:pPr>
      <w:r>
        <w:rPr>
          <w:rFonts w:ascii="Times New Roman" w:hAnsi="Times New Roman"/>
          <w:b/>
          <w:i/>
          <w:sz w:val="20"/>
        </w:rPr>
        <w:t>Our future growth will depend on, among other things, our ability to successfully identify, recruit and develop talent and will require us to commit additional resources.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pStyle w:val="TextBody"/>
        <w:spacing w:lineRule="auto" w:line="312" w:before="240" w:after="0"/>
        <w:jc w:val="both"/>
        <w:rPr>
          <w:rFonts w:ascii="Times New Roman" w:hAnsi="Times New Roman"/>
          <w:sz w:val="20"/>
        </w:rPr>
      </w:pPr>
      <w:r>
        <w:rPr>
          <w:rFonts w:ascii="Times New Roman" w:hAnsi="Times New Roman"/>
          <w:b w:val="false"/>
          <w:sz w:val="20"/>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Times New Roman" w:hAnsi="Times New Roman"/>
          <w:b w:val="false"/>
          <w:i/>
          <w:sz w:val="20"/>
        </w:rPr>
        <w:t>Risks Related to our Business—Our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r>
        <w:rPr>
          <w:rFonts w:ascii="Times New Roman" w:hAnsi="Times New Roman"/>
          <w:b w:val="false"/>
          <w:sz w:val="20"/>
        </w:rPr>
        <w:t>.” There can be no assurance that we will be able to manage our expanding operations effectively, and any failure to do so could materially adversely affect our ability to grow revenue and control our expenses.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Our inability to successfully identify, consummate and integrate strategic transactions such as joint ventures, strategic investments and acquisitions may result in additional risks and uncertainties in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to recruiting and internal promotions, we may grow our business through strategic transactions, including joint ventures, strategic investments or acquisitions.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of 2002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pStyle w:val="TextBody"/>
        <w:spacing w:lineRule="auto" w:line="312" w:before="240" w:after="0"/>
        <w:jc w:val="both"/>
        <w:rPr>
          <w:rFonts w:ascii="Times New Roman" w:hAnsi="Times New Roman"/>
          <w:b/>
          <w:i/>
          <w:sz w:val="20"/>
        </w:rPr>
      </w:pPr>
      <w:r>
        <w:rPr>
          <w:rFonts w:ascii="Times New Roman" w:hAnsi="Times New Roman"/>
          <w:b/>
          <w:i/>
          <w:sz w:val="20"/>
        </w:rPr>
        <w:t>Changing market conditions can adversely affect our business in many ways, including by reducing the volume of the transactions involving our business, which could materially reduce our revenue.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pStyle w:val="TextBody"/>
        <w:spacing w:lineRule="auto" w:line="312" w:before="240" w:after="0"/>
        <w:jc w:val="both"/>
        <w:rPr>
          <w:rFonts w:ascii="Times New Roman" w:hAnsi="Times New Roman"/>
          <w:b/>
          <w:i/>
          <w:sz w:val="20"/>
        </w:rPr>
      </w:pPr>
      <w:r>
        <w:rPr>
          <w:rFonts w:ascii="Times New Roman" w:hAnsi="Times New Roman"/>
          <w:b/>
          <w:i/>
          <w:sz w:val="20"/>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revenue in any given period is dependent on the number of fee-paying clients in such period. For the six months ended June 30, 2021, we earned revenues from 149 advisory clients, 70 of which generated fees equal to or greater than $1.0 million. For the year ended December 31, 2020 we earned revenues from 175 advisory clients, 99 of which generated fees equal to or greater than $1.0 million. For the year ended December 31, 2019 we earned revenues from 179 advisory clients, 100 of which generated fees equal to or greater than $1.0 million. For the year ended December 31, 2018 we earned revenues from 197 advisory clients, 105 of which generated fees equal to or greater than $1.0 million. For the year ended December 31, 2017 we earned revenues from 187 advisory clients, 94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pStyle w:val="TextBody"/>
        <w:spacing w:lineRule="auto" w:line="312" w:before="240" w:after="0"/>
        <w:jc w:val="both"/>
        <w:rPr>
          <w:rFonts w:ascii="Times New Roman" w:hAnsi="Times New Roman"/>
          <w:b/>
          <w:i/>
          <w:sz w:val="20"/>
        </w:rPr>
      </w:pPr>
      <w:r>
        <w:rPr>
          <w:rFonts w:ascii="Times New Roman" w:hAnsi="Times New Roman"/>
          <w:b/>
          <w:i/>
          <w:sz w:val="20"/>
        </w:rPr>
        <w:t>We have recorded operating losses in the past and may experience operating losses in the future.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transaction will be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pStyle w:val="TextBody"/>
        <w:spacing w:lineRule="auto" w:line="312" w:before="240" w:after="0"/>
        <w:jc w:val="both"/>
        <w:rPr>
          <w:rFonts w:ascii="Times New Roman" w:hAnsi="Times New Roman"/>
          <w:b/>
          <w:i/>
          <w:sz w:val="20"/>
        </w:rPr>
      </w:pPr>
      <w:r>
        <w:rPr>
          <w:rFonts w:ascii="Times New Roman" w:hAnsi="Times New Roman"/>
          <w:b/>
          <w:i/>
          <w:sz w:val="20"/>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pStyle w:val="TextBody"/>
        <w:spacing w:lineRule="auto" w:line="312" w:before="240" w:after="0"/>
        <w:jc w:val="both"/>
        <w:rPr>
          <w:rFonts w:ascii="Times New Roman" w:hAnsi="Times New Roman"/>
          <w:b/>
          <w:i/>
          <w:sz w:val="20"/>
        </w:rPr>
      </w:pPr>
      <w:r>
        <w:rPr>
          <w:rFonts w:ascii="Times New Roman" w:hAnsi="Times New Roman"/>
          <w:b/>
          <w:i/>
          <w:sz w:val="20"/>
        </w:rPr>
        <w:t>Our engagements are often singular in nature and do not provide for subsequent engagements, which could cause our revenues to fluctuate materially from period to period.</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pStyle w:val="TextBody"/>
        <w:spacing w:lineRule="auto" w:line="312" w:before="240" w:after="0"/>
        <w:jc w:val="both"/>
        <w:rPr>
          <w:rFonts w:ascii="Times New Roman" w:hAnsi="Times New Roman"/>
          <w:b/>
          <w:i/>
          <w:sz w:val="20"/>
        </w:rPr>
      </w:pPr>
      <w:r>
        <w:rPr>
          <w:rFonts w:ascii="Times New Roman" w:hAnsi="Times New Roman"/>
          <w:b/>
          <w:i/>
          <w:sz w:val="20"/>
        </w:rPr>
        <w:t>Our clients may be unable to pay us for our services.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pStyle w:val="TextBody"/>
        <w:spacing w:lineRule="auto" w:line="312" w:before="240" w:after="0"/>
        <w:jc w:val="both"/>
        <w:rPr>
          <w:rFonts w:ascii="Times New Roman" w:hAnsi="Times New Roman"/>
          <w:b/>
          <w:i/>
          <w:sz w:val="20"/>
        </w:rPr>
      </w:pPr>
      <w:r>
        <w:rPr>
          <w:rFonts w:ascii="Times New Roman" w:hAnsi="Times New Roman"/>
          <w:b/>
          <w:i/>
          <w:sz w:val="20"/>
        </w:rPr>
        <w:t>If the number of debt defaults, bankruptcies or other factors affecting demand for our recapitalization and restructuring advisory services declines, our recapitalization and restructuring business could suffer.</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Our failure to deal appropriately with actual, potential or perceived conflicts of interest could damage our reputation and materially adversely affect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pStyle w:val="TextBody"/>
        <w:spacing w:lineRule="auto" w:line="312" w:before="240" w:after="0"/>
        <w:jc w:val="both"/>
        <w:rPr>
          <w:rFonts w:ascii="Times New Roman" w:hAnsi="Times New Roman"/>
          <w:b/>
          <w:i/>
          <w:sz w:val="20"/>
        </w:rPr>
      </w:pPr>
      <w:r>
        <w:rPr>
          <w:rFonts w:ascii="Times New Roman" w:hAnsi="Times New Roman"/>
          <w:b/>
          <w:i/>
          <w:sz w:val="20"/>
        </w:rPr>
        <w:t>Employee misconduct, which is difficult to detect and deter, and other labor-related issues could harm us by impairing our ability to attract and retain clients and by subjecting us to legal liability and reputational harm.</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pStyle w:val="TextBody"/>
        <w:spacing w:lineRule="auto" w:line="312" w:before="240" w:after="0"/>
        <w:jc w:val="both"/>
        <w:rPr>
          <w:rFonts w:ascii="Times New Roman" w:hAnsi="Times New Roman"/>
          <w:sz w:val="20"/>
        </w:rPr>
      </w:pPr>
      <w:r>
        <w:rPr>
          <w:rFonts w:ascii="Times New Roman" w:hAnsi="Times New Roman"/>
          <w:b w:val="false"/>
          <w:sz w:val="20"/>
        </w:rPr>
        <w:t>The U.S. Department of Justice and the SEC continue to devote significant resources to the enforcement of the Foreign Corrupt Practices Act (the “FCPA”). In addition, the United Kingdom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Class A common stock.</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We may face damage to our professional reputation if our services are not regarded as satisfactory or for other reasons.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pStyle w:val="TextBody"/>
        <w:spacing w:lineRule="auto" w:line="312" w:before="240" w:after="0"/>
        <w:jc w:val="both"/>
        <w:rPr>
          <w:rFonts w:ascii="Times New Roman" w:hAnsi="Times New Roman"/>
          <w:b/>
          <w:i/>
          <w:sz w:val="20"/>
        </w:rPr>
      </w:pPr>
      <w:r>
        <w:rPr>
          <w:rFonts w:ascii="Times New Roman" w:hAnsi="Times New Roman"/>
          <w:b/>
          <w:i/>
          <w:sz w:val="20"/>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Goodwill and other intangible assets represent a significant portion of our assets, and an impairment of these assets could have a material adverse effect on our business, financial condition and results of operation.</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Goodwill and other intangible assets represent a significant portion of our assets, and totaled $70.0 million, $73.3 million and $79.9 million as of June 30,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pStyle w:val="TextBody"/>
        <w:spacing w:lineRule="auto" w:line="312" w:before="240" w:after="0"/>
        <w:jc w:val="both"/>
        <w:rPr>
          <w:rFonts w:ascii="Times New Roman" w:hAnsi="Times New Roman"/>
          <w:b/>
          <w:i/>
          <w:sz w:val="20"/>
        </w:rPr>
      </w:pPr>
      <w:r>
        <w:rPr>
          <w:rFonts w:ascii="Times New Roman" w:hAnsi="Times New Roman"/>
          <w:b/>
          <w:i/>
          <w:sz w:val="20"/>
        </w:rPr>
        <w:t>We may be unable to execute on our growth initiatives, business strategies or operating plans.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Restrictions in the Credit Agreement (as defined herein) governing our Revolving Credit Facility (as defined herein) or the credit agreement governing any replacement credit facility may impair our ability to finance our future operations or capital needs or engage in other business activities that may be in our interests.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On December 11, 2018, PWP Group, a wholly-owned subsidiary of PWP OpCo, entered into the Revolving Credit Facility in order to pay in full the outstanding credit agreement with Cadence Bank, N.A., dated November 30, 2016 (the “Credit Agreement”), through which the Company borrowed an aggregate $50.0 million, plus outstanding interest, fees and expenses related thereto and provide for the future working capital needs and other general corporate purposes of PWP Group and its subsidiaries. The Revolving Credit Facility, as amended in connection with the Closing, provides for a $50.0 million unsecured revolving credit facility that matures on July 1, 2025,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incur liens;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dispose of assets;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incur additional indebtedness;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make certain restricted payments;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engage in business mergers or consolidations;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engage in certain transactions with subsidiaries and affiliates.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declare the commitments of all of the lenders under the Revolving Credit Facility (or any replacement credit facility) to be terminated;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declare all outstanding debt, accrued interest and fees to be due and immediately payable.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pStyle w:val="TextBody"/>
        <w:spacing w:lineRule="auto" w:line="312" w:before="240" w:after="0"/>
        <w:jc w:val="both"/>
        <w:rPr>
          <w:rFonts w:ascii="Times New Roman" w:hAnsi="Times New Roman"/>
          <w:b/>
          <w:i/>
          <w:sz w:val="20"/>
        </w:rPr>
      </w:pPr>
      <w:r>
        <w:rPr>
          <w:rFonts w:ascii="Times New Roman" w:hAnsi="Times New Roman"/>
          <w:b/>
          <w:i/>
          <w:sz w:val="20"/>
        </w:rPr>
        <w:t>As a member of the financial services industry, we face substantial litigation risks.</w:t>
      </w:r>
    </w:p>
    <w:p>
      <w:pPr>
        <w:pStyle w:val="TextBody"/>
        <w:spacing w:lineRule="auto" w:line="312" w:before="240" w:after="0"/>
        <w:jc w:val="both"/>
        <w:rPr>
          <w:rFonts w:ascii="Times New Roman" w:hAnsi="Times New Roman"/>
          <w:sz w:val="20"/>
        </w:rPr>
      </w:pPr>
      <w:r>
        <w:rPr>
          <w:rFonts w:ascii="Times New Roman" w:hAnsi="Times New Roman"/>
          <w:b w:val="false"/>
          <w:sz w:val="20"/>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working limited partners whose tenure was terminated prior to November 1, 2020 (“Legacy Partners”) and a former employee regarding claims of breach of contract. For further information, see “</w:t>
      </w:r>
      <w:r>
        <w:rPr>
          <w:rFonts w:ascii="Times New Roman" w:hAnsi="Times New Roman"/>
          <w:b w:val="false"/>
          <w:i/>
          <w:sz w:val="20"/>
        </w:rPr>
        <w:t>Legal Proceedings</w:t>
      </w:r>
      <w:r>
        <w:rPr>
          <w:rFonts w:ascii="Times New Roman" w:hAnsi="Times New Roman"/>
          <w:sz w:val="20"/>
        </w:rPr>
        <w:t xml:space="preserve">” </w:t>
      </w:r>
      <w:r>
        <w:rPr>
          <w:rFonts w:ascii="Times New Roman" w:hAnsi="Times New Roman"/>
          <w:b w:val="false"/>
          <w:sz w:val="20"/>
        </w:rPr>
        <w:t>included elsewhere in this Form 10-Q.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pStyle w:val="TextBody"/>
        <w:spacing w:lineRule="auto" w:line="312" w:before="240" w:after="0"/>
        <w:jc w:val="both"/>
        <w:rPr>
          <w:rFonts w:ascii="Times New Roman" w:hAnsi="Times New Roman"/>
          <w:b/>
          <w:i/>
          <w:sz w:val="20"/>
        </w:rPr>
      </w:pPr>
      <w:r>
        <w:rPr>
          <w:rFonts w:ascii="Times New Roman" w:hAnsi="Times New Roman"/>
          <w:b/>
          <w:i/>
          <w:sz w:val="20"/>
        </w:rPr>
        <w:t>Our management has not previously managed our advisory business as a separate public company.</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individuals who now constitute our management have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on February 28, 2019, we consummated the separation of our advisory business from the rest of the business of PWP OpCo (the “PWP Separation”).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pStyle w:val="TextBody"/>
        <w:spacing w:lineRule="auto" w:line="312" w:before="240" w:after="0"/>
        <w:jc w:val="both"/>
        <w:rPr>
          <w:rFonts w:ascii="Times New Roman" w:hAnsi="Times New Roman"/>
          <w:b/>
          <w:i/>
          <w:sz w:val="20"/>
        </w:rPr>
      </w:pPr>
      <w:r>
        <w:rPr>
          <w:rFonts w:ascii="Times New Roman" w:hAnsi="Times New Roman"/>
          <w:b/>
          <w:i/>
          <w:sz w:val="20"/>
        </w:rPr>
        <w:t>Our business is subject to various cybersecurity and other operational risks.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pStyle w:val="TextBody"/>
        <w:spacing w:lineRule="auto" w:line="312" w:before="240" w:after="0"/>
        <w:jc w:val="both"/>
        <w:rPr>
          <w:rFonts w:ascii="Times New Roman" w:hAnsi="Times New Roman"/>
          <w:b/>
          <w:i/>
          <w:sz w:val="20"/>
        </w:rPr>
      </w:pPr>
      <w:r>
        <w:rPr>
          <w:rFonts w:ascii="Times New Roman" w:hAnsi="Times New Roman"/>
          <w:b/>
          <w:i/>
          <w:sz w:val="20"/>
        </w:rPr>
        <w:t>We may not be able to generate sufficient cash to service any indebtedness.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pStyle w:val="TextBody"/>
        <w:spacing w:lineRule="auto" w:line="312" w:before="240" w:after="0"/>
        <w:jc w:val="both"/>
        <w:rPr>
          <w:rFonts w:ascii="Times New Roman" w:hAnsi="Times New Roman"/>
          <w:b/>
          <w:i/>
          <w:sz w:val="20"/>
        </w:rPr>
      </w:pPr>
      <w:r>
        <w:rPr>
          <w:rFonts w:ascii="Times New Roman" w:hAnsi="Times New Roman"/>
          <w:b/>
          <w:i/>
          <w:sz w:val="20"/>
        </w:rPr>
        <w:t>Our international operations are subject to certain risks, which may affect our revenue.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For the six months ended June 30, 2021 and year ended December 31, 2020, we earned approximately 18.9%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greater difficulties in managing and staffing foreign operations;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language barriers and cultural differences, including the need to adopt different business practices in different geographic areas;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fluctuations in foreign currency exchange rates that could adversely affect our results;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unexpected, additional and/or costly changes in trading policies, regulatory requirements, tariffs and other barriers;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restrictions on travel;</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longer transaction cycles;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higher operating costs;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local labor conditions and regulations;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adverse consequences or restrictions on the repatriation of earnings;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potentially adverse tax consequences, such as trapped foreign losses or profits;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potentially less stable political and economic environments;</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terrorism, political hostilities, war and other civil disturbances or other catastrophic events that reduce business activity;</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312" w:before="0" w:after="0"/>
        <w:jc w:val="left"/>
        <w:rPr/>
      </w:pPr>
      <w:r>
        <w:rPr/>
        <w:t>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different fee structures for our advisory services;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difficulty collecting fees.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If our international business increases relative to our total business, the materialization of these risks could have a more pronounced effect on our operating results or growth prospects.</w:t>
      </w:r>
    </w:p>
    <w:p>
      <w:pPr>
        <w:pStyle w:val="TextBody"/>
        <w:spacing w:lineRule="auto" w:line="312" w:before="240" w:after="0"/>
        <w:jc w:val="both"/>
        <w:rPr>
          <w:rFonts w:ascii="Times New Roman" w:hAnsi="Times New Roman"/>
          <w:b/>
          <w:i/>
          <w:sz w:val="20"/>
        </w:rPr>
      </w:pPr>
      <w:r>
        <w:rPr>
          <w:rFonts w:ascii="Times New Roman" w:hAnsi="Times New Roman"/>
          <w:b/>
          <w:i/>
          <w:sz w:val="20"/>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pStyle w:val="TextBody"/>
        <w:spacing w:lineRule="auto" w:line="312" w:before="240" w:after="0"/>
        <w:jc w:val="both"/>
        <w:rPr>
          <w:rFonts w:ascii="Times New Roman" w:hAnsi="Times New Roman"/>
          <w:b/>
          <w:i/>
          <w:sz w:val="20"/>
        </w:rPr>
      </w:pPr>
      <w:r>
        <w:rPr>
          <w:rFonts w:ascii="Times New Roman" w:hAnsi="Times New Roman"/>
          <w:b/>
          <w:i/>
          <w:sz w:val="20"/>
        </w:rPr>
        <w:t>We may enter into new lines of business which may result in additional risks and uncertainties in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business.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69</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sz w:val="20"/>
        </w:rPr>
      </w:pPr>
      <w:r>
        <w:rPr>
          <w:rFonts w:ascii="Times New Roman" w:hAnsi="Times New Roman"/>
          <w:b w:val="false"/>
          <w:sz w:val="20"/>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Times New Roman" w:hAnsi="Times New Roman"/>
          <w:b w:val="false"/>
          <w:i/>
          <w:sz w:val="20"/>
        </w:rPr>
        <w:t>Risks Related to Our Business—Our failure to deal appropriately with actual, potential or perceived conflicts of interest could damage our reputation and materially adversely affect our business</w:t>
      </w:r>
      <w:r>
        <w:rPr>
          <w:rFonts w:ascii="Times New Roman" w:hAnsi="Times New Roman"/>
          <w:sz w:val="20"/>
        </w:rPr>
        <w:t xml:space="preserve">” </w:t>
      </w:r>
      <w:r>
        <w:rPr>
          <w:rFonts w:ascii="Times New Roman" w:hAnsi="Times New Roman"/>
          <w:b w:val="false"/>
          <w:sz w:val="20"/>
        </w:rPr>
        <w:t>above.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PWP Forward Acquisition Corp. I (“PFAC”) is a special purpose acquisition company that is related to us, and is sponsored by us, our partners, employees and other investors who have a relationship with us. If PFAC, or any other special purpose acquisition company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pStyle w:val="TextBody"/>
        <w:spacing w:lineRule="auto" w:line="312" w:before="240" w:after="0"/>
        <w:jc w:val="both"/>
        <w:rPr>
          <w:rFonts w:ascii="Times New Roman" w:hAnsi="Times New Roman"/>
          <w:b/>
          <w:i/>
          <w:sz w:val="20"/>
        </w:rPr>
      </w:pPr>
      <w:r>
        <w:rPr>
          <w:rFonts w:ascii="Times New Roman" w:hAnsi="Times New Roman"/>
          <w:b/>
          <w:i/>
          <w:sz w:val="20"/>
        </w:rPr>
        <w:t>Fluctuations in foreign currency exchange rates could adversely affect our results.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Because our financial statements are denominated in U.S. dollars and we receive a portion of our net revenue in other currencies (including the Euro, pound sterling and Canadian dollars), we are exposed to fluctuations in foreign currencies. During the six months ended June 30, 2021 and the year ended December 31, 2020, 14.3%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pStyle w:val="TextBody"/>
        <w:spacing w:lineRule="auto" w:line="312" w:before="240" w:after="0"/>
        <w:jc w:val="both"/>
        <w:rPr>
          <w:rFonts w:ascii="Times New Roman" w:hAnsi="Times New Roman"/>
          <w:b/>
          <w:i/>
          <w:sz w:val="20"/>
        </w:rPr>
      </w:pPr>
      <w:r>
        <w:rPr>
          <w:rFonts w:ascii="Times New Roman" w:hAnsi="Times New Roman"/>
          <w:b/>
          <w:i/>
          <w:sz w:val="20"/>
        </w:rPr>
        <w:t>The exit by the U.K. from the E.U. could adversely impact our business, operations and financial condition.</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“TCA”), which was applied on a provisional basis from January 1, 2021 and entered into full force on May 1, 2021, following formal approval by the U.K. and the E.U.</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70</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pStyle w:val="TextBody"/>
        <w:spacing w:lineRule="auto" w:line="312" w:before="240" w:after="0"/>
        <w:jc w:val="both"/>
        <w:rPr>
          <w:rFonts w:ascii="Times New Roman" w:hAnsi="Times New Roman"/>
          <w:b/>
          <w:i/>
          <w:sz w:val="20"/>
        </w:rPr>
      </w:pPr>
      <w:r>
        <w:rPr>
          <w:rFonts w:ascii="Times New Roman" w:hAnsi="Times New Roman"/>
          <w:b/>
          <w:i/>
          <w:sz w:val="20"/>
        </w:rPr>
        <w:t>Uncertainty relating to the London Interbank Offered Rate (“LIBOR”) calculation process and potential phasing out of LIBOR in the future may adversely affect the value of our outstanding debt instruments.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pStyle w:val="TextBody"/>
        <w:spacing w:lineRule="auto" w:line="312" w:before="240" w:after="0"/>
        <w:jc w:val="both"/>
        <w:rPr>
          <w:rFonts w:ascii="Times New Roman" w:hAnsi="Times New Roman"/>
          <w:b/>
          <w:i/>
          <w:sz w:val="20"/>
        </w:rPr>
      </w:pPr>
      <w:r>
        <w:rPr>
          <w:rFonts w:ascii="Times New Roman" w:hAnsi="Times New Roman"/>
          <w:b/>
          <w:i/>
          <w:sz w:val="20"/>
        </w:rPr>
        <w:t>Our ability to successfully operate our business will depend largely upon the efforts of certain key personnel, including the key personnel of PWP. The loss of such key personnel could adversely affect the operations and profitability of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pStyle w:val="TextBody"/>
        <w:spacing w:lineRule="auto" w:line="312" w:before="240" w:after="0"/>
        <w:jc w:val="both"/>
        <w:rPr>
          <w:rFonts w:ascii="Times New Roman" w:hAnsi="Times New Roman"/>
          <w:b/>
          <w:i/>
          <w:sz w:val="20"/>
        </w:rPr>
      </w:pPr>
      <w:r>
        <w:rPr>
          <w:rFonts w:ascii="Times New Roman" w:hAnsi="Times New Roman"/>
          <w:b/>
          <w:i/>
          <w:sz w:val="20"/>
        </w:rPr>
        <w:t>The historical consolidated and unaudited pro forma financial information in our filings is not representative of the results we would have achieved as a stand-alone public company and may not permit you to predict our future results.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historical consolidated and unaudited pro forma financial information in our filings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71</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sz w:val="20"/>
        </w:rPr>
      </w:pPr>
      <w:r>
        <w:rPr>
          <w:rFonts w:ascii="Times New Roman" w:hAnsi="Times New Roman"/>
          <w:b/>
          <w:sz w:val="20"/>
        </w:rPr>
        <w:t>Risks Related to Regulation</w:t>
      </w:r>
    </w:p>
    <w:p>
      <w:pPr>
        <w:pStyle w:val="TextBody"/>
        <w:spacing w:lineRule="auto" w:line="312" w:before="240" w:after="0"/>
        <w:jc w:val="both"/>
        <w:rPr>
          <w:rFonts w:ascii="Times New Roman" w:hAnsi="Times New Roman"/>
          <w:b/>
          <w:i/>
          <w:sz w:val="20"/>
        </w:rPr>
      </w:pPr>
      <w:r>
        <w:rPr>
          <w:rFonts w:ascii="Times New Roman" w:hAnsi="Times New Roman"/>
          <w:b/>
          <w:i/>
          <w:sz w:val="20"/>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pStyle w:val="TextBody"/>
        <w:spacing w:lineRule="auto" w:line="312" w:before="240" w:after="0"/>
        <w:jc w:val="both"/>
        <w:rPr>
          <w:rFonts w:ascii="Times New Roman" w:hAnsi="Times New Roman"/>
          <w:sz w:val="20"/>
        </w:rPr>
      </w:pPr>
      <w:r>
        <w:rPr>
          <w:rFonts w:ascii="Times New Roman" w:hAnsi="Times New Roman"/>
          <w:b w:val="false"/>
          <w:sz w:val="20"/>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We are subject to regulatory restrictions and requirements imposed by applicable statutes, regulations and policies in the jurisdictions in which we operate. U.S. and non-U.S. government agencies and self-regulatory organizations, including the Financial Industry Regulatory Authority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European Union (the “E.U.”), Canada, France and Germany, and the manner in which those laws and related regulations are applied to our operations is still evolving. For example, several states and municipalities in the United States,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Investment Industry Regulatory Organization of Canada (“IIROC”), the Autorité de contrôle prudentiel et de resolution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72</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The cost of compliance with international broker dealer, employment, labor, benefits and tax regulations may adversely affect our business and hamper our ability to expand internationally.</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pStyle w:val="TextBody"/>
        <w:spacing w:lineRule="auto" w:line="312" w:before="240" w:after="0"/>
        <w:jc w:val="both"/>
        <w:rPr>
          <w:rFonts w:ascii="Times New Roman" w:hAnsi="Times New Roman"/>
          <w:b/>
          <w:i/>
          <w:sz w:val="20"/>
        </w:rPr>
      </w:pPr>
      <w:r>
        <w:rPr>
          <w:rFonts w:ascii="Times New Roman" w:hAnsi="Times New Roman"/>
          <w:b/>
          <w:i/>
          <w:sz w:val="20"/>
        </w:rPr>
        <w:t>Changes in laws or regulations, or a failure to comply with any laws and regulations, may adversely affect our business, investments and results of operations.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    </w:t>
      </w:r>
    </w:p>
    <w:p>
      <w:pPr>
        <w:pStyle w:val="TextBody"/>
        <w:spacing w:lineRule="auto" w:line="312" w:before="240" w:after="0"/>
        <w:jc w:val="both"/>
        <w:rPr>
          <w:rFonts w:ascii="Times New Roman" w:hAnsi="Times New Roman"/>
          <w:b/>
          <w:sz w:val="20"/>
        </w:rPr>
      </w:pPr>
      <w:r>
        <w:rPr>
          <w:rFonts w:ascii="Times New Roman" w:hAnsi="Times New Roman"/>
          <w:b/>
          <w:sz w:val="20"/>
        </w:rPr>
        <w:t>Risks Related to our Organizational Structure</w:t>
      </w:r>
    </w:p>
    <w:p>
      <w:pPr>
        <w:pStyle w:val="TextBody"/>
        <w:spacing w:lineRule="auto" w:line="312" w:before="240" w:after="0"/>
        <w:jc w:val="both"/>
        <w:rPr>
          <w:rFonts w:ascii="Times New Roman" w:hAnsi="Times New Roman"/>
          <w:sz w:val="20"/>
        </w:rPr>
      </w:pPr>
      <w:r>
        <w:rPr>
          <w:rFonts w:ascii="Times New Roman" w:hAnsi="Times New Roman"/>
          <w:b/>
          <w:i/>
          <w:sz w:val="20"/>
        </w:rPr>
        <w:t>Our only material assets are our partnership interests in PWP OpCo and our equity interest in the general partner of PWP OpCo, PWP GP LLC (“PWP GP”</w:t>
      </w:r>
      <w:r>
        <w:rPr>
          <w:rFonts w:ascii="Times New Roman" w:hAnsi="Times New Roman"/>
          <w:b w:val="false"/>
          <w:sz w:val="20"/>
        </w:rPr>
        <w:t>)</w:t>
      </w:r>
      <w:r>
        <w:rPr>
          <w:rFonts w:ascii="Times New Roman" w:hAnsi="Times New Roman"/>
          <w:b/>
          <w:i/>
          <w:sz w:val="20"/>
        </w:rPr>
        <w:t>, and we are accordingly dependent upon distributions from PWP OpCo to pay dividends, taxes, make payments under the TRA and pay other expenses.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Professional Partners’ indemnification claims with respect to the advisory business and dividends, if any, declared by us.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pStyle w:val="TextBody"/>
        <w:spacing w:lineRule="auto" w:line="312" w:before="240" w:after="0"/>
        <w:jc w:val="both"/>
        <w:rPr>
          <w:rFonts w:ascii="Times New Roman" w:hAnsi="Times New Roman"/>
          <w:sz w:val="20"/>
        </w:rPr>
      </w:pPr>
      <w:r>
        <w:rPr>
          <w:rFonts w:ascii="Times New Roman" w:hAnsi="Times New Roman"/>
          <w:b w:val="false"/>
          <w:sz w:val="20"/>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w:t>
      </w:r>
      <w:r>
        <w:rPr>
          <w:rFonts w:ascii="Times New Roman" w:hAnsi="Times New Roman"/>
          <w:sz w:val="20"/>
        </w:rPr>
        <w:t> </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73</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We will be required to pay our ILPs and/or Limited Partners for certain tax benefits we may claim as a result of the tax basis step-up we received in connection with the Business Combination and related transactions and that we may receive in connection with subsequent exchanges of PWP OpCo Units for cash or our Class A common stock. In certain circumstances, payments under the TRA may be accelerated and/or significantly exceed the actual tax benefits we realize.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acquisition of PWP OpCo Units in connection with the Business Combination or pursuant to future exchanges of PWP OpCo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At the Closing, we entered into a TRA with PWP OpCo, Professional Partners and certain other persons party thereto. The TRA generally provides for payment by us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interests in PWP OpCo, during the expected term of the TRA, the payments that we may make under the TRA could be substantial.</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payment obligation under the TRA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TRA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TRA in excess of our cash tax savings. Our ability to achieve benefits from any tax basis increase or other benefits, and the payments to be made under the TRS, will depend upon a number of factors, as discussed above, including the timing and amount of our future income.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74</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Units would benefit from any value attributable to such cash as a result of their ownership of our Class A common stock upon a redemption or exchange of their PWP OpCo Units.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Under the amended and restated agreement of limited partnership of PWP OpCo,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agreement of limited partnership of PWP OpCo, we intend to use best efforts to cause PWP OpCo to make sufficient cash distributions to the holders of partnership units of PWP OpCo to fund their tax obligations in respect of the income of PWP OpCo that is allocated to them.</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If we accumulate cash received as distributions from PWP OpCo in excess of the amounts that we need to pay any cash dividends declared by our board of directors, taxes and other expenses (including payments under the TRA), neither our organizational documents nor the amended and restated agreement of limited partnership of PWP OpCo will require us to distribute such excess cash. Our board of directors may, in its sole discretion, choose to use such excess cash for any purpose, including (i) to make additional distributions to the holders of our Class A common stock, (ii) to acquire additional newly-issued PWP OpCo Units, and/or (iii) to repurchase outstanding shares of our Class A common stock. Unless and until our board of directors chooses, in its sole discretion, to make such a distribution, we will have no obligation to distribute such cash (or other available cash other than any declared dividend) to our stockholders. No adjustments to the redemption or exchange ratio of PWP OpCo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and instead, for example, hold such cash balances or lend them to PWP OpCo, this may result in shares of our Class A common stock increasing in value relative to the PWP OpCo Units. The holders of PWP OpCo Units may benefit from any value attributable to such cash balances if they acquire shares of our Class A common stock in exchange for their Class A partnership units or if we acquire additional PWP OpCo Units (whether from PWP OpCo or from holders of PWP OpCo Units) at a price based on the market price of shares of our Class A common stock at the time.</w:t>
      </w:r>
    </w:p>
    <w:p>
      <w:pPr>
        <w:pStyle w:val="TextBody"/>
        <w:spacing w:lineRule="auto" w:line="312" w:before="240" w:after="0"/>
        <w:jc w:val="both"/>
        <w:rPr>
          <w:rFonts w:ascii="Times New Roman" w:hAnsi="Times New Roman"/>
          <w:b/>
          <w:i/>
          <w:sz w:val="20"/>
        </w:rPr>
      </w:pPr>
      <w:r>
        <w:rPr>
          <w:rFonts w:ascii="Times New Roman" w:hAnsi="Times New Roman"/>
          <w:b/>
          <w:i/>
          <w:sz w:val="20"/>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If Perella Weinberg Partners were to cease participation in the management of PWP OpCo, its interests in PWP OpCo could be deemed an “investment security” for purposes of the Investment Company Act of 1940 (the “1940 Act”).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75</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PWP OpCo and PWP Capital Holdings LP have entered into various arrangements, including a master separation agreement, which contain cross-indemnification obligations of us and PWP Capital Holdings LP.</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master separation agreement that we entered into with PWP Capital Holdings LP, which holds the former asset management business of PWP OpCo prior to the PWP Separation, provides, among other things, that PWP Capital Holdings LP generally will indemnify us for losses that we incur relating to, arising out of or resulting from the business of PWP Capital Holdings LP and any payments with respect to joint liabilities to the extent they exceed 81.304% of such joint liabilities. In addition, we generally will indemnify PWP Capital Holdings LP for losses that PWP Capital Holdings LP incurs relating to our business and any payments with respect to joint liabilities to the extent they exceed 18.696% of such joint liabilities. We may not be able to recover any or all of the amount of any indemnified losses from PWP Capital Holdings LP should it be financially unable to perform under its indemnification obligations. In addition, we may be required to make substantial payments under our indemnity obligations to PWP Capital Holdings LP, which could materially adversely affect our results of operations and the price of our Class A common stock.</w:t>
      </w:r>
    </w:p>
    <w:p>
      <w:pPr>
        <w:pStyle w:val="TextBody"/>
        <w:spacing w:lineRule="auto" w:line="312" w:before="240" w:after="0"/>
        <w:jc w:val="both"/>
        <w:rPr>
          <w:rFonts w:ascii="Times New Roman" w:hAnsi="Times New Roman"/>
          <w:b/>
          <w:i/>
          <w:sz w:val="20"/>
        </w:rPr>
      </w:pPr>
      <w:r>
        <w:rPr>
          <w:rFonts w:ascii="Times New Roman" w:hAnsi="Times New Roman"/>
          <w:b/>
          <w:i/>
          <w:sz w:val="20"/>
        </w:rPr>
        <w:t>Our Second Amended and Restated Certificate of Incorporation could prevent us from benefiting from corporate opportunities that might have otherwise been available to us.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Second Amended and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w:t>
      </w:r>
    </w:p>
    <w:p>
      <w:pPr>
        <w:pStyle w:val="TextBody"/>
        <w:spacing w:lineRule="auto" w:line="312" w:before="240" w:after="0"/>
        <w:jc w:val="both"/>
        <w:rPr>
          <w:rFonts w:ascii="Times New Roman" w:hAnsi="Times New Roman"/>
          <w:sz w:val="20"/>
        </w:rPr>
      </w:pPr>
      <w:r>
        <w:rPr>
          <w:rFonts w:ascii="Times New Roman" w:hAnsi="Times New Roman"/>
          <w:b w:val="false"/>
          <w:sz w:val="20"/>
        </w:rPr>
        <w:t>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Second Amended and Restated Certificate of Incorporation.</w:t>
      </w:r>
      <w:r>
        <w:rPr>
          <w:rFonts w:ascii="Times New Roman" w:hAnsi="Times New Roman"/>
          <w:sz w:val="20"/>
        </w:rPr>
        <w:t xml:space="preserve"> </w:t>
      </w:r>
    </w:p>
    <w:p>
      <w:pPr>
        <w:pStyle w:val="TextBody"/>
        <w:spacing w:lineRule="auto" w:line="312" w:before="240" w:after="0"/>
        <w:jc w:val="both"/>
        <w:rPr>
          <w:rFonts w:ascii="Times New Roman" w:hAnsi="Times New Roman"/>
          <w:b/>
          <w:i/>
          <w:sz w:val="20"/>
        </w:rPr>
      </w:pPr>
      <w:r>
        <w:rPr>
          <w:rFonts w:ascii="Times New Roman" w:hAnsi="Times New Roman"/>
          <w:b/>
          <w:i/>
          <w:sz w:val="20"/>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76</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pStyle w:val="TextBody"/>
        <w:spacing w:lineRule="auto" w:line="312" w:before="240" w:after="0"/>
        <w:jc w:val="both"/>
        <w:rPr>
          <w:rFonts w:ascii="Times New Roman" w:hAnsi="Times New Roman"/>
          <w:b/>
          <w:i/>
          <w:sz w:val="20"/>
        </w:rPr>
      </w:pPr>
      <w:r>
        <w:rPr>
          <w:rFonts w:ascii="Times New Roman" w:hAnsi="Times New Roman"/>
          <w:b/>
          <w:i/>
          <w:sz w:val="20"/>
        </w:rPr>
        <w:t>The use of certain of our licensed trademarks by PWP Capital Holdings LP and its subsidiaries may expose us to reputational harm that could adversely affect our business should they take actions that damage the brand name.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have licensed to PWP Capital Holdings LP and its subsidiaries the use of certain trademarks owned by us and our subsidiaries for use in connection with its asset management business that were in use by the PWP Capital Holdings LP business prior to the PWP Separation. As a result, there is a risk of reputational harm to us if PWP Capital Holdings LP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voting control is concentrated among the holders of our Class B-1 common stock. As a result, the market price of our Class A common stock may be materially adversely affected by such disparate voting rights.</w:t>
      </w:r>
    </w:p>
    <w:p>
      <w:pPr>
        <w:pStyle w:val="TextBody"/>
        <w:spacing w:lineRule="auto" w:line="312" w:before="240" w:after="0"/>
        <w:jc w:val="both"/>
        <w:rPr>
          <w:rFonts w:ascii="Times New Roman" w:hAnsi="Times New Roman"/>
          <w:sz w:val="20"/>
        </w:rPr>
      </w:pPr>
      <w:r>
        <w:rPr>
          <w:rFonts w:ascii="Times New Roman" w:hAnsi="Times New Roman"/>
          <w:b w:val="false"/>
          <w:sz w:val="20"/>
        </w:rPr>
        <w:t>Professional Partners beneficially owns all of the outstanding shares of our Class B-1 common stock, representing approximately 90.6% of our total voting power, ILPs beneficially own all of the outstanding shares of our Class B-2 common stock, representing approximately 0.9% of our total voting power, and holders of Class A common stock own shares of our Class A common stock, representing approximately 8.5%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77</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Professional Partners’ control over us may give rise to actual or perceived conflicts of interest with the Limited Partners who manage Professional Partners.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90.6% of the voting interest in us. The shares of Class B-1 common stock will entitle Professional Partners to (i) for so long as the condition that Professional Partners or its Limited Partners or its or their respective successors or assigns maintain, directly or indirectly, ownership of PWP OpCo Units that represent at least ten percent (10%) of our issued and outstanding Class A common stock (calculated, without duplication, on the basis that all issued and outstanding PWP OpCo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Units that represent at least five percent (5%) of our issued and outstanding Class A common stock (calculated, without duplication, on the basis that all issued and outstanding PWP OpCo Units not held by us or our subsidiaries had been exchanged for our Class A common stock)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Second Amended and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pStyle w:val="TextBody"/>
        <w:spacing w:lineRule="auto" w:line="312" w:before="240" w:after="0"/>
        <w:jc w:val="both"/>
        <w:rPr>
          <w:rFonts w:ascii="Times New Roman" w:hAnsi="Times New Roman"/>
          <w:b/>
          <w:sz w:val="20"/>
        </w:rPr>
      </w:pPr>
      <w:r>
        <w:rPr>
          <w:rFonts w:ascii="Times New Roman" w:hAnsi="Times New Roman"/>
          <w:b/>
          <w:sz w:val="20"/>
        </w:rPr>
        <w:t>Risks Related to Our Securities</w:t>
      </w:r>
    </w:p>
    <w:p>
      <w:pPr>
        <w:pStyle w:val="TextBody"/>
        <w:spacing w:lineRule="auto" w:line="312" w:before="240" w:after="0"/>
        <w:jc w:val="both"/>
        <w:rPr>
          <w:rFonts w:ascii="Times New Roman" w:hAnsi="Times New Roman"/>
          <w:b/>
          <w:i/>
          <w:sz w:val="20"/>
        </w:rPr>
      </w:pPr>
      <w:r>
        <w:rPr>
          <w:rFonts w:ascii="Times New Roman" w:hAnsi="Times New Roman"/>
          <w:b/>
          <w:i/>
          <w:sz w:val="20"/>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78</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If we are delisted, there could be significant material adverse consequences, including: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 limited availability of market quotations for our securities;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 limited amount of news and analyst coverage for the combined company;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a decreased ability to obtain capital or pursue acquisitions by issuing additional equity or convertible securities.</w:t>
      </w:r>
    </w:p>
    <w:p>
      <w:pPr>
        <w:pStyle w:val="TextBody"/>
        <w:spacing w:lineRule="auto" w:line="312" w:before="240" w:after="0"/>
        <w:jc w:val="both"/>
        <w:rPr>
          <w:rFonts w:ascii="Times New Roman" w:hAnsi="Times New Roman"/>
          <w:b/>
          <w:i/>
          <w:sz w:val="20"/>
        </w:rPr>
      </w:pPr>
      <w:r>
        <w:rPr>
          <w:rFonts w:ascii="Times New Roman" w:hAnsi="Times New Roman"/>
          <w:b/>
          <w:i/>
          <w:sz w:val="20"/>
        </w:rPr>
        <w:t>We may issue additional shares of common stock or other equity securities without your approval, which would dilute your ownership interest in us and may depress the market price of our Class A common stock.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may issue additional shares of common stock or other equity securities in the future in connection with, among other things, future acquisitions, repayment of outstanding indebtedness or grants under the PWP Incentive Plan without stockholder approval in a number of circumstances.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issuance of additional common stock or other equity securities could have one or more of the following effects: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existing stockholders’ proportionate ownership interest in us will decrease;</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amount of cash available per share, including for payment of dividends in the future, may decrease;</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relative voting strength of each previously outstanding share of common stock may be diminished;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the market price of our common stock may decline.</w:t>
      </w:r>
    </w:p>
    <w:p>
      <w:pPr>
        <w:pStyle w:val="TextBody"/>
        <w:spacing w:lineRule="auto" w:line="312" w:before="240" w:after="0"/>
        <w:jc w:val="both"/>
        <w:rPr>
          <w:rFonts w:ascii="Times New Roman" w:hAnsi="Times New Roman"/>
          <w:b/>
          <w:i/>
          <w:sz w:val="20"/>
        </w:rPr>
      </w:pPr>
      <w:r>
        <w:rPr>
          <w:rFonts w:ascii="Times New Roman" w:hAnsi="Times New Roman"/>
          <w:b/>
          <w:i/>
          <w:sz w:val="20"/>
        </w:rPr>
        <w:t>Our warrants are accounted for as liabilities and the changes in value of our warrants could have a material effect on our financial results.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On April 12, 2021, the staff of the Securities and Exchange Commission (the “SEC Staff”) issued a public statement entitled “Staff Statement on Accounting and Reporting Considerations for Warrants issued by SPACs” (the “SEC Staff Statement”).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initial public offering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the Company’s Condensed Consolidated Statements of Financial Condition as of June 30, 2021 included elsewhere in this Form 10-Q are derivative liabilities related to embedded features contained within the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spacing w:lineRule="auto" w:line="312" w:before="240" w:after="0"/>
        <w:jc w:val="both"/>
        <w:rPr>
          <w:rFonts w:ascii="Times New Roman" w:hAnsi="Times New Roman"/>
          <w:b/>
          <w:i/>
          <w:sz w:val="20"/>
        </w:rPr>
      </w:pPr>
      <w:r>
        <w:rPr>
          <w:rFonts w:ascii="Times New Roman" w:hAnsi="Times New Roman"/>
          <w:b/>
          <w:i/>
          <w:sz w:val="20"/>
        </w:rPr>
        <w:t>If our performance following the Business Combination does not meet market expectations, the price of our securities may decline.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If our performance following the Business Combination does not meet market expectations, the price of our Class A common stock may decline.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addition, fluctuations in the price of our Class A common stock could contribute to the loss of all or part of your investment. Prior to the Business Combination, there had not been a public market for PWP’s stock, and trading in our Class A common stock was not active. Accordingly, the valuation ascribed to PWP and our Class A common stock in the Business Combination may not be indicative of the price that will prevail in the trading market following the Business Combination. If an active market for our Class A common stock develops and continues,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79</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Factors affecting the trading price of our common stock may include:</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actual or anticipated fluctuations in our quarterly financial results or the quarterly financial results of companies perceived to be similar to us;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changes in the market’s expectations about our operating results;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operating results failing to meet market expectations in a particular period;</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changes in financial estimates and recommendations by securities analysts concerning us or the online automobile sales industry and market in general;</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operating and stock price performance of other companies that investors deem comparable to us;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changes in laws and regulations affecting our business;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commencement of, or involvement in, litigation involving us;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changes in our capital structure, such as future issuances of securities or the incurrence of additional debt;</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volume of shares of our common stock available for public sale;</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any significant change in our board or management;</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sales of substantial amounts of common stock by our directors, executive officers or significant stockholders or the perception that such sales could occur;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general economic and political conditions such as recessions, interest rates, fuel prices, international currency fluctuations and acts of war or terrorism.</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pStyle w:val="TextBody"/>
        <w:spacing w:lineRule="auto" w:line="312" w:before="240" w:after="0"/>
        <w:jc w:val="both"/>
        <w:rPr>
          <w:rFonts w:ascii="Times New Roman" w:hAnsi="Times New Roman"/>
          <w:b/>
          <w:i/>
          <w:sz w:val="20"/>
        </w:rPr>
      </w:pPr>
      <w:r>
        <w:rPr>
          <w:rFonts w:ascii="Times New Roman" w:hAnsi="Times New Roman"/>
          <w:b/>
          <w:i/>
          <w:sz w:val="20"/>
        </w:rPr>
        <w:t>The public warrants may never be in the money when exercisable, and they may expire worthless.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exercise price for our warrants is $11.50 per share. There can be no assurance that the public warrants will be in the money prior to their expiration and, as such, the warrants may expire worthless.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terms of our warrants may be amended in a manner that may be adverse to the holders. The warrant agreement entered into with Continental Stock Transfer &amp; Trust Company and assumed by American Stock Transfer &amp; Trust Company,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80</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We may redeem your unexpired warrants prior to their exercise at a time that is disadvantageous to you, thereby making your warrants worthless.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have the ability to redeem outstanding warrants (excluding any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pStyle w:val="TextBody"/>
        <w:spacing w:lineRule="auto" w:line="312" w:before="240" w:after="0"/>
        <w:jc w:val="both"/>
        <w:rPr>
          <w:rFonts w:ascii="Times New Roman" w:hAnsi="Times New Roman"/>
          <w:sz w:val="20"/>
        </w:rPr>
      </w:pPr>
      <w:r>
        <w:rPr>
          <w:rFonts w:ascii="Times New Roman" w:hAnsi="Times New Roman"/>
          <w:b/>
          <w:i/>
          <w:sz w:val="20"/>
        </w:rPr>
        <w:t>Warrants to purchase our Class A common stock became exercisable on the 30</w:t>
      </w:r>
      <w:r>
        <w:rPr>
          <w:rFonts w:ascii="Times New Roman" w:hAnsi="Times New Roman"/>
          <w:b/>
          <w:i/>
          <w:sz w:val="13"/>
        </w:rPr>
        <w:t>th</w:t>
      </w:r>
      <w:r>
        <w:rPr>
          <w:rFonts w:ascii="Times New Roman" w:hAnsi="Times New Roman"/>
          <w:sz w:val="20"/>
        </w:rPr>
        <w:t> </w:t>
      </w:r>
      <w:r>
        <w:rPr>
          <w:rFonts w:ascii="Times New Roman" w:hAnsi="Times New Roman"/>
          <w:b/>
          <w:i/>
          <w:sz w:val="20"/>
        </w:rPr>
        <w:t>day following the Business Combination, which could increase the number of shares eligible for future resale in the public market and result in dilution to our stockholders.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Outstanding warrants to purchase an aggregate of 7,870,000 shares of our Class A common stock became exercisable on the 30th day following the Closing in accordance with the terms of the warrant agreement governing those securities. These warrants consist of 7,666,666.67 warrants originally included in the units issued in the IPO and 203,333.33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pStyle w:val="TextBody"/>
        <w:spacing w:lineRule="auto" w:line="312" w:before="240" w:after="0"/>
        <w:jc w:val="both"/>
        <w:rPr>
          <w:rFonts w:ascii="Times New Roman" w:hAnsi="Times New Roman"/>
          <w:b/>
          <w:i/>
          <w:sz w:val="20"/>
        </w:rPr>
      </w:pPr>
      <w:r>
        <w:rPr>
          <w:rFonts w:ascii="Times New Roman" w:hAnsi="Times New Roman"/>
          <w:b/>
          <w:i/>
          <w:sz w:val="20"/>
        </w:rPr>
        <w:t>Our stockholders may be diluted by the future issuance of common stock, preferred stock or securities convertible or exchangeable into common or preferred stock, in connection with our incentive plans, acquisitions, capital raises or otherwise.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of June 30, 2021, we had 1,500,000,000 shares of Class A common stock authorized, of which 42,956,667 have been issued. Our Second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81</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spacing w:lineRule="auto" w:line="312" w:before="240" w:after="0"/>
        <w:jc w:val="both"/>
        <w:rPr>
          <w:rFonts w:ascii="Times New Roman" w:hAnsi="Times New Roman"/>
          <w:b/>
          <w:i/>
          <w:sz w:val="20"/>
        </w:rPr>
      </w:pPr>
      <w:r>
        <w:rPr>
          <w:rFonts w:ascii="Times New Roman" w:hAnsi="Times New Roman"/>
          <w:b/>
          <w:i/>
          <w:sz w:val="20"/>
        </w:rPr>
        <w:t>Future sales of our Class A common stock issued to our stockholders or by FTIV’s initial stockholders may reduce the market price of our Class A common stock that you might otherwise obtain.</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Under the Business Combination Agreement, we issued (A) to Professional Partners, new shares of Class B-1 common stock, which will have 10 votes per share (for so long as Professional Partners or its Limited Partners as of the Closing maintain direct or indirect ownership of at least 10% of the issued and outstanding PWP OpCo Units, at which point such Class B-1 common stock shall have one vote per share) and (B) to ILPs, new shares of Class B-2 common stock, which will have one vote per share.</w:t>
      </w:r>
    </w:p>
    <w:p>
      <w:pPr>
        <w:pStyle w:val="TextBody"/>
        <w:spacing w:lineRule="auto" w:line="312" w:before="240" w:after="0"/>
        <w:jc w:val="both"/>
        <w:rPr>
          <w:rFonts w:ascii="Times New Roman" w:hAnsi="Times New Roman"/>
          <w:sz w:val="20"/>
        </w:rPr>
      </w:pPr>
      <w:r>
        <w:rPr>
          <w:rFonts w:ascii="Times New Roman" w:hAnsi="Times New Roman"/>
          <w:b w:val="false"/>
          <w:sz w:val="20"/>
        </w:rPr>
        <w:t>We and Professional Partners entered into the Stockholders Agreement providing for certain restrictions on transfer applicable to the shares issued to Professional Partners in connection with the Business Combination.</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Sponsor is a party to a letter agreement, dated September 24, 2020 (the “Sponsor Lock-Up Agreement”), pursuant to which the Sponsor is prohibited from, except in limited circumstances, (i) selling, offering to sell, contracting or agreeing to sell, hypothecating, pledging, granting any option to purchase or otherwise disposing of or agreeing to dispose of, directly or indirectly, or establishing or increasing a put equivalent position or liquidating or decreasing a call equivalent position within the meaning of Section 16 of the Exchange Act with respect to the placement units, placement shares, placement warrants, or shares of common stock underlying the placement warrants, (ii) entering into any swap or other arrangement that transfers to another, in whole or in part, any of the economic consequences of ownership of any of the placement units, placement shares, placement warrants, or shares of common stock underlying the placement warrants, whether any such transaction is to be settled by delivery of the common stock or such other securities, in cash or otherwise, or (iii) publicly announcing any intention to effect any transaction specified in clause (c)(i) or (c)(ii), for a period of 30 days following the Business Combination.</w:t>
      </w:r>
    </w:p>
    <w:p>
      <w:pPr>
        <w:pStyle w:val="TextBody"/>
        <w:spacing w:lineRule="auto" w:line="312" w:before="240" w:after="0"/>
        <w:jc w:val="both"/>
        <w:rPr>
          <w:rFonts w:ascii="Times New Roman" w:hAnsi="Times New Roman"/>
          <w:sz w:val="20"/>
        </w:rPr>
      </w:pPr>
      <w:r>
        <w:rPr>
          <w:rFonts w:ascii="Times New Roman" w:hAnsi="Times New Roman"/>
          <w:b w:val="false"/>
          <w:sz w:val="20"/>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amended and restated the existing registration rights agreement with the Sponsor by entering into an amended and restated registration rights agreement (the “Amended and Restated Registration Rights Agreement”) with the Sponsor, Professional Partners, the ILPs and others party to the Amended and Restated Registration Rights Agreement (the “RRA Parties”) with respect to the shares of our Class A common stock and certain other equity securities held by the RRA Parties. The Amended and Restated Registration Rights Agreement requires us to, among other things, file with the SEC a resale shelf registration statement pursuant to Rule 415 under the Securities Act on behalf of the RRA Parties within 30 business days after the Closing (the “Shelf Registration Statement”). If the Shelf Registration Statement becomes unavailable once it is declared effective, the RRA Parties will have certain demand registration rights.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82</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Upon expiration of the lockup periods set forth in the Sponsor Share Surrender and Share Restriction Agreement, as amended, and the Sponsor Lock-Up Agreement applicable to shares of our Class A common stock held by our stockholders or FTIV’s initial stockholders and, in the case of FTIV’s initial stockholders, the effectiveness of the Shelf Registration Statement, these parties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pStyle w:val="TextBody"/>
        <w:spacing w:lineRule="auto" w:line="312" w:before="240" w:after="0"/>
        <w:jc w:val="both"/>
        <w:rPr>
          <w:rFonts w:ascii="Times New Roman" w:hAnsi="Times New Roman"/>
          <w:b/>
          <w:i/>
          <w:sz w:val="20"/>
        </w:rPr>
      </w:pPr>
      <w:r>
        <w:rPr>
          <w:rFonts w:ascii="Times New Roman" w:hAnsi="Times New Roman"/>
          <w:b/>
          <w:i/>
          <w:sz w:val="20"/>
        </w:rPr>
        <w:t>We may be subject to securities litigation, which is expensive and could divert management attention.</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    </w:t>
      </w:r>
    </w:p>
    <w:p>
      <w:pPr>
        <w:pStyle w:val="TextBody"/>
        <w:spacing w:lineRule="auto" w:line="312" w:before="240" w:after="0"/>
        <w:jc w:val="both"/>
        <w:rPr>
          <w:rFonts w:ascii="Times New Roman" w:hAnsi="Times New Roman"/>
          <w:b/>
          <w:sz w:val="20"/>
        </w:rPr>
      </w:pPr>
      <w:r>
        <w:rPr>
          <w:rFonts w:ascii="Times New Roman" w:hAnsi="Times New Roman"/>
          <w:b/>
          <w:sz w:val="20"/>
        </w:rPr>
        <w:t>Risks Related to Being a Public Company</w:t>
      </w:r>
    </w:p>
    <w:p>
      <w:pPr>
        <w:pStyle w:val="TextBody"/>
        <w:spacing w:lineRule="auto" w:line="312" w:before="240" w:after="0"/>
        <w:jc w:val="both"/>
        <w:rPr>
          <w:rFonts w:ascii="Times New Roman" w:hAnsi="Times New Roman"/>
          <w:b/>
          <w:i/>
          <w:sz w:val="20"/>
        </w:rPr>
      </w:pPr>
      <w:r>
        <w:rPr>
          <w:rFonts w:ascii="Times New Roman" w:hAnsi="Times New Roman"/>
          <w:b/>
          <w:i/>
          <w:sz w:val="20"/>
        </w:rPr>
        <w:t>We will incur significant costs and obligations as a result of being a public company.</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Jumpstart Our Business Startups Act of 2012 (the “JOBS” Act). In addition, new and changing laws, regulations and standards relating to corporate governance and public disclosure for public companies, including Dodd Frank,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September 29,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pStyle w:val="TextBody"/>
        <w:spacing w:lineRule="auto" w:line="312" w:before="240" w:after="0"/>
        <w:jc w:val="both"/>
        <w:rPr>
          <w:rFonts w:ascii="Times New Roman" w:hAnsi="Times New Roman"/>
          <w:b/>
          <w:i/>
          <w:sz w:val="20"/>
        </w:rPr>
      </w:pPr>
      <w:r>
        <w:rPr>
          <w:rFonts w:ascii="Times New Roman" w:hAnsi="Times New Roman"/>
          <w:b/>
          <w:i/>
          <w:sz w:val="20"/>
        </w:rPr>
        <w:t>As an “emerging growth company,” we cannot be certain if the reduced disclosure requirements applicable to “emerging growth companies” will make our common stock less attractive to investors.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83</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pStyle w:val="TextBody"/>
        <w:spacing w:lineRule="auto" w:line="312" w:before="240" w:after="0"/>
        <w:jc w:val="both"/>
        <w:rPr>
          <w:rFonts w:ascii="Times New Roman" w:hAnsi="Times New Roman"/>
          <w:b/>
          <w:i/>
          <w:sz w:val="20"/>
        </w:rPr>
      </w:pPr>
      <w:r>
        <w:rPr>
          <w:rFonts w:ascii="Times New Roman" w:hAnsi="Times New Roman"/>
          <w:b/>
          <w:i/>
          <w:sz w:val="20"/>
        </w:rPr>
        <w:t>If we do not develop and implement all required accounting practices and policies, we may be unable to provide the financial information required of a United States publicly traded company in a timely and reliable manner.</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pStyle w:val="TextBody"/>
        <w:spacing w:lineRule="auto" w:line="312" w:before="240" w:after="0"/>
        <w:jc w:val="both"/>
        <w:rPr>
          <w:rFonts w:ascii="Times New Roman" w:hAnsi="Times New Roman"/>
          <w:b/>
          <w:i/>
          <w:sz w:val="20"/>
        </w:rPr>
      </w:pPr>
      <w:r>
        <w:rPr>
          <w:rFonts w:ascii="Times New Roman" w:hAnsi="Times New Roman"/>
          <w:b/>
          <w:i/>
          <w:sz w:val="20"/>
        </w:rPr>
        <w:t>We may not be able to timely and effectively implement controls and procedures required by Section 404 of the Sarbanes-Oxley Act, which could have a material adverse effect on our business.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resulted in a material misstatement of its warrant liabilities and related financial disclosures for the affected periods. As the accounting acquirer in the Business Combination, we inherited this material weakness and the warrants.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84</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pStyle w:val="TextBody"/>
        <w:spacing w:lineRule="auto" w:line="312" w:before="240" w:after="0"/>
        <w:jc w:val="both"/>
        <w:rPr>
          <w:rFonts w:ascii="Times New Roman" w:hAnsi="Times New Roman"/>
          <w:b/>
          <w:sz w:val="20"/>
        </w:rPr>
      </w:pPr>
      <w:r>
        <w:rPr>
          <w:rFonts w:ascii="Times New Roman" w:hAnsi="Times New Roman"/>
          <w:b/>
          <w:sz w:val="20"/>
        </w:rPr>
        <w:t>Risks Related to Our Governance and Governance Documents</w:t>
      </w:r>
    </w:p>
    <w:p>
      <w:pPr>
        <w:pStyle w:val="TextBody"/>
        <w:spacing w:lineRule="auto" w:line="312" w:before="240" w:after="0"/>
        <w:jc w:val="both"/>
        <w:rPr>
          <w:rFonts w:ascii="Times New Roman" w:hAnsi="Times New Roman"/>
          <w:b/>
          <w:i/>
          <w:sz w:val="20"/>
        </w:rPr>
      </w:pPr>
      <w:r>
        <w:rPr>
          <w:rFonts w:ascii="Times New Roman" w:hAnsi="Times New Roman"/>
          <w:b/>
          <w:i/>
          <w:sz w:val="20"/>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pStyle w:val="TextBody"/>
        <w:spacing w:lineRule="auto" w:line="312" w:before="240" w:after="0"/>
        <w:jc w:val="both"/>
        <w:rPr>
          <w:rFonts w:ascii="Times New Roman" w:hAnsi="Times New Roman"/>
          <w:b/>
          <w:i/>
          <w:sz w:val="20"/>
        </w:rPr>
      </w:pPr>
      <w:r>
        <w:rPr>
          <w:rFonts w:ascii="Times New Roman" w:hAnsi="Times New Roman"/>
          <w:b/>
          <w:i/>
          <w:sz w:val="20"/>
        </w:rPr>
        <w:t>The classification of our board of directors may have anti-takeover effects, including discouraging, delaying or preventing our change of control.</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85</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pStyle w:val="TextBody"/>
        <w:spacing w:lineRule="auto" w:line="312" w:before="240" w:after="0"/>
        <w:jc w:val="both"/>
        <w:rPr>
          <w:rFonts w:ascii="Times New Roman" w:hAnsi="Times New Roman"/>
          <w:sz w:val="20"/>
        </w:rPr>
      </w:pPr>
      <w:r>
        <w:rPr>
          <w:rFonts w:ascii="Times New Roman" w:hAnsi="Times New Roman"/>
          <w:b w:val="false"/>
          <w:sz w:val="20"/>
        </w:rPr>
        <w:t>Our Second Amended and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r>
        <w:rPr>
          <w:rFonts w:ascii="Times New Roman" w:hAnsi="Times New Roman"/>
          <w:sz w:val="20"/>
        </w:rPr>
        <w:t xml:space="preserve"> </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Similarly, our U.K. subsidiary, Perella Weinberg UK Limited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86</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Our Second Amended and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Our Second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pStyle w:val="TextBody"/>
        <w:spacing w:lineRule="auto" w:line="312" w:before="240" w:after="0"/>
        <w:jc w:val="left"/>
        <w:rPr>
          <w:rFonts w:ascii="Times New Roman" w:hAnsi="Times New Roman"/>
          <w:b/>
          <w:sz w:val="20"/>
        </w:rPr>
      </w:pPr>
      <w:bookmarkStart w:id="16" w:name="item_2_unregistered_sales_securities"/>
      <w:bookmarkEnd w:id="16"/>
      <w:r>
        <w:rPr>
          <w:rFonts w:ascii="Times New Roman" w:hAnsi="Times New Roman"/>
          <w:b/>
          <w:sz w:val="20"/>
        </w:rPr>
        <w:t>Item 2. Unregistered Sales of Equity Securities and Use of Proceeds</w:t>
      </w:r>
    </w:p>
    <w:p>
      <w:pPr>
        <w:pStyle w:val="TextBody"/>
        <w:spacing w:lineRule="auto" w:line="312" w:before="240" w:after="0"/>
        <w:jc w:val="both"/>
        <w:rPr/>
      </w:pPr>
      <w:r>
        <w:rPr/>
        <w:t> </w:t>
      </w:r>
      <w:r>
        <w:rPr>
          <w:rFonts w:ascii="Times New Roman" w:hAnsi="Times New Roman"/>
          <w:b/>
          <w:i/>
          <w:sz w:val="20"/>
        </w:rPr>
        <w:t>Shares of Common Stock</w:t>
      </w:r>
    </w:p>
    <w:p>
      <w:pPr>
        <w:pStyle w:val="TextBody"/>
        <w:spacing w:lineRule="auto" w:line="312" w:before="240" w:after="0"/>
        <w:jc w:val="both"/>
        <w:rPr>
          <w:rFonts w:ascii="Times New Roman" w:hAnsi="Times New Roman"/>
          <w:sz w:val="20"/>
        </w:rPr>
      </w:pPr>
      <w:r>
        <w:rPr>
          <w:rFonts w:ascii="Times New Roman" w:hAnsi="Times New Roman"/>
          <w:b w:val="false"/>
          <w:sz w:val="20"/>
        </w:rPr>
        <w:t>In connection with the Business Combination, the Company delivered 12,500,000 shares of Class A common stock (as described in the “</w:t>
      </w:r>
      <w:r>
        <w:rPr>
          <w:rFonts w:ascii="Times New Roman" w:hAnsi="Times New Roman"/>
          <w:b w:val="false"/>
          <w:i/>
          <w:sz w:val="20"/>
        </w:rPr>
        <w:t>Private Placement</w:t>
      </w:r>
      <w:r>
        <w:rPr>
          <w:rFonts w:ascii="Times New Roman" w:hAnsi="Times New Roman"/>
          <w:sz w:val="20"/>
        </w:rPr>
        <w:t xml:space="preserve">” </w:t>
      </w:r>
      <w:r>
        <w:rPr>
          <w:rFonts w:ascii="Times New Roman" w:hAnsi="Times New Roman"/>
          <w:b w:val="false"/>
          <w:sz w:val="20"/>
        </w:rPr>
        <w:t>section below), 48,470,675 shares of Class B-1 common stock (of which 45,608,840 shares of Class B-1 common stock remained outstanding after giving effect to Redemptions (as defined below)) and 12,589,325 shares of Class B-2 common stock (of which 4,545,359 shares of Class B-2 common stock remained outstanding after giving effect to Redemptions). </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87</w:t>
      </w:r>
    </w:p>
    <w:p>
      <w:pPr>
        <w:pStyle w:val="HorizontalLine"/>
        <w:rPr/>
      </w:pPr>
      <w:r>
        <w:rPr/>
      </w:r>
    </w:p>
    <w:p>
      <w:pPr>
        <w:pStyle w:val="TextBody"/>
        <w:spacing w:lineRule="auto" w:line="312" w:before="0" w:after="0"/>
        <w:jc w:val="left"/>
        <w:rPr/>
      </w:pPr>
      <w:r>
        <w:rPr/>
        <w:t> </w:t>
      </w:r>
    </w:p>
    <w:p>
      <w:pPr>
        <w:pStyle w:val="TextBody"/>
        <w:spacing w:lineRule="auto" w:line="312" w:before="240" w:after="0"/>
        <w:jc w:val="both"/>
        <w:rPr>
          <w:rFonts w:ascii="Times New Roman" w:hAnsi="Times New Roman"/>
          <w:b/>
          <w:i/>
          <w:sz w:val="20"/>
        </w:rPr>
      </w:pPr>
      <w:r>
        <w:rPr>
          <w:rFonts w:ascii="Times New Roman" w:hAnsi="Times New Roman"/>
          <w:b/>
          <w:i/>
          <w:sz w:val="20"/>
        </w:rPr>
        <w:t>Private Placement</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In connection with entering into the Business Combination Agreement, the Company entered into subscription agreements with certain investors (collectively, the “PIPE Investors”), pursuant to which, among other things, the PIPE Investors party thereto agreed to purchase an aggregate of 12,500,000 shares of Class A common stock immediately prior to the Closing at a cash purchase price of $10.00 per share, resulting in aggregate proceeds of $125,000,000 in the private placement (the “PIPE Investment”). The shares of Class A common stock issued to the PIPE Investors were issued in reliance on the exemption from registration requirements thereof provided by Section 4(a)(2)of the Securities Act as a transaction by an issuer not involving a public offering without any form of general solicitation or general advertising.</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The subscription agreements for the PIPE Investors (other than the Sponsor-related PIPE Investors, whose registration rights are governed by a registration rights agreement (the “Non-Sponsor PIPE Investors”)) provide for certain registration rights. In particular, the Company is required to, as soon as practicable but no later than 30 calendar days following the date of the Closing file with the SEC (at the Company’s sole cost and expense) a registration statement registering the resale of such shares, and will use its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the Company is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 (as defined below). The Company filed a registration statement registering resale of such shares (as well as other shares) on July 15, 2021, and such registration statement was declared effective by the SEC on July 26, 2021.</w:t>
      </w:r>
    </w:p>
    <w:p>
      <w:pPr>
        <w:pStyle w:val="TextBody"/>
        <w:spacing w:lineRule="auto" w:line="312" w:before="240" w:after="0"/>
        <w:jc w:val="both"/>
        <w:rPr>
          <w:rFonts w:ascii="Times New Roman" w:hAnsi="Times New Roman"/>
          <w:b/>
          <w:i/>
          <w:sz w:val="20"/>
        </w:rPr>
      </w:pPr>
      <w:r>
        <w:rPr>
          <w:rFonts w:ascii="Times New Roman" w:hAnsi="Times New Roman"/>
          <w:b/>
          <w:i/>
          <w:sz w:val="20"/>
        </w:rPr>
        <w:t>PWP OpCo Units</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Subject to the exchange procedures and restrictions set forth in the PWP OpCo LPA, and any other procedures or restrictions imposed by the Company, holders of the 61,060,000 PWP OpCo Units (other than the Company) outstanding as of immediately after the Closing (before giving effect to the redemptions of certain legacy partners of Professional Partners and ILPs)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 The PWP OpCo Units were previously issued in reliance on the exemption from registration requirements thereof provided by Section 4(a)(2) of the Securities Act as a transaction by an issuer not involving a public offering without any form of general solicitation or general advertising.</w:t>
      </w:r>
    </w:p>
    <w:p>
      <w:pPr>
        <w:pStyle w:val="TextBody"/>
        <w:spacing w:lineRule="auto" w:line="312" w:before="240" w:after="0"/>
        <w:jc w:val="left"/>
        <w:rPr>
          <w:rFonts w:ascii="Times New Roman" w:hAnsi="Times New Roman"/>
          <w:b/>
          <w:sz w:val="20"/>
        </w:rPr>
      </w:pPr>
      <w:bookmarkStart w:id="17" w:name="item_3_defaults_upon_senior_securities"/>
      <w:bookmarkEnd w:id="17"/>
      <w:r>
        <w:rPr>
          <w:rFonts w:ascii="Times New Roman" w:hAnsi="Times New Roman"/>
          <w:b/>
          <w:sz w:val="20"/>
        </w:rPr>
        <w:t>Item 3. Defaults Upon Senior Securities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None.</w:t>
      </w:r>
    </w:p>
    <w:p>
      <w:pPr>
        <w:pStyle w:val="TextBody"/>
        <w:spacing w:lineRule="auto" w:line="312" w:before="240" w:after="0"/>
        <w:jc w:val="left"/>
        <w:rPr>
          <w:rFonts w:ascii="Times New Roman" w:hAnsi="Times New Roman"/>
          <w:b/>
          <w:sz w:val="20"/>
        </w:rPr>
      </w:pPr>
      <w:bookmarkStart w:id="18" w:name="item_4_mine_safety"/>
      <w:bookmarkEnd w:id="18"/>
      <w:r>
        <w:rPr>
          <w:rFonts w:ascii="Times New Roman" w:hAnsi="Times New Roman"/>
          <w:b/>
          <w:sz w:val="20"/>
        </w:rPr>
        <w:t>Item 4. Mine Safety Disclosures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Not applicable. </w:t>
      </w:r>
    </w:p>
    <w:p>
      <w:pPr>
        <w:pStyle w:val="TextBody"/>
        <w:spacing w:lineRule="auto" w:line="312" w:before="240" w:after="0"/>
        <w:jc w:val="left"/>
        <w:rPr>
          <w:rFonts w:ascii="Times New Roman" w:hAnsi="Times New Roman"/>
          <w:b/>
          <w:sz w:val="20"/>
        </w:rPr>
      </w:pPr>
      <w:bookmarkStart w:id="19" w:name="item_5_other_information"/>
      <w:bookmarkEnd w:id="19"/>
      <w:r>
        <w:rPr>
          <w:rFonts w:ascii="Times New Roman" w:hAnsi="Times New Roman"/>
          <w:b/>
          <w:sz w:val="20"/>
        </w:rPr>
        <w:t>Item 5. Other Information</w:t>
      </w:r>
    </w:p>
    <w:p>
      <w:pPr>
        <w:pStyle w:val="TextBody"/>
        <w:spacing w:lineRule="auto" w:line="312" w:before="240" w:after="0"/>
        <w:jc w:val="both"/>
        <w:rPr>
          <w:rFonts w:ascii="Times New Roman" w:hAnsi="Times New Roman"/>
          <w:b w:val="false"/>
          <w:sz w:val="20"/>
        </w:rPr>
      </w:pPr>
      <w:r>
        <w:rPr>
          <w:rFonts w:ascii="Times New Roman" w:hAnsi="Times New Roman"/>
          <w:b w:val="false"/>
          <w:sz w:val="20"/>
        </w:rPr>
        <w:t>On August 11, 2021, the Company entered into employment agreements with each of Peter Weinberg, Andrew Bednar and Dietrich Becker on the terms previously disclosed in the Company’s Registration Statement on Form S-1 (File No. 333-257924) filed on July 15, 2021.</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88</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sz w:val="20"/>
        </w:rPr>
      </w:pPr>
      <w:bookmarkStart w:id="20" w:name="item_6_exhibits"/>
      <w:bookmarkEnd w:id="20"/>
      <w:r>
        <w:rPr>
          <w:rFonts w:ascii="Times New Roman" w:hAnsi="Times New Roman"/>
          <w:b/>
          <w:sz w:val="20"/>
        </w:rPr>
        <w:t>Item 6. Exhibits.</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817"/>
        <w:gridCol w:w="146"/>
        <w:gridCol w:w="9242"/>
      </w:tblGrid>
      <w:tr>
        <w:trPr/>
        <w:tc>
          <w:tcPr>
            <w:tcW w:w="8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42" w:type="dxa"/>
            <w:tcBorders/>
            <w:shd w:fill="auto" w:val="clear"/>
            <w:vAlign w:val="center"/>
          </w:tcPr>
          <w:p>
            <w:pPr>
              <w:pStyle w:val="TableContents"/>
              <w:spacing w:before="0" w:after="283"/>
              <w:rPr>
                <w:sz w:val="4"/>
                <w:szCs w:val="4"/>
              </w:rPr>
            </w:pPr>
            <w:r>
              <w:rPr>
                <w:sz w:val="4"/>
                <w:szCs w:val="4"/>
              </w:rPr>
            </w:r>
          </w:p>
        </w:tc>
      </w:tr>
      <w:tr>
        <w:trPr/>
        <w:tc>
          <w:tcPr>
            <w:tcW w:w="817"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Exhibit</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242"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Description</w:t>
            </w:r>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2">
              <w:r>
                <w:rPr>
                  <w:rStyle w:val="InternetLink"/>
                  <w:rFonts w:ascii="Times New Roman" w:hAnsi="Times New Roman"/>
                  <w:b w:val="false"/>
                  <w:sz w:val="20"/>
                  <w:u w:val="single"/>
                </w:rPr>
                <w:t>Business Combination Agreement, dated as of December 29, 2020, by and among FinTech Acquisition Corp. IV, FinTech Investor Holdings IV, LLC, FinTech Masala Advisors, LLC, PWP Holdings LP, PWP GP LLC, PWP Professional Partners LP and Perella Weinberg Partners LLC (incorporated by reference to Exhibit 2.1 to FinTech Acquisition Corp. IV’s Current Report on Form 8-K/A, filed with the SEC on December 31, 2020).</w:t>
              </w:r>
            </w:hyperlink>
            <w:hyperlink r:id="rId3">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3.1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4">
              <w:r>
                <w:rPr>
                  <w:rStyle w:val="InternetLink"/>
                  <w:rFonts w:ascii="Times New Roman" w:hAnsi="Times New Roman"/>
                  <w:b w:val="false"/>
                  <w:sz w:val="20"/>
                  <w:u w:val="single"/>
                </w:rPr>
                <w:t>Second Amended and Restated Certificate of Incorporation of Perella Weinberg Partners (incorporated by reference to Exhibit 3.1 to the Company’s Current Report on Form 8-K, filed with the SEC on June 30, 2021).</w:t>
              </w:r>
            </w:hyperlink>
            <w:hyperlink r:id="rId5">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3.2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6">
              <w:r>
                <w:rPr>
                  <w:rStyle w:val="InternetLink"/>
                  <w:rFonts w:ascii="Times New Roman" w:hAnsi="Times New Roman"/>
                  <w:b w:val="false"/>
                  <w:sz w:val="20"/>
                  <w:u w:val="single"/>
                </w:rPr>
                <w:t>Amended and Restated Bylaws of Perella Weinberg Partners (incorporated by reference to Exhibit 3.2 to the Company’s Current Report on Form 8-K, filed with the SEC on June 30, 2021).</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4.1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7">
              <w:r>
                <w:rPr>
                  <w:rStyle w:val="InternetLink"/>
                  <w:rFonts w:ascii="Times New Roman" w:hAnsi="Times New Roman"/>
                  <w:b w:val="false"/>
                  <w:sz w:val="20"/>
                  <w:u w:val="single"/>
                </w:rPr>
                <w:t>Specimen Class A Common Stock Certificate (incorporated by reference to Exhibit 4.1 to the Company’s Current Report on Form 8-K, filed with the SEC on June 30, 2021).</w:t>
              </w:r>
            </w:hyperlink>
            <w:hyperlink r:id="rId8">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4.2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9">
              <w:r>
                <w:rPr>
                  <w:rStyle w:val="InternetLink"/>
                  <w:rFonts w:ascii="Times New Roman" w:hAnsi="Times New Roman"/>
                  <w:b w:val="false"/>
                  <w:sz w:val="20"/>
                  <w:u w:val="single"/>
                </w:rPr>
                <w:t>Warrant Agreement, dated September 24, 2020, by and between FinTech Acquisition Corp. IV and Continental Stock Transfer &amp; Trust Company (incorporated by reference to Exhibit 4.1 to FinTech Acquisition Corp. IV’s Current Report on Form 8-K, filed with the SEC on September 30, 2020).</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0">
              <w:r>
                <w:rPr>
                  <w:rStyle w:val="InternetLink"/>
                  <w:rFonts w:ascii="Times New Roman" w:hAnsi="Times New Roman"/>
                  <w:b w:val="false"/>
                  <w:sz w:val="20"/>
                  <w:u w:val="single"/>
                </w:rPr>
                <w:t>Form of Subscription Agreement (incorporated by reference to Exhibit 10.1 to FinTech Acquisition Corp. IV’s Current Report on Form 8-K/A, filed with the SEC on December 31, 2020).</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1">
              <w:r>
                <w:rPr>
                  <w:rStyle w:val="InternetLink"/>
                  <w:rFonts w:ascii="Times New Roman" w:hAnsi="Times New Roman"/>
                  <w:b w:val="false"/>
                  <w:sz w:val="20"/>
                  <w:u w:val="single"/>
                </w:rPr>
                <w:t>Amended and Restated Registration Rights Agreement, dated June 24, 2021, by and among the Company, FinTech Investor Holdings IV, LLC, FinTech Masala Advisors, LLC and the other Holders party thereto (incorporated by reference to Exhibit 10.1 to the Company’s Current Report on Form 8-K, filed with the SEC on June 30, 2021).</w:t>
              </w:r>
            </w:hyperlink>
            <w:hyperlink r:id="rId12">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3">
              <w:r>
                <w:rPr>
                  <w:rStyle w:val="InternetLink"/>
                  <w:rFonts w:ascii="Times New Roman" w:hAnsi="Times New Roman"/>
                  <w:b w:val="false"/>
                  <w:sz w:val="20"/>
                  <w:u w:val="single"/>
                </w:rPr>
                <w:t>Stockholders Agreement, dated June 24, 2021, by and between the Company and PWP Professional Partners LP (incorporated by reference to Exhibit 10.3 to the Company’s Current Report on Form 8-K, filed with the SEC on June 30, 2021).</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4">
              <w:r>
                <w:rPr>
                  <w:rStyle w:val="InternetLink"/>
                  <w:rFonts w:ascii="Times New Roman" w:hAnsi="Times New Roman"/>
                  <w:b w:val="false"/>
                  <w:sz w:val="20"/>
                  <w:u w:val="single"/>
                </w:rPr>
                <w:t>Tax Receivable Agreement, dated June 24, 2021, by and between the Company, PWP Holdings LP, PWP Professional Partners LP and certain partners party thereto (incorporated by reference to Exhibit 10.2 to the Company’s Current Report on Form 8-K, filed with the SEC on June 30, 2021).</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10.5</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fldChar w:fldCharType="begin"/>
            </w:r>
            <w:r>
              <w:rPr>
                <w:rStyle w:val="InternetLink"/>
                <w:sz w:val="20"/>
                <w:u w:val="single"/>
                <w:b w:val="false"/>
                <w:rFonts w:ascii="Times New Roman" w:hAnsi="Times New Roman"/>
              </w:rPr>
              <w:instrText> HYPERLINK "https://www.sec.gov/Archives/edgar/data/1777835/000121390020045792/ea132500ex2-1_fintechacq4.htm" \l "ex_008"</w:instrText>
            </w:r>
            <w:r>
              <w:rPr>
                <w:rStyle w:val="InternetLink"/>
                <w:sz w:val="20"/>
                <w:u w:val="single"/>
                <w:b w:val="false"/>
                <w:rFonts w:ascii="Times New Roman" w:hAnsi="Times New Roman"/>
              </w:rPr>
              <w:fldChar w:fldCharType="separate"/>
            </w:r>
            <w:r>
              <w:rPr>
                <w:rStyle w:val="InternetLink"/>
                <w:rFonts w:ascii="Times New Roman" w:hAnsi="Times New Roman"/>
                <w:b w:val="false"/>
                <w:sz w:val="20"/>
                <w:u w:val="single"/>
              </w:rPr>
              <w:t>Sponsor Share Surrender and Share Restriction Agreement, dated as of December 29, 2020, by and among PWP Holdings LP, FinTech Acquisition Corp. IV, FinTech Investor Holdings IV, LLC, FinTech Masala Advisors, LLC and the other parties thereto (incorporated by reference to Exhibit 10.5 to FinTech Acquisition Corp. IV’s Current Report on Form 8-K/A, filed with the SEC on December 31, 2020).</w:t>
            </w:r>
            <w:r>
              <w:rPr>
                <w:rStyle w:val="InternetLink"/>
                <w:sz w:val="20"/>
                <w:u w:val="single"/>
                <w:b w:val="false"/>
                <w:rFonts w:ascii="Times New Roman" w:hAnsi="Times New Roman"/>
              </w:rPr>
              <w:fldChar w:fldCharType="end"/>
            </w:r>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10.6</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5">
              <w:r>
                <w:rPr>
                  <w:rStyle w:val="InternetLink"/>
                  <w:rFonts w:ascii="Times New Roman" w:hAnsi="Times New Roman"/>
                  <w:b w:val="false"/>
                  <w:sz w:val="20"/>
                  <w:u w:val="single"/>
                </w:rPr>
                <w:t>Amendment to Sponsor Share Surrender and Share Restriction Agreement, dated as of May 4, 2021, by and among PWP Holdings LP, FinTech Acquisition Corp. IV, FinTech Investor Holdings IV, LLC, FinTech Masala Advisors, LLC and the other parties thereto (incorporated by reference to FinTech Acquisition Corp. IV’s definitive proxy statement, filed with the SEC on May 27, 2021).</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10.7</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6">
              <w:r>
                <w:rPr>
                  <w:rStyle w:val="InternetLink"/>
                  <w:rFonts w:ascii="Times New Roman" w:hAnsi="Times New Roman"/>
                  <w:b w:val="false"/>
                  <w:sz w:val="20"/>
                  <w:u w:val="single"/>
                </w:rPr>
                <w:t>Amended and Restated Agreement of Limited Partnership of PWP Holdings LP, dated as of June 24, 2021, by and among PWP GP LLC, the Company, PWP Professional Partners LP, and the other limited partners party thereto (incorporated by reference to Exhibit 10.4 to the Company’s Current Report on Form 8-K, filed with the SEC on June 30, 2021).</w:t>
              </w:r>
            </w:hyperlink>
            <w:hyperlink r:id="rId17">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10.8</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8">
              <w:r>
                <w:rPr>
                  <w:rStyle w:val="InternetLink"/>
                  <w:rFonts w:ascii="Times New Roman" w:hAnsi="Times New Roman"/>
                  <w:b w:val="false"/>
                  <w:sz w:val="20"/>
                  <w:u w:val="single"/>
                </w:rPr>
                <w:t>Amended and Restated Limited Liability Company Agreement of PWP GP LLC, dated June 24, 2021 (incorporated by reference to Exhibit 10.5 to the Company’s Current Report on Form 8-K, filed with the SEC on June 30, 2021).</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10.9</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9">
              <w:r>
                <w:rPr>
                  <w:rStyle w:val="InternetLink"/>
                  <w:rFonts w:ascii="Times New Roman" w:hAnsi="Times New Roman"/>
                  <w:b w:val="false"/>
                  <w:sz w:val="20"/>
                  <w:u w:val="single"/>
                </w:rPr>
                <w:t>Perella Weinberg Partners 2021 Omnibus Incentive Plan (incorporated by reference to Exhibit 10.6 to the Company’s Current Report on Form 8-K, filed with the SEC on June 30, 2021).</w:t>
              </w:r>
            </w:hyperlink>
            <w:hyperlink r:id="rId20">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21">
              <w:r>
                <w:rPr>
                  <w:rStyle w:val="InternetLink"/>
                  <w:rFonts w:ascii="Times New Roman" w:hAnsi="Times New Roman"/>
                  <w:b w:val="false"/>
                  <w:sz w:val="20"/>
                  <w:u w:val="single"/>
                </w:rPr>
                <w:t>French Sub-Plan Under the Perella Weinberg Partners 2021 Omnibus Equity Incentive Plan (incorporated by reference to Exhibit 10.7 to the Company’s Current Report on Form 8-K, filed with the SEC on June 30, 2021).</w:t>
              </w:r>
            </w:hyperlink>
            <w:hyperlink r:id="rId22">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23">
              <w:r>
                <w:rPr>
                  <w:rStyle w:val="InternetLink"/>
                  <w:rFonts w:ascii="Times New Roman" w:hAnsi="Times New Roman"/>
                  <w:b w:val="false"/>
                  <w:sz w:val="20"/>
                  <w:u w:val="single"/>
                </w:rPr>
                <w:t>Form of Indemnification Agreement (incorporated by reference to Exhibit 10.8 to the Company’s Current Report on Form 8-K, filed with the SEC on June 30, 2021).</w:t>
              </w:r>
            </w:hyperlink>
            <w:hyperlink r:id="rId24">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25">
              <w:r>
                <w:rPr>
                  <w:rStyle w:val="InternetLink"/>
                  <w:rFonts w:ascii="Times New Roman" w:hAnsi="Times New Roman"/>
                  <w:b w:val="false"/>
                  <w:sz w:val="20"/>
                  <w:u w:val="single"/>
                </w:rPr>
                <w:t>Amendment Agreement, dated as of June 15, 2021, by and among Perella Weinberg Partners Group LP, as Borrower, PWP Holdings LP, the subsidiary guarantors party thereto, each Lender under the Credit Agreement and Cadence Bank, N.A., as administrative agent (incorporated by reference to Exhibit 10.9 to the Company’s Current Report on Form 8-K, filed with the SEC on June 30, 2021).</w:t>
              </w:r>
            </w:hyperlink>
            <w:hyperlink r:id="rId26">
              <w:r>
                <w:rPr>
                  <w:rStyle w:val="InternetLink"/>
                  <w:rFonts w:ascii="Times New Roman" w:hAnsi="Times New Roman"/>
                  <w:sz w:val="20"/>
                </w:rPr>
                <w:t xml:space="preserve"> </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wp-20210630ex10_13.htm">
              <w:r>
                <w:rPr>
                  <w:rStyle w:val="InternetLink"/>
                  <w:rFonts w:ascii="Times New Roman" w:hAnsi="Times New Roman"/>
                  <w:b w:val="false"/>
                  <w:sz w:val="20"/>
                  <w:u w:val="single"/>
                </w:rPr>
                <w:t>Form of Management Performance Restricted Stock Unit Award Agreement</w:t>
              </w:r>
            </w:hyperlink>
          </w:p>
        </w:tc>
      </w:tr>
      <w:tr>
        <w:trPr/>
        <w:tc>
          <w:tcPr>
            <w:tcW w:w="817"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31.1*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4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wp-20210630ex31_1.htm">
              <w:r>
                <w:rPr>
                  <w:rStyle w:val="InternetLink"/>
                  <w:rFonts w:ascii="Times New Roman" w:hAnsi="Times New Roman"/>
                  <w:b w:val="false"/>
                  <w:sz w:val="20"/>
                  <w:u w:val="single"/>
                </w:rPr>
                <w:t>Certification of Principal Executive Officer Pursuant to Rules 13a-14(a) and 15d-14(a) under the Securities Exchange Act of 1934, as Adopted Pursuant to Section 302 of the Sarbanes-Oxley Act of 2002.</w:t>
              </w:r>
            </w:hyperlink>
          </w:p>
        </w:tc>
      </w:tr>
    </w:tbl>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89</w:t>
      </w:r>
    </w:p>
    <w:p>
      <w:pPr>
        <w:pStyle w:val="HorizontalLine"/>
        <w:rPr/>
      </w:pPr>
      <w:r>
        <w:rPr/>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701"/>
        <w:gridCol w:w="146"/>
        <w:gridCol w:w="9358"/>
      </w:tblGrid>
      <w:tr>
        <w:trPr/>
        <w:tc>
          <w:tcPr>
            <w:tcW w:w="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58" w:type="dxa"/>
            <w:tcBorders/>
            <w:shd w:fill="auto" w:val="clear"/>
            <w:vAlign w:val="center"/>
          </w:tcPr>
          <w:p>
            <w:pPr>
              <w:pStyle w:val="TableContents"/>
              <w:spacing w:before="0" w:after="283"/>
              <w:rPr>
                <w:sz w:val="4"/>
                <w:szCs w:val="4"/>
              </w:rPr>
            </w:pPr>
            <w:r>
              <w:rPr>
                <w:sz w:val="4"/>
                <w:szCs w:val="4"/>
              </w:rPr>
            </w:r>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31.2*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wp-20210630ex31_2.htm">
              <w:r>
                <w:rPr>
                  <w:rStyle w:val="InternetLink"/>
                  <w:rFonts w:ascii="Times New Roman" w:hAnsi="Times New Roman"/>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32.1*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wp-20210630ex32_1.htm">
              <w:r>
                <w:rPr>
                  <w:rStyle w:val="InternetLink"/>
                  <w:rFonts w:ascii="Times New Roman" w:hAnsi="Times New Roman"/>
                  <w:b w:val="false"/>
                  <w:sz w:val="20"/>
                  <w:u w:val="single"/>
                </w:rPr>
                <w:t>Certification of Principal Executive Officer Pursuant to 18 U.S.C. Section 1350, as Adopted Pursuant to Section 906 of the Sarbanes-Oxley Act of 2002.</w:t>
              </w:r>
            </w:hyperlink>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32.2*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wp-20210630ex32_2.htm">
              <w:r>
                <w:rPr>
                  <w:rStyle w:val="InternetLink"/>
                  <w:rFonts w:ascii="Times New Roman" w:hAnsi="Times New Roman"/>
                  <w:b w:val="false"/>
                  <w:sz w:val="20"/>
                  <w:u w:val="single"/>
                </w:rPr>
                <w:t>Certification of Principal Financial Officer Pursuant to 18 U.S.C. Section 1350, as Adopted Pursuant to Section 906 of the Sarbanes-Oxley Act of 2002.</w:t>
              </w:r>
            </w:hyperlink>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101.INS</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Inline XBRL Instance Document – the instance document does not appear in the Interactive Data File because XBRL tags are embedded within the Inline XBRL document.</w:t>
            </w:r>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101.SCH</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101.CAL</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101.DEF</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101.LAB</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101.PRE</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r>
      <w:tr>
        <w:trPr/>
        <w:tc>
          <w:tcPr>
            <w:tcW w:w="7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Cover Page Interactive Data File (embedded within the Inline XBRL document)</w:t>
            </w:r>
          </w:p>
        </w:tc>
      </w:tr>
    </w:tbl>
    <w:p>
      <w:pPr>
        <w:pStyle w:val="TextBody"/>
        <w:pBdr>
          <w:bottom w:val="single" w:sz="8" w:space="1" w:color="000000"/>
        </w:pBdr>
        <w:spacing w:lineRule="auto" w:line="312" w:before="0" w:after="0"/>
        <w:jc w:val="left"/>
        <w:rPr/>
      </w:pPr>
      <w:r>
        <w:rPr/>
        <w:t> </w:t>
      </w:r>
    </w:p>
    <w:p>
      <w:pPr>
        <w:pStyle w:val="TextBody"/>
        <w:spacing w:lineRule="auto" w:line="312" w:before="0" w:after="0"/>
        <w:jc w:val="both"/>
        <w:rPr>
          <w:rFonts w:ascii="Times New Roman" w:hAnsi="Times New Roman"/>
          <w:b w:val="false"/>
          <w:sz w:val="20"/>
        </w:rPr>
      </w:pPr>
      <w:r>
        <w:rPr>
          <w:rFonts w:ascii="Times New Roman" w:hAnsi="Times New Roman"/>
          <w:b w:val="false"/>
          <w:sz w:val="20"/>
        </w:rPr>
        <w:t>*         Filed herewith.</w:t>
      </w:r>
    </w:p>
    <w:p>
      <w:pPr>
        <w:pStyle w:val="TextBody"/>
        <w:spacing w:lineRule="auto" w:line="312" w:before="0" w:after="0"/>
        <w:jc w:val="both"/>
        <w:rPr>
          <w:rFonts w:ascii="Times New Roman" w:hAnsi="Times New Roman"/>
          <w:b w:val="false"/>
          <w:sz w:val="20"/>
        </w:rPr>
      </w:pPr>
      <w:r>
        <w:rPr>
          <w:rFonts w:ascii="Times New Roman" w:hAnsi="Times New Roman"/>
          <w:b w:val="false"/>
          <w:sz w:val="20"/>
        </w:rPr>
        <w:t> Indicates a management or compensatory plan.</w:t>
      </w:r>
    </w:p>
    <w:p>
      <w:pPr>
        <w:pStyle w:val="TextBody"/>
        <w:spacing w:lineRule="auto" w:line="312" w:before="0" w:after="0"/>
        <w:jc w:val="both"/>
        <w:rPr>
          <w:rFonts w:ascii="Times New Roman" w:hAnsi="Times New Roman"/>
          <w:b w:val="false"/>
          <w:sz w:val="20"/>
        </w:rPr>
      </w:pPr>
      <w:r>
        <w:rPr>
          <w:rFonts w:ascii="Times New Roman" w:hAnsi="Times New Roman"/>
          <w:b w:val="false"/>
          <w:sz w:val="20"/>
        </w:rPr>
        <w:t>+ Certain schedules to this Exhibit have been omitted in accordance with Item 601(b)(2) of Regulation S-K. The Company hereby agrees to furnish supplementally a copy of all omitted schedules to the SEC upon request.</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90</w:t>
      </w:r>
    </w:p>
    <w:p>
      <w:pPr>
        <w:pStyle w:val="HorizontalLine"/>
        <w:rPr/>
      </w:pPr>
      <w:r>
        <w:rPr/>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sz w:val="20"/>
        </w:rPr>
      </w:pPr>
      <w:bookmarkStart w:id="21" w:name="signatures"/>
      <w:bookmarkEnd w:id="21"/>
      <w:r>
        <w:rPr>
          <w:rFonts w:ascii="Times New Roman" w:hAnsi="Times New Roman"/>
          <w:b/>
          <w:sz w:val="20"/>
        </w:rPr>
        <w:t>SIGNATURES</w:t>
      </w:r>
    </w:p>
    <w:p>
      <w:pPr>
        <w:pStyle w:val="TextBody"/>
        <w:spacing w:lineRule="auto" w:line="312" w:before="0" w:after="0"/>
        <w:jc w:val="center"/>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its behalf by the undersigned thereunto duly authorized.</w:t>
      </w:r>
    </w:p>
    <w:p>
      <w:pPr>
        <w:pStyle w:val="TextBody"/>
        <w:spacing w:lineRule="auto" w:line="312" w:before="0" w:after="0"/>
        <w:jc w:val="left"/>
        <w:rPr/>
      </w:pPr>
      <w:r>
        <w:rPr/>
        <w:t> </w:t>
      </w:r>
    </w:p>
    <w:tbl>
      <w:tblPr>
        <w:tblW w:w="5202" w:type="dxa"/>
        <w:jc w:val="left"/>
        <w:tblInd w:w="0" w:type="dxa"/>
        <w:tblCellMar>
          <w:top w:w="28" w:type="dxa"/>
          <w:left w:w="28" w:type="dxa"/>
          <w:bottom w:w="28" w:type="dxa"/>
          <w:right w:w="28" w:type="dxa"/>
        </w:tblCellMar>
      </w:tblPr>
      <w:tblGrid>
        <w:gridCol w:w="1951"/>
        <w:gridCol w:w="146"/>
        <w:gridCol w:w="430"/>
        <w:gridCol w:w="2675"/>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105" w:type="dxa"/>
            <w:gridSpan w:val="2"/>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PERELLA WEINBERG PARTNERS</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675"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PETER A. WEINBERG</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Peter A. Weinberg</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Chief Executive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(Principal Executive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67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GARY S. BARANCIK</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Gary S. Barancik</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Chief Financial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30"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6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(Principal Financial Officer)</w:t>
            </w:r>
          </w:p>
        </w:tc>
      </w:tr>
    </w:tbl>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91</w:t>
      </w:r>
    </w:p>
    <w:p>
      <w:pPr>
        <w:pStyle w:val="HorizontalLine"/>
        <w:rPr/>
      </w:pPr>
      <w:r>
        <w:rPr/>
      </w:r>
      <w:r>
        <w:br w:type="page"/>
      </w:r>
    </w:p>
    <w:p>
      <w:pPr>
        <w:pStyle w:val="TextBody"/>
        <w:spacing w:lineRule="auto" w:line="312" w:before="0" w:after="0"/>
        <w:jc w:val="left"/>
        <w:rPr/>
      </w:pPr>
      <w:bookmarkStart w:id="22" w:name="pwp-20210630ex10_13.htm"/>
      <w:bookmarkStart w:id="23" w:name="kspwp20210630ex10_13"/>
      <w:bookmarkEnd w:id="22"/>
      <w:bookmarkEnd w:id="23"/>
      <w:r>
        <w:rPr/>
        <w:t> </w:t>
      </w:r>
    </w:p>
    <w:p>
      <w:pPr>
        <w:pStyle w:val="TextBody"/>
        <w:spacing w:lineRule="auto" w:line="312" w:before="0" w:after="0"/>
        <w:jc w:val="right"/>
        <w:rPr>
          <w:rFonts w:ascii="Times New Roman" w:hAnsi="Times New Roman"/>
          <w:b/>
          <w:sz w:val="20"/>
        </w:rPr>
      </w:pPr>
      <w:r>
        <w:rPr>
          <w:rFonts w:ascii="Times New Roman" w:hAnsi="Times New Roman"/>
          <w:b/>
          <w:sz w:val="20"/>
        </w:rPr>
        <w:t>Exhibit 10.13</w:t>
      </w:r>
    </w:p>
    <w:p>
      <w:pPr>
        <w:pStyle w:val="TextBody"/>
        <w:spacing w:lineRule="auto" w:line="312" w:before="0" w:after="0"/>
        <w:jc w:val="center"/>
        <w:rPr>
          <w:rFonts w:ascii="Times New Roman" w:hAnsi="Times New Roman"/>
          <w:b/>
          <w:caps/>
          <w:sz w:val="20"/>
        </w:rPr>
      </w:pPr>
      <w:r>
        <w:rPr>
          <w:rFonts w:ascii="Times New Roman" w:hAnsi="Times New Roman"/>
          <w:b/>
          <w:caps/>
          <w:sz w:val="20"/>
        </w:rPr>
        <w:t>Perella Weinberg Partners</w:t>
      </w:r>
    </w:p>
    <w:p>
      <w:pPr>
        <w:pStyle w:val="TextBody"/>
        <w:spacing w:lineRule="auto" w:line="312" w:before="0" w:after="0"/>
        <w:jc w:val="center"/>
        <w:rPr>
          <w:rFonts w:ascii="Times New Roman" w:hAnsi="Times New Roman"/>
          <w:b/>
          <w:sz w:val="20"/>
        </w:rPr>
      </w:pPr>
      <w:r>
        <w:rPr>
          <w:rFonts w:ascii="Times New Roman" w:hAnsi="Times New Roman"/>
          <w:b/>
          <w:sz w:val="20"/>
        </w:rPr>
        <w:t>2021 OMNIBUS INCENTIVE PLAN</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MANAGEMENT</w:t>
        <w:br/>
        <w:t>PERFORMANCE RESTRICTED STOCK UNIT AWARD AGREEMENT</w:t>
      </w:r>
    </w:p>
    <w:p>
      <w:pPr>
        <w:pStyle w:val="TextBody"/>
        <w:spacing w:lineRule="auto" w:line="312" w:before="0" w:after="0"/>
        <w:jc w:val="left"/>
        <w:rPr/>
      </w:pPr>
      <w:r>
        <w:rPr/>
        <w:t> </w:t>
      </w:r>
    </w:p>
    <w:p>
      <w:pPr>
        <w:pStyle w:val="TextBody"/>
        <w:spacing w:lineRule="auto" w:line="312" w:before="0" w:after="240"/>
        <w:jc w:val="left"/>
        <w:rPr>
          <w:rFonts w:ascii="Times New Roman" w:hAnsi="Times New Roman"/>
          <w:sz w:val="20"/>
        </w:rPr>
      </w:pPr>
      <w:r>
        <w:rPr>
          <w:rFonts w:ascii="Times New Roman" w:hAnsi="Times New Roman"/>
          <w:b w:val="false"/>
          <w:sz w:val="20"/>
        </w:rPr>
        <w:t>This Performance Restricted Stock Unit Award Agreement (this “</w:t>
      </w:r>
      <w:r>
        <w:rPr>
          <w:rFonts w:ascii="Times New Roman" w:hAnsi="Times New Roman"/>
          <w:b w:val="false"/>
          <w:sz w:val="20"/>
          <w:u w:val="single"/>
        </w:rPr>
        <w:t>Agreement</w:t>
      </w:r>
      <w:r>
        <w:rPr>
          <w:rFonts w:ascii="Times New Roman" w:hAnsi="Times New Roman"/>
          <w:sz w:val="20"/>
        </w:rPr>
        <w:t>”</w:t>
      </w:r>
      <w:r>
        <w:rPr>
          <w:rFonts w:ascii="Times New Roman" w:hAnsi="Times New Roman"/>
          <w:b w:val="false"/>
          <w:sz w:val="20"/>
        </w:rPr>
        <w:t>), dated as of _______, 2021 (the “</w:t>
      </w:r>
      <w:r>
        <w:rPr>
          <w:rFonts w:ascii="Times New Roman" w:hAnsi="Times New Roman"/>
          <w:b w:val="false"/>
          <w:sz w:val="20"/>
          <w:u w:val="single"/>
        </w:rPr>
        <w:t>Grant Date</w:t>
      </w:r>
      <w:r>
        <w:rPr>
          <w:rFonts w:ascii="Times New Roman" w:hAnsi="Times New Roman"/>
          <w:sz w:val="20"/>
        </w:rPr>
        <w:t>”</w:t>
      </w:r>
      <w:r>
        <w:rPr>
          <w:rFonts w:ascii="Times New Roman" w:hAnsi="Times New Roman"/>
          <w:b w:val="false"/>
          <w:sz w:val="20"/>
        </w:rPr>
        <w:t>), is made by and between Perella Weinberg Partners (the “</w:t>
      </w:r>
      <w:r>
        <w:rPr>
          <w:rFonts w:ascii="Times New Roman" w:hAnsi="Times New Roman"/>
          <w:b w:val="false"/>
          <w:sz w:val="20"/>
          <w:u w:val="single"/>
        </w:rPr>
        <w:t>Company</w:t>
      </w:r>
      <w:r>
        <w:rPr>
          <w:rFonts w:ascii="Times New Roman" w:hAnsi="Times New Roman"/>
          <w:sz w:val="20"/>
        </w:rPr>
        <w:t>”</w:t>
      </w:r>
      <w:r>
        <w:rPr>
          <w:rFonts w:ascii="Times New Roman" w:hAnsi="Times New Roman"/>
          <w:b w:val="false"/>
          <w:sz w:val="20"/>
        </w:rPr>
        <w:t>) and</w:t>
      </w:r>
      <w:r>
        <w:rPr>
          <w:rFonts w:ascii="Times New Roman" w:hAnsi="Times New Roman"/>
          <w:sz w:val="20"/>
        </w:rPr>
        <w:t xml:space="preserve"> </w:t>
      </w:r>
      <w:r>
        <w:rPr>
          <w:rFonts w:ascii="Times New Roman" w:hAnsi="Times New Roman"/>
          <w:b w:val="false"/>
          <w:sz w:val="20"/>
        </w:rPr>
        <w:t>_______</w:t>
      </w:r>
      <w:r>
        <w:rPr>
          <w:rFonts w:ascii="Times New Roman" w:hAnsi="Times New Roman"/>
          <w:sz w:val="20"/>
        </w:rPr>
        <w:t xml:space="preserve"> </w:t>
      </w:r>
      <w:r>
        <w:rPr>
          <w:rFonts w:ascii="Times New Roman" w:hAnsi="Times New Roman"/>
          <w:b w:val="false"/>
          <w:sz w:val="20"/>
        </w:rPr>
        <w:t>(the “</w:t>
      </w:r>
      <w:r>
        <w:rPr>
          <w:rFonts w:ascii="Times New Roman" w:hAnsi="Times New Roman"/>
          <w:b w:val="false"/>
          <w:sz w:val="20"/>
          <w:u w:val="single"/>
        </w:rPr>
        <w:t>Grantee</w:t>
      </w:r>
      <w:r>
        <w:rPr>
          <w:rFonts w:ascii="Times New Roman" w:hAnsi="Times New Roman"/>
          <w:sz w:val="20"/>
        </w:rPr>
        <w:t>”</w:t>
      </w:r>
      <w:r>
        <w:rPr>
          <w:rFonts w:ascii="Times New Roman" w:hAnsi="Times New Roman"/>
          <w:b w:val="false"/>
          <w:sz w:val="20"/>
        </w:rPr>
        <w:t>). Capitalized terms used but not defined herein shall have the respective meanings ascribed to them in the Perella Weinberg Partners 2021 Omnibus Incentive Plan (as may be amended from time to time,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Where the context permits, references to “the Company” shall include the Company and any successor to the Company.</w:t>
      </w:r>
      <w:r>
        <w:rPr>
          <w:rFonts w:ascii="Times New Roman" w:hAnsi="Times New Roman"/>
          <w:sz w:val="20"/>
        </w:rPr>
        <w:t xml:space="preserve"> </w:t>
      </w:r>
    </w:p>
    <w:p>
      <w:pPr>
        <w:pStyle w:val="TextBody"/>
        <w:spacing w:lineRule="auto" w:line="312" w:before="0" w:after="240"/>
        <w:rPr>
          <w:rFonts w:ascii="Times New Roman" w:hAnsi="Times New Roman"/>
          <w:b w:val="false"/>
          <w:sz w:val="20"/>
        </w:rPr>
      </w:pPr>
      <w:r>
        <w:rPr>
          <w:rFonts w:ascii="Times New Roman" w:hAnsi="Times New Roman"/>
          <w:b w:val="false"/>
          <w:sz w:val="20"/>
        </w:rPr>
        <w:t>1.</w:t>
      </w:r>
    </w:p>
    <w:p>
      <w:pPr>
        <w:pStyle w:val="TextBody"/>
        <w:spacing w:lineRule="auto" w:line="312" w:before="0" w:after="240"/>
        <w:rPr/>
      </w:pPr>
      <w:r>
        <w:rPr>
          <w:rFonts w:ascii="Times New Roman" w:hAnsi="Times New Roman"/>
          <w:b w:val="false"/>
          <w:sz w:val="20"/>
          <w:u w:val="single"/>
        </w:rPr>
        <w:t>Grant of RSUs</w:t>
      </w:r>
      <w:r>
        <w:rPr>
          <w:rFonts w:ascii="Times New Roman" w:hAnsi="Times New Roman"/>
          <w:b w:val="false"/>
          <w:sz w:val="20"/>
        </w:rPr>
        <w:t>. The Company hereby grants to the Grantee a total of _______</w:t>
      </w:r>
      <w:r>
        <w:rPr/>
        <w:t xml:space="preserve"> </w:t>
      </w:r>
      <w:r>
        <w:rPr>
          <w:rFonts w:ascii="Times New Roman" w:hAnsi="Times New Roman"/>
          <w:b w:val="false"/>
          <w:sz w:val="20"/>
        </w:rPr>
        <w:t>performance-based restricted stock units (the “</w:t>
      </w:r>
      <w:r>
        <w:rPr>
          <w:rFonts w:ascii="Times New Roman" w:hAnsi="Times New Roman"/>
          <w:b w:val="false"/>
          <w:sz w:val="20"/>
          <w:u w:val="single"/>
        </w:rPr>
        <w:t>RSUs</w:t>
      </w:r>
      <w:r>
        <w:rPr/>
        <w:t>”</w:t>
      </w:r>
      <w:r>
        <w:rPr>
          <w:rFonts w:ascii="Times New Roman" w:hAnsi="Times New Roman"/>
          <w:b w:val="false"/>
          <w:sz w:val="20"/>
        </w:rPr>
        <w:t>) as of the Grant Date, subject to all of the terms and conditions of this Agreement and the Plan. Each RSU granted hereunder shall represent the right to receive one (1) share of Common Stock (a “</w:t>
      </w:r>
      <w:r>
        <w:rPr>
          <w:rFonts w:ascii="Times New Roman" w:hAnsi="Times New Roman"/>
          <w:b w:val="false"/>
          <w:sz w:val="20"/>
          <w:u w:val="single"/>
        </w:rPr>
        <w:t>Share</w:t>
      </w:r>
      <w:r>
        <w:rPr/>
        <w:t>”</w:t>
      </w:r>
      <w:r>
        <w:rPr>
          <w:rFonts w:ascii="Times New Roman" w:hAnsi="Times New Roman"/>
          <w:b w:val="false"/>
          <w:sz w:val="20"/>
        </w:rPr>
        <w:t xml:space="preserve">). </w:t>
      </w:r>
    </w:p>
    <w:p>
      <w:pPr>
        <w:pStyle w:val="TextBody"/>
        <w:spacing w:lineRule="auto" w:line="312" w:before="0" w:after="240"/>
        <w:rPr>
          <w:rFonts w:ascii="Times New Roman" w:hAnsi="Times New Roman"/>
          <w:b w:val="false"/>
          <w:sz w:val="20"/>
        </w:rPr>
      </w:pPr>
      <w:r>
        <w:rPr>
          <w:rFonts w:ascii="Times New Roman" w:hAnsi="Times New Roman"/>
          <w:b w:val="false"/>
          <w:sz w:val="20"/>
        </w:rPr>
        <w:t>2.</w:t>
      </w:r>
    </w:p>
    <w:p>
      <w:pPr>
        <w:pStyle w:val="TextBody"/>
        <w:spacing w:lineRule="auto" w:line="312" w:before="0" w:after="240"/>
        <w:rPr/>
      </w:pPr>
      <w:r>
        <w:rPr>
          <w:rFonts w:ascii="Times New Roman" w:hAnsi="Times New Roman"/>
          <w:b w:val="false"/>
          <w:sz w:val="20"/>
          <w:u w:val="single"/>
        </w:rPr>
        <w:t>Vesting</w:t>
      </w:r>
      <w:r>
        <w:rPr>
          <w:rFonts w:ascii="Times New Roman" w:hAnsi="Times New Roman"/>
          <w:b w:val="false"/>
          <w:sz w:val="20"/>
        </w:rPr>
        <w:t>. The RSUs shall vest upon the achievement of both of the following vesting conditions:</w:t>
      </w:r>
    </w:p>
    <w:p>
      <w:pPr>
        <w:pStyle w:val="TextBody"/>
        <w:spacing w:lineRule="auto" w:line="312" w:before="0" w:after="240"/>
        <w:rPr>
          <w:rFonts w:ascii="Times New Roman" w:hAnsi="Times New Roman"/>
          <w:b w:val="false"/>
          <w:sz w:val="20"/>
        </w:rPr>
      </w:pPr>
      <w:r>
        <w:rPr>
          <w:rFonts w:ascii="Times New Roman" w:hAnsi="Times New Roman"/>
          <w:b w:val="false"/>
          <w:sz w:val="20"/>
        </w:rPr>
        <w:t>(a)</w:t>
      </w:r>
    </w:p>
    <w:p>
      <w:pPr>
        <w:pStyle w:val="TextBody"/>
        <w:spacing w:lineRule="auto" w:line="312" w:before="0" w:after="240"/>
        <w:rPr/>
      </w:pPr>
      <w:r>
        <w:rPr>
          <w:rFonts w:ascii="Times New Roman" w:hAnsi="Times New Roman"/>
          <w:b w:val="false"/>
          <w:sz w:val="20"/>
          <w:u w:val="single"/>
        </w:rPr>
        <w:t>Service Condition</w:t>
      </w:r>
      <w:r>
        <w:rPr>
          <w:rFonts w:ascii="Times New Roman" w:hAnsi="Times New Roman"/>
          <w:b w:val="false"/>
          <w:sz w:val="20"/>
        </w:rPr>
        <w:t>. Except as provided in Section 3 hereof, the service-based vesting condition shall be satisfied on the following dates (each a “</w:t>
      </w:r>
      <w:r>
        <w:rPr>
          <w:rFonts w:ascii="Times New Roman" w:hAnsi="Times New Roman"/>
          <w:b w:val="false"/>
          <w:sz w:val="20"/>
          <w:u w:val="single"/>
        </w:rPr>
        <w:t>Vesting Date</w:t>
      </w:r>
      <w:r>
        <w:rPr/>
        <w:t>”</w:t>
      </w:r>
      <w:r>
        <w:rPr>
          <w:rFonts w:ascii="Times New Roman" w:hAnsi="Times New Roman"/>
          <w:b w:val="false"/>
          <w:sz w:val="20"/>
        </w:rPr>
        <w:t>) so long as the Grantee remains in continuous employment with the Company or an Affiliate thereof [as a Working Partner] through, and has not given or received a notice of termination of such employment [as a Working Partner] as of, the applicable Vesting Date:</w:t>
      </w:r>
    </w:p>
    <w:tbl>
      <w:tblPr>
        <w:tblW w:w="3407" w:type="dxa"/>
        <w:jc w:val="left"/>
        <w:tblInd w:w="0" w:type="dxa"/>
        <w:tblCellMar>
          <w:top w:w="28" w:type="dxa"/>
          <w:left w:w="28" w:type="dxa"/>
          <w:bottom w:w="28" w:type="dxa"/>
          <w:right w:w="28" w:type="dxa"/>
        </w:tblCellMar>
      </w:tblPr>
      <w:tblGrid>
        <w:gridCol w:w="1906"/>
        <w:gridCol w:w="1501"/>
      </w:tblGrid>
      <w:tr>
        <w:trPr/>
        <w:tc>
          <w:tcPr>
            <w:tcW w:w="1906"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r>
      <w:tr>
        <w:trPr/>
        <w:tc>
          <w:tcPr>
            <w:tcW w:w="190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lineRule="auto" w:line="312" w:before="120" w:after="120"/>
              <w:ind w:left="0" w:right="0" w:hanging="0"/>
              <w:jc w:val="center"/>
              <w:rPr>
                <w:rFonts w:ascii="Times New Roman" w:hAnsi="Times New Roman"/>
                <w:b/>
                <w:sz w:val="20"/>
                <w:u w:val="single"/>
              </w:rPr>
            </w:pPr>
            <w:r>
              <w:rPr>
                <w:rFonts w:ascii="Times New Roman" w:hAnsi="Times New Roman"/>
                <w:b/>
                <w:sz w:val="20"/>
                <w:u w:val="single"/>
              </w:rPr>
              <w:t>Time-Based Tranche</w:t>
            </w:r>
          </w:p>
        </w:tc>
        <w:tc>
          <w:tcPr>
            <w:tcW w:w="1501"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lineRule="auto" w:line="312" w:before="120" w:after="120"/>
              <w:ind w:left="0" w:right="0" w:hanging="0"/>
              <w:jc w:val="center"/>
              <w:rPr>
                <w:rFonts w:ascii="Times New Roman" w:hAnsi="Times New Roman"/>
                <w:b/>
                <w:sz w:val="20"/>
                <w:u w:val="single"/>
              </w:rPr>
            </w:pPr>
            <w:r>
              <w:rPr>
                <w:rFonts w:ascii="Times New Roman" w:hAnsi="Times New Roman"/>
                <w:b/>
                <w:sz w:val="20"/>
                <w:u w:val="single"/>
              </w:rPr>
              <w:t>Vesting Date</w:t>
            </w:r>
          </w:p>
        </w:tc>
      </w:tr>
      <w:tr>
        <w:trPr/>
        <w:tc>
          <w:tcPr>
            <w:tcW w:w="190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36 Month Tranche</w:t>
              <w:br/>
              <w:t>([50%] RSUs)</w:t>
            </w:r>
          </w:p>
        </w:tc>
        <w:tc>
          <w:tcPr>
            <w:tcW w:w="150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August 31, 2024</w:t>
            </w:r>
          </w:p>
        </w:tc>
      </w:tr>
      <w:tr>
        <w:trPr/>
        <w:tc>
          <w:tcPr>
            <w:tcW w:w="190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60 Month Tranche</w:t>
              <w:br/>
              <w:t>([50%] RSUs)</w:t>
            </w:r>
          </w:p>
        </w:tc>
        <w:tc>
          <w:tcPr>
            <w:tcW w:w="150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August 31, 2026</w:t>
            </w:r>
          </w:p>
        </w:tc>
      </w:tr>
    </w:tbl>
    <w:p>
      <w:pPr>
        <w:pStyle w:val="TextBody"/>
        <w:spacing w:lineRule="auto" w:line="312" w:before="0" w:after="240"/>
        <w:jc w:val="left"/>
        <w:rPr/>
      </w:pPr>
      <w:r>
        <w:rPr/>
        <w:t> </w:t>
      </w:r>
    </w:p>
    <w:p>
      <w:pPr>
        <w:pStyle w:val="TextBody"/>
        <w:spacing w:lineRule="auto" w:line="312" w:before="0" w:after="240"/>
        <w:jc w:val="left"/>
        <w:rPr>
          <w:rFonts w:ascii="Times New Roman" w:hAnsi="Times New Roman"/>
          <w:b w:val="false"/>
          <w:sz w:val="20"/>
        </w:rPr>
      </w:pPr>
      <w:r>
        <w:rPr>
          <w:rFonts w:ascii="Times New Roman" w:hAnsi="Times New Roman"/>
          <w:b w:val="false"/>
          <w:sz w:val="20"/>
        </w:rPr>
        <w:t>Notwithstanding the foregoing, no more than fifty percent (50%) of the RSUs for which the performance-based vesting conditions have been satisfied as of the first Vesting Date shall be deemed to be vested as of the first Vesting Date for purposes of this Agreement. For example, if the $30 Tranche (as defined below) is achieved prior to the first Vesting Date, then [HALF OF THE TOTAL NUMBER] RSUs shall be deemed to be vested as of the first Vesting Date for purposes of this Agreement, so long as the Grantee satisfies the service-based vesting condition through the first Vesting Date; however, if only the $15 Tranche (as defined below) is achieved prior to the first Vesting Date, then [HALF OF THE $15 TRANCHE] RSUs shall be deemed to be vested as of the first Vesting Date for purposes of this Agreement, and the remaining [HALF OF THE $15 TRANCHE] RSUs (in addition to any other RSUs for which the applicable performance-based vesting condition is satisfied after the first Vesting Date but prior to the final Vesting Date) shall be deemed to be vested as of the final Vesting Date for purposes of this Agreement, so long as the Grantee satisfies the service-based vesting condition through the final Vesting Date.</w:t>
      </w:r>
    </w:p>
    <w:p>
      <w:pPr>
        <w:pStyle w:val="TextBody"/>
        <w:spacing w:lineRule="auto" w:line="312" w:before="0" w:after="240"/>
        <w:rPr>
          <w:rFonts w:ascii="Times New Roman" w:hAnsi="Times New Roman"/>
          <w:b w:val="false"/>
          <w:sz w:val="20"/>
        </w:rPr>
      </w:pPr>
      <w:r>
        <w:rPr>
          <w:rFonts w:ascii="Times New Roman" w:hAnsi="Times New Roman"/>
          <w:b w:val="false"/>
          <w:sz w:val="20"/>
        </w:rPr>
        <w:t>(b)</w:t>
      </w:r>
    </w:p>
    <w:p>
      <w:pPr>
        <w:pStyle w:val="TextBody"/>
        <w:spacing w:lineRule="auto" w:line="312" w:before="0" w:after="240"/>
        <w:rPr/>
      </w:pPr>
      <w:r>
        <w:rPr>
          <w:rFonts w:ascii="Times New Roman" w:hAnsi="Times New Roman"/>
          <w:b w:val="false"/>
          <w:sz w:val="20"/>
          <w:u w:val="single"/>
        </w:rPr>
        <w:t>Performance Condition</w:t>
      </w:r>
      <w:r>
        <w:rPr>
          <w:rFonts w:ascii="Times New Roman" w:hAnsi="Times New Roman"/>
          <w:b w:val="false"/>
          <w:sz w:val="20"/>
        </w:rPr>
        <w:t xml:space="preserve">. The performance-based vesting conditions shall be satisfied on the first calendar month-end date that the Share Price (as defined below) is equal to or greater than the designated Share Price for the applicable performance-based tranche (as specified below, subject to Section 2(c) hereof) for any twenty (20) trading days out of any thirty (30) consecutive trading day period ending prior to the fifth (5th) anniversary of the Grant Date. Achievement of the performance-based vesting conditions with respect to any preceding thirty (30) consecutive trading day period shall be tested by the Company on the last day of each calendar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312" w:before="0" w:after="0"/>
        <w:jc w:val="left"/>
        <w:rPr/>
      </w:pPr>
      <w:r>
        <w:rPr/>
        <w:t> </w:t>
      </w:r>
    </w:p>
    <w:p>
      <w:pPr>
        <w:pStyle w:val="TextBody"/>
        <w:spacing w:lineRule="auto" w:line="312" w:before="0" w:after="240"/>
        <w:rPr/>
      </w:pPr>
      <w:r>
        <w:rPr>
          <w:rFonts w:ascii="Times New Roman" w:hAnsi="Times New Roman"/>
          <w:b w:val="false"/>
          <w:sz w:val="20"/>
        </w:rPr>
        <w:t xml:space="preserve">month following the Grant Date, beginning with September 30, 2021; </w:t>
      </w:r>
      <w:r>
        <w:rPr>
          <w:rFonts w:ascii="Times New Roman" w:hAnsi="Times New Roman"/>
          <w:b w:val="false"/>
          <w:sz w:val="20"/>
          <w:u w:val="single"/>
        </w:rPr>
        <w:t>provided</w:t>
      </w:r>
      <w:r>
        <w:rPr>
          <w:rFonts w:ascii="Times New Roman" w:hAnsi="Times New Roman"/>
          <w:b w:val="false"/>
          <w:sz w:val="20"/>
        </w:rPr>
        <w:t>, that if the fifth (5th) anniversary of the Grant Date occurs within the three (3) trading day period preceding the end of the calendar month in which such fifth (5th) anniversary of the Grant Date occurs, the day immediately preceding such fifth (5th) anniversary of the Grant Date shall be the final testing date for purposes of this Section. For the avoidance of doubt, the performance-based vesting conditions with respect to any thirty (30) consecutive trading day period shall not be deemed to be achieved for purposes of this Section 2 prior to the testing date on the last day of the applicable calendar month following achievement of the designated Share Price. The four (4) relevant performance-based tranches and their respective performance-based vesting conditions are set forth below:</w:t>
      </w:r>
      <w:r>
        <w:rPr/>
        <w:t xml:space="preserve"> </w:t>
      </w:r>
    </w:p>
    <w:tbl>
      <w:tblPr>
        <w:tblW w:w="4682" w:type="dxa"/>
        <w:jc w:val="left"/>
        <w:tblInd w:w="0" w:type="dxa"/>
        <w:tblCellMar>
          <w:top w:w="28" w:type="dxa"/>
          <w:left w:w="28" w:type="dxa"/>
          <w:bottom w:w="28" w:type="dxa"/>
          <w:right w:w="28" w:type="dxa"/>
        </w:tblCellMar>
      </w:tblPr>
      <w:tblGrid>
        <w:gridCol w:w="2566"/>
        <w:gridCol w:w="2116"/>
      </w:tblGrid>
      <w:tr>
        <w:trPr/>
        <w:tc>
          <w:tcPr>
            <w:tcW w:w="2566"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r>
      <w:tr>
        <w:trPr/>
        <w:tc>
          <w:tcPr>
            <w:tcW w:w="256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lineRule="auto" w:line="312" w:before="120" w:after="120"/>
              <w:ind w:left="0" w:right="0" w:hanging="0"/>
              <w:jc w:val="center"/>
              <w:rPr>
                <w:rFonts w:ascii="Times New Roman" w:hAnsi="Times New Roman"/>
                <w:b/>
                <w:sz w:val="20"/>
                <w:u w:val="single"/>
              </w:rPr>
            </w:pPr>
            <w:r>
              <w:rPr>
                <w:rFonts w:ascii="Times New Roman" w:hAnsi="Times New Roman"/>
                <w:b/>
                <w:sz w:val="20"/>
                <w:u w:val="single"/>
              </w:rPr>
              <w:t>Performance-Based Tranche</w:t>
            </w:r>
          </w:p>
        </w:tc>
        <w:tc>
          <w:tcPr>
            <w:tcW w:w="211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lineRule="auto" w:line="312" w:before="120" w:after="120"/>
              <w:ind w:left="0" w:right="0" w:hanging="0"/>
              <w:jc w:val="center"/>
              <w:rPr>
                <w:rFonts w:ascii="Times New Roman" w:hAnsi="Times New Roman"/>
                <w:b/>
                <w:sz w:val="20"/>
                <w:u w:val="single"/>
              </w:rPr>
            </w:pPr>
            <w:r>
              <w:rPr>
                <w:rFonts w:ascii="Times New Roman" w:hAnsi="Times New Roman"/>
                <w:b/>
                <w:sz w:val="20"/>
                <w:u w:val="single"/>
              </w:rPr>
              <w:t>Designated Share Price</w:t>
            </w:r>
          </w:p>
        </w:tc>
      </w:tr>
      <w:tr>
        <w:trPr/>
        <w:tc>
          <w:tcPr>
            <w:tcW w:w="256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$15 Tranche</w:t>
              <w:br/>
              <w:t>([30%] Total RSUs)</w:t>
            </w:r>
          </w:p>
        </w:tc>
        <w:tc>
          <w:tcPr>
            <w:tcW w:w="21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$15.00</w:t>
            </w:r>
          </w:p>
        </w:tc>
      </w:tr>
      <w:tr>
        <w:trPr/>
        <w:tc>
          <w:tcPr>
            <w:tcW w:w="256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$20 Tranche</w:t>
              <w:br/>
              <w:t>([65%] Total RSUs)</w:t>
            </w:r>
          </w:p>
        </w:tc>
        <w:tc>
          <w:tcPr>
            <w:tcW w:w="21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$20.00</w:t>
            </w:r>
          </w:p>
        </w:tc>
      </w:tr>
      <w:tr>
        <w:trPr/>
        <w:tc>
          <w:tcPr>
            <w:tcW w:w="256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$25 Tranche</w:t>
              <w:br/>
              <w:t>([82.5%] Total RSUs)</w:t>
            </w:r>
          </w:p>
        </w:tc>
        <w:tc>
          <w:tcPr>
            <w:tcW w:w="21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$25.00</w:t>
            </w:r>
          </w:p>
        </w:tc>
      </w:tr>
      <w:tr>
        <w:trPr/>
        <w:tc>
          <w:tcPr>
            <w:tcW w:w="256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$30 Tranche</w:t>
              <w:br/>
              <w:t>([100%] Total RSUs)</w:t>
            </w:r>
          </w:p>
        </w:tc>
        <w:tc>
          <w:tcPr>
            <w:tcW w:w="21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312" w:before="120" w:after="120"/>
              <w:ind w:left="0" w:right="0" w:hanging="0"/>
              <w:jc w:val="center"/>
              <w:rPr>
                <w:rFonts w:ascii="Times New Roman" w:hAnsi="Times New Roman"/>
                <w:b w:val="false"/>
                <w:sz w:val="20"/>
              </w:rPr>
            </w:pPr>
            <w:r>
              <w:rPr>
                <w:rFonts w:ascii="Times New Roman" w:hAnsi="Times New Roman"/>
                <w:b w:val="false"/>
                <w:sz w:val="20"/>
              </w:rPr>
              <w:t>$30.00</w:t>
            </w:r>
          </w:p>
        </w:tc>
      </w:tr>
    </w:tbl>
    <w:p>
      <w:pPr>
        <w:pStyle w:val="TextBody"/>
        <w:spacing w:lineRule="auto" w:line="312" w:before="0" w:after="240"/>
        <w:jc w:val="left"/>
        <w:rPr/>
      </w:pPr>
      <w:r>
        <w:rPr/>
        <w:t> </w:t>
      </w:r>
    </w:p>
    <w:p>
      <w:pPr>
        <w:pStyle w:val="TextBody"/>
        <w:spacing w:lineRule="auto" w:line="312" w:before="0" w:after="240"/>
        <w:jc w:val="left"/>
        <w:rPr>
          <w:rFonts w:ascii="Times New Roman" w:hAnsi="Times New Roman"/>
          <w:sz w:val="20"/>
        </w:rPr>
      </w:pPr>
      <w:r>
        <w:rPr>
          <w:rFonts w:ascii="Times New Roman" w:hAnsi="Times New Roman"/>
          <w:b w:val="false"/>
          <w:sz w:val="20"/>
        </w:rPr>
        <w:t>For purposes of this Section, “</w:t>
      </w:r>
      <w:r>
        <w:rPr>
          <w:rFonts w:ascii="Times New Roman" w:hAnsi="Times New Roman"/>
          <w:b w:val="false"/>
          <w:sz w:val="20"/>
          <w:u w:val="single"/>
        </w:rPr>
        <w:t>Share Price</w:t>
      </w:r>
      <w:r>
        <w:rPr>
          <w:rFonts w:ascii="Times New Roman" w:hAnsi="Times New Roman"/>
          <w:sz w:val="20"/>
        </w:rPr>
        <w:t xml:space="preserve">” </w:t>
      </w:r>
      <w:r>
        <w:rPr>
          <w:rFonts w:ascii="Times New Roman" w:hAnsi="Times New Roman"/>
          <w:b w:val="false"/>
          <w:sz w:val="20"/>
        </w:rPr>
        <w:t>means, on any date on or following June 25, 2021 and prior to the fifth (5th) anniversary of the Grant Date, the closing sale price per Share reported on such date.</w:t>
      </w:r>
    </w:p>
    <w:p>
      <w:pPr>
        <w:pStyle w:val="TextBody"/>
        <w:spacing w:lineRule="auto" w:line="312" w:before="0" w:after="240"/>
        <w:rPr>
          <w:rFonts w:ascii="Times New Roman" w:hAnsi="Times New Roman"/>
          <w:b w:val="false"/>
          <w:sz w:val="20"/>
        </w:rPr>
      </w:pPr>
      <w:r>
        <w:rPr>
          <w:rFonts w:ascii="Times New Roman" w:hAnsi="Times New Roman"/>
          <w:b w:val="false"/>
          <w:sz w:val="20"/>
        </w:rPr>
        <w:t>(c)</w:t>
      </w:r>
    </w:p>
    <w:p>
      <w:pPr>
        <w:pStyle w:val="TextBody"/>
        <w:spacing w:lineRule="auto" w:line="312" w:before="0" w:after="240"/>
        <w:rPr/>
      </w:pPr>
      <w:r>
        <w:rPr>
          <w:rFonts w:ascii="Times New Roman" w:hAnsi="Times New Roman"/>
          <w:b w:val="false"/>
          <w:sz w:val="20"/>
          <w:u w:val="single"/>
        </w:rPr>
        <w:t>Linear Interpolation and High Water Mark</w:t>
      </w:r>
      <w:r>
        <w:rPr>
          <w:rFonts w:ascii="Times New Roman" w:hAnsi="Times New Roman"/>
          <w:b w:val="false"/>
          <w:sz w:val="20"/>
        </w:rPr>
        <w:t>. If the Share Price achieved (as determined in accordance with Section 2(b) hereof) is greater than $15 but less than $20, greater than $20 but less than the $25, or greater than $25 but less than the $30, then the number of RSUs for which the performance-based vesting conditions shall be deemed to be satisfied shall be determined by linear interpolation between the number of RSUs that would have vested at the defined ends of the applicable Share Price spectrums. Once any Share Price is determined to be achieved in accordance with Section 2(b) hereof and this Section 2(c), the performance-based vesting conditions shall be deemed to be irrevocably satisfied with respect to such Share Price (the “</w:t>
      </w:r>
      <w:r>
        <w:rPr>
          <w:rFonts w:ascii="Times New Roman" w:hAnsi="Times New Roman"/>
          <w:b w:val="false"/>
          <w:sz w:val="20"/>
          <w:u w:val="single"/>
        </w:rPr>
        <w:t>High Water Mark</w:t>
      </w:r>
      <w:r>
        <w:rPr/>
        <w:t>”</w:t>
      </w:r>
      <w:r>
        <w:rPr>
          <w:rFonts w:ascii="Times New Roman" w:hAnsi="Times New Roman"/>
          <w:b w:val="false"/>
          <w:sz w:val="20"/>
        </w:rPr>
        <w:t xml:space="preserve">), even if the price per Share declines thereafter. Except as provided in Section 3(d) hereof, none of the performance-based vesting conditions shall be satisfied if the highest Share Price achieved prior to the fifth (5th) anniversary of the Grant Date is less than $15, and no additional RSUs in excess of the number set forth in Section 1 hereof shall be granted or vested pursuant to this Agreement if the Share Price achieved prior to the fifth (5th) anniversary of the Grant Date is greater than $30. On the fifth (5th) anniversary of the Grant Date, any RSUs that have not vested in accordance with Section 2 or 3 hereof shall immediately terminate without the payment of any consideration. </w:t>
      </w:r>
    </w:p>
    <w:p>
      <w:pPr>
        <w:pStyle w:val="TextBody"/>
        <w:spacing w:lineRule="auto" w:line="312" w:before="0" w:after="240"/>
        <w:rPr>
          <w:rFonts w:ascii="Times New Roman" w:hAnsi="Times New Roman"/>
          <w:b w:val="false"/>
          <w:sz w:val="20"/>
        </w:rPr>
      </w:pPr>
      <w:r>
        <w:rPr>
          <w:rFonts w:ascii="Times New Roman" w:hAnsi="Times New Roman"/>
          <w:b w:val="false"/>
          <w:sz w:val="20"/>
        </w:rPr>
        <w:t>3.</w:t>
      </w:r>
    </w:p>
    <w:p>
      <w:pPr>
        <w:pStyle w:val="TextBody"/>
        <w:spacing w:lineRule="auto" w:line="312" w:before="0" w:after="240"/>
        <w:rPr/>
      </w:pPr>
      <w:r>
        <w:rPr>
          <w:rFonts w:ascii="Times New Roman" w:hAnsi="Times New Roman"/>
          <w:b w:val="false"/>
          <w:sz w:val="20"/>
          <w:u w:val="single"/>
        </w:rPr>
        <w:t>Termination</w:t>
      </w:r>
      <w:r>
        <w:rPr>
          <w:rFonts w:ascii="Times New Roman" w:hAnsi="Times New Roman"/>
          <w:b w:val="false"/>
          <w:sz w:val="20"/>
        </w:rPr>
        <w:t>.</w:t>
      </w:r>
    </w:p>
    <w:p>
      <w:pPr>
        <w:pStyle w:val="TextBody"/>
        <w:spacing w:lineRule="auto" w:line="312" w:before="0" w:after="240"/>
        <w:rPr>
          <w:rFonts w:ascii="Times New Roman" w:hAnsi="Times New Roman"/>
          <w:b w:val="false"/>
          <w:sz w:val="20"/>
        </w:rPr>
      </w:pPr>
      <w:r>
        <w:rPr>
          <w:rFonts w:ascii="Times New Roman" w:hAnsi="Times New Roman"/>
          <w:b w:val="false"/>
          <w:sz w:val="20"/>
        </w:rPr>
        <w:t>(a)</w:t>
      </w:r>
    </w:p>
    <w:p>
      <w:pPr>
        <w:pStyle w:val="TextBody"/>
        <w:spacing w:lineRule="auto" w:line="312" w:before="0" w:after="240"/>
        <w:rPr>
          <w:rFonts w:ascii="Times New Roman" w:hAnsi="Times New Roman"/>
          <w:b w:val="false"/>
          <w:sz w:val="20"/>
        </w:rPr>
      </w:pPr>
      <w:r>
        <w:rPr>
          <w:rFonts w:ascii="Times New Roman" w:hAnsi="Times New Roman"/>
          <w:b w:val="false"/>
          <w:sz w:val="20"/>
        </w:rPr>
        <w:t>Except as provided in this Section 3, if the Grantee’s employment [as a Working Partner] is terminated for any reason prior to the final Vesting Date, any outstanding RSUs that have not satisfied both the service-based vesting condition and the performance-based vesting condition as of the date of such termination shall immediately terminate without the payment of any consideration.</w:t>
      </w:r>
    </w:p>
    <w:p>
      <w:pPr>
        <w:pStyle w:val="TextBody"/>
        <w:spacing w:lineRule="auto" w:line="312" w:before="0" w:after="240"/>
        <w:rPr>
          <w:rFonts w:ascii="Times New Roman" w:hAnsi="Times New Roman"/>
          <w:b w:val="false"/>
          <w:sz w:val="20"/>
        </w:rPr>
      </w:pPr>
      <w:r>
        <w:rPr>
          <w:rFonts w:ascii="Times New Roman" w:hAnsi="Times New Roman"/>
          <w:b w:val="false"/>
          <w:sz w:val="20"/>
        </w:rPr>
        <w:t>(b)</w:t>
      </w:r>
    </w:p>
    <w:p>
      <w:pPr>
        <w:pStyle w:val="TextBody"/>
        <w:spacing w:lineRule="auto" w:line="312" w:before="0" w:after="240"/>
        <w:rPr>
          <w:rFonts w:ascii="Times New Roman" w:hAnsi="Times New Roman"/>
          <w:b w:val="false"/>
          <w:sz w:val="20"/>
        </w:rPr>
      </w:pPr>
      <w:r>
        <w:rPr>
          <w:rFonts w:ascii="Times New Roman" w:hAnsi="Times New Roman"/>
          <w:b w:val="false"/>
          <w:sz w:val="20"/>
        </w:rPr>
        <w:t xml:space="preserve">If the Grantee’s employment [as a Working Partner] is terminated prior to the final Vesting Date by the Company without Cause or by the Grantee for Good Reason (as defined in Section 3(f) hereof), and provided that the Grantee satisfies the requirements set forth in Section 3(e) hereof, then (i) the service-based vesting condition shall be deemed to be fully satisfied with respect to a pro-rata portion of each time-based tranche of RSUs that has not yet satisfied the service-based vesting condition, with such pro-rata portion determined by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312" w:before="0" w:after="0"/>
        <w:jc w:val="left"/>
        <w:rPr/>
      </w:pPr>
      <w:r>
        <w:rPr/>
        <w:t> </w:t>
      </w:r>
    </w:p>
    <w:p>
      <w:pPr>
        <w:pStyle w:val="TextBody"/>
        <w:spacing w:lineRule="auto" w:line="312" w:before="0" w:after="240"/>
        <w:rPr/>
      </w:pPr>
      <w:r>
        <w:rPr>
          <w:rFonts w:ascii="Times New Roman" w:hAnsi="Times New Roman"/>
          <w:b w:val="false"/>
          <w:sz w:val="20"/>
        </w:rPr>
        <w:t xml:space="preserve">multiplying the number of RSUs subject to each such time-based tranche by a fraction, the numerator of which is the number of full months from the Grant Date to the Grantee’s date of termination, and the denominator of which is the number of full months from the Grant Date to each applicable Vesting Date set forth in Section 2(a) hereof;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that</w:t>
      </w:r>
      <w:r>
        <w:rPr>
          <w:rFonts w:ascii="Times New Roman" w:hAnsi="Times New Roman"/>
          <w:b w:val="false"/>
          <w:sz w:val="20"/>
        </w:rPr>
        <w:t>, in no event shall the service-based vesting condition be deemed to be fully satisfied with respect to a number of RSUs that is less than fifty percent (50%) of the total number of RSUs granted hereunder and (ii) any outstanding RSUs with respect to which the service-based vesting condition has been satisfied as of the date of termination (including pursuant to clause (i) of this Section) shall either (x) to the extent that the applicable performance-based vesting conditions have not yet been satisfied as of the Grantee’s date of termination, remain outstanding and eligible to vest subject to the achievement of the applicable performance-based vesting conditions prior to the fifth (5th) anniversary of the Grant Date (the achievement of which shall be tested by the Company on the last day of each calendar month following the Grantee’s date of termination in accordance with Section 2(b) hereof) or (y) to the extent that the applicable performance-based vesting conditions have been satisfied as of the Grantee’s date of termination, immediately vest as of the date of termination.</w:t>
      </w:r>
    </w:p>
    <w:p>
      <w:pPr>
        <w:pStyle w:val="TextBody"/>
        <w:spacing w:lineRule="auto" w:line="312" w:before="0" w:after="240"/>
        <w:rPr>
          <w:rFonts w:ascii="Times New Roman" w:hAnsi="Times New Roman"/>
          <w:b w:val="false"/>
          <w:sz w:val="20"/>
        </w:rPr>
      </w:pPr>
      <w:r>
        <w:rPr>
          <w:rFonts w:ascii="Times New Roman" w:hAnsi="Times New Roman"/>
          <w:b w:val="false"/>
          <w:sz w:val="20"/>
        </w:rPr>
        <w:t>(c)</w:t>
      </w:r>
    </w:p>
    <w:p>
      <w:pPr>
        <w:pStyle w:val="TextBody"/>
        <w:spacing w:lineRule="auto" w:line="312" w:before="0" w:after="240"/>
        <w:rPr>
          <w:rFonts w:ascii="Times New Roman" w:hAnsi="Times New Roman"/>
          <w:b w:val="false"/>
          <w:sz w:val="20"/>
        </w:rPr>
      </w:pPr>
      <w:r>
        <w:rPr>
          <w:rFonts w:ascii="Times New Roman" w:hAnsi="Times New Roman"/>
          <w:b w:val="false"/>
          <w:sz w:val="20"/>
        </w:rPr>
        <w:t xml:space="preserve">If the Grantee’s employment [as a Working Partner] is terminated prior to the final Vesting Date due to the Grantee’s Incapacity, and provided that the Grantee satisfies the requirements set forth in Section 3(e) hereof, then (i) the service-based condition shall be deemed to be fully satisfied with respect to all of the RSUs granted hereunder and (ii) any outstanding RSUs with respect to which the service-based condition has been satisfied as of the date of termination (including pursuant to clause (i) of this Section) shall either (x) to the extent that the applicable performance-based vesting conditions have not yet been satisfied as of the Grantee’s date of termination, remain outstanding and eligible to vest subject to the achievement of the applicable performance-based vesting conditions prior to the fifth (5th) anniversary of the Grant Date (the achievement of which shall be tested by the Company on the last day of each calendar month following the Grantee’s date of termination in accordance with Section 2(b) hereof) or (y) to the extent that the applicable performance-based vesting conditions have been satisfied as of the Grantee’s date of termination, immediately vest as of the date of termination. </w:t>
      </w:r>
    </w:p>
    <w:p>
      <w:pPr>
        <w:pStyle w:val="TextBody"/>
        <w:spacing w:lineRule="auto" w:line="312" w:before="0" w:after="240"/>
        <w:rPr>
          <w:rFonts w:ascii="Times New Roman" w:hAnsi="Times New Roman"/>
          <w:b w:val="false"/>
          <w:sz w:val="20"/>
        </w:rPr>
      </w:pPr>
      <w:r>
        <w:rPr>
          <w:rFonts w:ascii="Times New Roman" w:hAnsi="Times New Roman"/>
          <w:b w:val="false"/>
          <w:sz w:val="20"/>
        </w:rPr>
        <w:t>(d)</w:t>
      </w:r>
    </w:p>
    <w:p>
      <w:pPr>
        <w:pStyle w:val="TextBody"/>
        <w:spacing w:lineRule="auto" w:line="312" w:before="0" w:after="240"/>
        <w:rPr/>
      </w:pPr>
      <w:r>
        <w:rPr>
          <w:rFonts w:ascii="Times New Roman" w:hAnsi="Times New Roman"/>
          <w:b w:val="false"/>
          <w:sz w:val="20"/>
        </w:rPr>
        <w:t>If a Change in Control occurs on or prior to the fifth (5th) anniversary of the Grant Date, achievement of the performance-based vesting conditions shall be measured as of the Change in Control using the price per Share received by the Company’s shareholders in connection with such Change in Control as the Share Price for purposes of Section 2(b) hereof (such price per Share, the “</w:t>
      </w:r>
      <w:r>
        <w:rPr>
          <w:rFonts w:ascii="Times New Roman" w:hAnsi="Times New Roman"/>
          <w:b w:val="false"/>
          <w:sz w:val="20"/>
          <w:u w:val="single"/>
        </w:rPr>
        <w:t>Change in Control Price</w:t>
      </w:r>
      <w:r>
        <w:rPr/>
        <w:t>”</w:t>
      </w:r>
      <w:r>
        <w:rPr>
          <w:rFonts w:ascii="Times New Roman" w:hAnsi="Times New Roman"/>
          <w:b w:val="false"/>
          <w:sz w:val="20"/>
        </w:rPr>
        <w:t xml:space="preserve">);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that</w:t>
      </w:r>
      <w:r>
        <w:rPr>
          <w:rFonts w:ascii="Times New Roman" w:hAnsi="Times New Roman"/>
          <w:b w:val="false"/>
          <w:sz w:val="20"/>
        </w:rPr>
        <w:t xml:space="preserve">, notwithstanding the foregoing, the Change in Control Price shall in any event be no less than the greater of (i) $15.00 per Share and (ii) the High Water Mark. Any RSUs for which the performance-based vesting conditions have not been achieved as of the Change in Control in accordance with the preceding sentence shall immediately terminate without the payment of any consideration. Following the Change in Control, such RSUs for which the performance-based vesting conditions have been achieved shall remain outstanding and eligible to vest subject to the achievement of the time-based vesting conditions set forth in Section 2(a) hereof;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that</w:t>
      </w:r>
      <w:r>
        <w:rPr/>
        <w:t xml:space="preserve"> </w:t>
      </w:r>
      <w:r>
        <w:rPr>
          <w:rFonts w:ascii="Times New Roman" w:hAnsi="Times New Roman"/>
          <w:b w:val="false"/>
          <w:sz w:val="20"/>
        </w:rPr>
        <w:t xml:space="preserve">if the applicable time-based vesting condition has already been satisfied with respect to any portion of such RSUs as of the Change in Control, such portion of the RSUs shall immediately vest as of the date of the Change in Control;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further</w:t>
      </w:r>
      <w:r>
        <w:rPr>
          <w:rFonts w:ascii="Times New Roman" w:hAnsi="Times New Roman"/>
          <w:b w:val="false"/>
          <w:sz w:val="20"/>
        </w:rPr>
        <w:t xml:space="preserve">, </w:t>
      </w:r>
      <w:r>
        <w:rPr>
          <w:rFonts w:ascii="Times New Roman" w:hAnsi="Times New Roman"/>
          <w:b w:val="false"/>
          <w:sz w:val="20"/>
          <w:u w:val="single"/>
        </w:rPr>
        <w:t>that</w:t>
      </w:r>
      <w:r>
        <w:rPr/>
        <w:t xml:space="preserve"> </w:t>
      </w:r>
      <w:r>
        <w:rPr>
          <w:rFonts w:ascii="Times New Roman" w:hAnsi="Times New Roman"/>
          <w:b w:val="false"/>
          <w:sz w:val="20"/>
        </w:rPr>
        <w:t>if the Grantee’s employment [as a Working Partner] is terminated by the Company without Cause or by the Grantee for Good Reason, in each case prior to twenty-four (24) months following the Change in Control, then any remaining service-based vesting conditions shall be deemed to be fully satisfied with respect to such RSUs and such RSUs shall immediately vest as of the Grantee’s date of termination.</w:t>
      </w:r>
    </w:p>
    <w:p>
      <w:pPr>
        <w:pStyle w:val="TextBody"/>
        <w:spacing w:lineRule="auto" w:line="312" w:before="0" w:after="240"/>
        <w:rPr>
          <w:rFonts w:ascii="Times New Roman" w:hAnsi="Times New Roman"/>
          <w:b w:val="false"/>
          <w:sz w:val="20"/>
        </w:rPr>
      </w:pPr>
      <w:r>
        <w:rPr>
          <w:rFonts w:ascii="Times New Roman" w:hAnsi="Times New Roman"/>
          <w:b w:val="false"/>
          <w:sz w:val="20"/>
        </w:rPr>
        <w:t>(e)</w:t>
      </w:r>
    </w:p>
    <w:p>
      <w:pPr>
        <w:pStyle w:val="TextBody"/>
        <w:spacing w:lineRule="auto" w:line="312" w:before="0" w:after="240"/>
        <w:rPr/>
      </w:pPr>
      <w:r>
        <w:rPr>
          <w:rFonts w:ascii="Times New Roman" w:hAnsi="Times New Roman"/>
          <w:b w:val="false"/>
          <w:sz w:val="20"/>
        </w:rPr>
        <w:t>To be eligible to receive the benefits set forth in Sections 3(b) and (c) hereof, the Grantee shall be required to (x) execute a general release of claims in favor of the Company in a form satisfactory to the Company (the “</w:t>
      </w:r>
      <w:r>
        <w:rPr>
          <w:rFonts w:ascii="Times New Roman" w:hAnsi="Times New Roman"/>
          <w:b w:val="false"/>
          <w:sz w:val="20"/>
          <w:u w:val="single"/>
        </w:rPr>
        <w:t>Release</w:t>
      </w:r>
      <w:r>
        <w:rPr/>
        <w:t>”</w:t>
      </w:r>
      <w:r>
        <w:rPr>
          <w:rFonts w:ascii="Times New Roman" w:hAnsi="Times New Roman"/>
          <w:b w:val="false"/>
          <w:sz w:val="20"/>
        </w:rPr>
        <w:t>) and such Release must become effective (following the expiration of any applicable revocation period) within fifty-two (52) days following the date of termination (or such shorter period as may be specified in the Release in accordance with applicable law), (y) except in the case of a termination set forth in Section 3(b) hereof, not Compete with the Company during the Non-Compete Period and (z) continue to comply with all of the Restrictive Covenants (as defined in Section 6 hereof). Determination as to whether the Grantee has Competed during the Non-Compete Period shall be made in good faith by the Company.</w:t>
      </w:r>
    </w:p>
    <w:p>
      <w:pPr>
        <w:pStyle w:val="TextBody"/>
        <w:spacing w:lineRule="auto" w:line="312" w:before="0" w:after="240"/>
        <w:rPr>
          <w:rFonts w:ascii="Times New Roman" w:hAnsi="Times New Roman"/>
          <w:b w:val="false"/>
          <w:sz w:val="20"/>
        </w:rPr>
      </w:pPr>
      <w:r>
        <w:rPr>
          <w:rFonts w:ascii="Times New Roman" w:hAnsi="Times New Roman"/>
          <w:b w:val="false"/>
          <w:sz w:val="20"/>
        </w:rPr>
        <w:t>(f)</w:t>
      </w:r>
    </w:p>
    <w:p>
      <w:pPr>
        <w:pStyle w:val="TextBody"/>
        <w:spacing w:lineRule="auto" w:line="312" w:before="0" w:after="240"/>
        <w:rPr>
          <w:rFonts w:ascii="Times New Roman" w:hAnsi="Times New Roman"/>
          <w:b w:val="false"/>
          <w:sz w:val="20"/>
        </w:rPr>
      </w:pPr>
      <w:r>
        <w:rPr>
          <w:rFonts w:ascii="Times New Roman" w:hAnsi="Times New Roman"/>
          <w:b w:val="false"/>
          <w:sz w:val="20"/>
        </w:rPr>
        <w:t>For purposes of this Section, the following terms have the respective meanings ascribed to them in this Section 3(f):</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312" w:before="0" w:after="0"/>
        <w:jc w:val="left"/>
        <w:rPr/>
      </w:pPr>
      <w:r>
        <w:rPr/>
        <w:t> </w:t>
      </w:r>
    </w:p>
    <w:p>
      <w:pPr>
        <w:pStyle w:val="TextBody"/>
        <w:spacing w:lineRule="auto" w:line="312" w:before="0" w:after="240"/>
        <w:jc w:val="left"/>
        <w:rPr/>
      </w:pPr>
      <w:r>
        <w:rPr/>
        <w:t>“</w:t>
      </w:r>
      <w:r>
        <w:rPr>
          <w:rFonts w:ascii="Times New Roman" w:hAnsi="Times New Roman"/>
          <w:b w:val="false"/>
          <w:sz w:val="20"/>
          <w:u w:val="single"/>
        </w:rPr>
        <w:t>Good Reason</w:t>
      </w:r>
      <w:r>
        <w:rPr>
          <w:rFonts w:ascii="Times New Roman" w:hAnsi="Times New Roman"/>
          <w:sz w:val="20"/>
        </w:rPr>
        <w:t xml:space="preserve">” </w:t>
      </w:r>
      <w:r>
        <w:rPr>
          <w:rFonts w:ascii="Times New Roman" w:hAnsi="Times New Roman"/>
          <w:b w:val="false"/>
          <w:sz w:val="20"/>
        </w:rPr>
        <w:t xml:space="preserve">means the occurrence or existence of any of the following: (a) any relocation of the Grantee’s principal place of work that increases the Grantee’s one-way commute by more than fifty (50) miles, (b) a material breach by a PWP Entity of any material contractual obligation relating to compensation owed to the Grantee or (c) for the twenty-four (24) month period following the occurrence of a Change in Control, any material adverse change in the Grantee’s position, authority, privileges, duties, responsibilities or reporting relationships. Notwithstanding the foregoing, a Good Reason event shall not be deemed to have occurred unless: (i) the Grantee provides written notice to the Administrator of the event giving rise to Good Reason within thirty (30) days following the date of occurrence of such event and (ii) the Administrator fails to cure such event within thirty (30) days of receipt of such notice;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that</w:t>
      </w:r>
      <w:r>
        <w:rPr>
          <w:rFonts w:ascii="Times New Roman" w:hAnsi="Times New Roman"/>
          <w:sz w:val="20"/>
        </w:rPr>
        <w:t xml:space="preserve"> </w:t>
      </w:r>
      <w:r>
        <w:rPr>
          <w:rFonts w:ascii="Times New Roman" w:hAnsi="Times New Roman"/>
          <w:b w:val="false"/>
          <w:sz w:val="20"/>
        </w:rPr>
        <w:t>Good Reason shall cease to exist for an event on the ninetieth (90th) day following the date of occurrence of such event if the Grantee has not resigned for Good Reason due to such event by such date.</w:t>
      </w:r>
    </w:p>
    <w:p>
      <w:pPr>
        <w:pStyle w:val="TextBody"/>
        <w:spacing w:lineRule="auto" w:line="312" w:before="0" w:after="240"/>
        <w:jc w:val="left"/>
        <w:rPr/>
      </w:pPr>
      <w:r>
        <w:rPr/>
        <w:t>“</w:t>
      </w:r>
      <w:r>
        <w:rPr>
          <w:rFonts w:ascii="Times New Roman" w:hAnsi="Times New Roman"/>
          <w:b w:val="false"/>
          <w:sz w:val="20"/>
          <w:u w:val="single"/>
        </w:rPr>
        <w:t>Compete</w:t>
      </w:r>
      <w:r>
        <w:rPr>
          <w:rFonts w:ascii="Times New Roman" w:hAnsi="Times New Roman"/>
          <w:sz w:val="20"/>
        </w:rPr>
        <w:t xml:space="preserve">” </w:t>
      </w:r>
      <w:r>
        <w:rPr>
          <w:rFonts w:ascii="Times New Roman" w:hAnsi="Times New Roman"/>
          <w:b w:val="false"/>
          <w:sz w:val="20"/>
        </w:rPr>
        <w:t xml:space="preserve">means, the entering into a relationship by the Grantee as an employee, officer, member, partner, director, owner, stockholder, independent contractor, consultant, advisor or agent of, or aiding or assisting anyone who holds the position of “Partner” with the Firm, with, or providing services or advice to, a Competitive Enterprise (as defined in this Section 3(g)) following the termination of the Grantee’s employment, tenure or service, as applicable, with the Restricted Entities;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however</w:t>
      </w:r>
      <w:r>
        <w:rPr>
          <w:rFonts w:ascii="Times New Roman" w:hAnsi="Times New Roman"/>
          <w:b w:val="false"/>
          <w:sz w:val="20"/>
        </w:rPr>
        <w:t>, that, notwithstanding the foregoing, none of the following activities shall be considered activities that “Compete” with a Restricted Entity: (i) the Grantee making any passive equity investments in any fund or managed account offered or managed by any Competitive Enterprise; (ii) the Grantee (together with the Grantee’s spouse and lineal descendants (each, a “</w:t>
      </w:r>
      <w:r>
        <w:rPr>
          <w:rFonts w:ascii="Times New Roman" w:hAnsi="Times New Roman"/>
          <w:b w:val="false"/>
          <w:sz w:val="20"/>
          <w:u w:val="single"/>
        </w:rPr>
        <w:t>Family Member</w:t>
      </w:r>
      <w:r>
        <w:rPr>
          <w:rFonts w:ascii="Times New Roman" w:hAnsi="Times New Roman"/>
          <w:sz w:val="20"/>
        </w:rPr>
        <w:t>”</w:t>
      </w:r>
      <w:r>
        <w:rPr>
          <w:rFonts w:ascii="Times New Roman" w:hAnsi="Times New Roman"/>
          <w:b w:val="false"/>
          <w:sz w:val="20"/>
        </w:rPr>
        <w:t xml:space="preserve">)) acquiring beneficial ownership (within the meaning of Section 13(d) of the Exchange Act), as an investment, of less than 5% of a class of equity securities issued by any Competitive Enterprise so long as such securities are publicly traded; or (c) the Grantee providing investment advice and investment management services with respect to (x) the Grantee’s own personal assets and/or the personal assets of the Grantee’s Family Members and Estate Planning Vehicles (as defined in this Section 3(g)) (including establishing private partnerships, limited liability companies, trusts or similar entities and entities that operate such vehicles) or (y) any individual not-for-profit organization that qualifies as a tax-exempt Person under the applicable laws of the relevant jurisdiction;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further</w:t>
      </w:r>
      <w:r>
        <w:rPr>
          <w:rFonts w:ascii="Times New Roman" w:hAnsi="Times New Roman"/>
          <w:b w:val="false"/>
          <w:sz w:val="20"/>
        </w:rPr>
        <w:t>, that the Company may, in its discretion, provide a waiver to the Grantee for certain pre-existing investments or certain other activities of the Grantee that would otherwise constitute such Grantee “Competing.”</w:t>
      </w:r>
    </w:p>
    <w:p>
      <w:pPr>
        <w:pStyle w:val="TextBody"/>
        <w:spacing w:lineRule="auto" w:line="312" w:before="0" w:after="240"/>
        <w:jc w:val="left"/>
        <w:rPr/>
      </w:pPr>
      <w:r>
        <w:rPr/>
        <w:t>“</w:t>
      </w:r>
      <w:r>
        <w:rPr>
          <w:rFonts w:ascii="Times New Roman" w:hAnsi="Times New Roman"/>
          <w:b w:val="false"/>
          <w:sz w:val="20"/>
          <w:u w:val="single"/>
        </w:rPr>
        <w:t>Competitive Enterprise</w:t>
      </w:r>
      <w:r>
        <w:rPr>
          <w:rFonts w:ascii="Times New Roman" w:hAnsi="Times New Roman"/>
          <w:sz w:val="20"/>
        </w:rPr>
        <w:t xml:space="preserve">” </w:t>
      </w:r>
      <w:r>
        <w:rPr>
          <w:rFonts w:ascii="Times New Roman" w:hAnsi="Times New Roman"/>
          <w:b w:val="false"/>
          <w:sz w:val="20"/>
        </w:rPr>
        <w:t xml:space="preserve">means a business enterprise, including a special purpose acquisition vehicle or similar “blank check” entity, that engages or is preparing to engage in, or that owns or controls a significant interest in a Person that engages or is preparing to engage in, a Restricted Entity Business (as defined in this Section 3(g));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however</w:t>
      </w:r>
      <w:r>
        <w:rPr>
          <w:rFonts w:ascii="Times New Roman" w:hAnsi="Times New Roman"/>
          <w:b w:val="false"/>
          <w:sz w:val="20"/>
        </w:rPr>
        <w:t xml:space="preserve">, that such business enterprise shall not be considered a “Competitive Enterprise” if (i) such business enterprise also engages in lines of business or services that are separate, distinct and divisible from the Restricted Entity Businesses and (ii) the Grantee does not (A) provide services, confidential information, strategy or advice to any division of such business enterprise engaged in or preparing to engage in any Restricted Entity Business (including any individual working for, or providing services to, any such division), and (B) attend meetings where such business enterprise’s Restricted Entity Businesses are discussed, or where the Grantee could, even inadvertently, disclose confidential information of the Restricted Entities;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further</w:t>
      </w:r>
      <w:r>
        <w:rPr>
          <w:rFonts w:ascii="Times New Roman" w:hAnsi="Times New Roman"/>
          <w:b w:val="false"/>
          <w:sz w:val="20"/>
        </w:rPr>
        <w:t>, that, employment by or a position with a portfolio company of a private equity or investment management firm, which portfolio company is not itself a Competitive Enterprise, shall be deemed not to constitute engaging in a Restricted Entity Business.</w:t>
      </w:r>
    </w:p>
    <w:p>
      <w:pPr>
        <w:pStyle w:val="TextBody"/>
        <w:spacing w:lineRule="auto" w:line="312" w:before="0" w:after="240"/>
        <w:jc w:val="left"/>
        <w:rPr/>
      </w:pPr>
      <w:r>
        <w:rPr/>
        <w:t>“</w:t>
      </w:r>
      <w:r>
        <w:rPr>
          <w:rFonts w:ascii="Times New Roman" w:hAnsi="Times New Roman"/>
          <w:b w:val="false"/>
          <w:sz w:val="20"/>
          <w:u w:val="single"/>
        </w:rPr>
        <w:t>Estate Planning Vehicle</w:t>
      </w:r>
      <w:r>
        <w:rPr>
          <w:rFonts w:ascii="Times New Roman" w:hAnsi="Times New Roman"/>
          <w:sz w:val="20"/>
        </w:rPr>
        <w:t xml:space="preserve">” </w:t>
      </w:r>
      <w:r>
        <w:rPr>
          <w:rFonts w:ascii="Times New Roman" w:hAnsi="Times New Roman"/>
          <w:b w:val="false"/>
          <w:sz w:val="20"/>
        </w:rPr>
        <w:t>means any trust or entity that (i) was created or formed by the Grantee or Family Members of the Grantee and (ii) is solely for the benefit, directly or indirectly, of the Grantee or Family Members of the Grantee.</w:t>
      </w:r>
    </w:p>
    <w:p>
      <w:pPr>
        <w:pStyle w:val="TextBody"/>
        <w:spacing w:lineRule="auto" w:line="312" w:before="0" w:after="240"/>
        <w:jc w:val="left"/>
        <w:rPr/>
      </w:pPr>
      <w:r>
        <w:rPr/>
        <w:t>“</w:t>
      </w:r>
      <w:r>
        <w:rPr>
          <w:rFonts w:ascii="Times New Roman" w:hAnsi="Times New Roman"/>
          <w:b w:val="false"/>
          <w:sz w:val="20"/>
          <w:u w:val="single"/>
        </w:rPr>
        <w:t>Non-Compete Period</w:t>
      </w:r>
      <w:r>
        <w:rPr>
          <w:rFonts w:ascii="Times New Roman" w:hAnsi="Times New Roman"/>
          <w:sz w:val="20"/>
        </w:rPr>
        <w:t xml:space="preserve">” </w:t>
      </w:r>
      <w:r>
        <w:rPr>
          <w:rFonts w:ascii="Times New Roman" w:hAnsi="Times New Roman"/>
          <w:b w:val="false"/>
          <w:sz w:val="20"/>
        </w:rPr>
        <w:t xml:space="preserve">means during the Grantee’s employment, tenure or service with or to the Firm, as applicable, and for a period of one (1) year following the cessation of such employment, tenure or service for any reason or no reason;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however</w:t>
      </w:r>
      <w:r>
        <w:rPr>
          <w:rFonts w:ascii="Times New Roman" w:hAnsi="Times New Roman"/>
          <w:b w:val="false"/>
          <w:sz w:val="20"/>
        </w:rPr>
        <w:t>, that the Grantee shall not be subject to a Non-Compete Period if the Grantee’s employment, tenure or service, as applicable, is terminated by the Company without Cause or by the Grantee for Good Reason.</w:t>
      </w:r>
    </w:p>
    <w:p>
      <w:pPr>
        <w:pStyle w:val="TextBody"/>
        <w:spacing w:lineRule="auto" w:line="312" w:before="0" w:after="240"/>
        <w:jc w:val="left"/>
        <w:rPr/>
      </w:pPr>
      <w:r>
        <w:rPr/>
        <w:t>“</w:t>
      </w:r>
      <w:r>
        <w:rPr>
          <w:rFonts w:ascii="Times New Roman" w:hAnsi="Times New Roman"/>
          <w:b w:val="false"/>
          <w:sz w:val="20"/>
          <w:u w:val="single"/>
        </w:rPr>
        <w:t>Restricted Entity Business</w:t>
      </w:r>
      <w:r>
        <w:rPr>
          <w:rFonts w:ascii="Times New Roman" w:hAnsi="Times New Roman"/>
          <w:sz w:val="20"/>
        </w:rPr>
        <w:t xml:space="preserve">” </w:t>
      </w:r>
      <w:r>
        <w:rPr>
          <w:rFonts w:ascii="Times New Roman" w:hAnsi="Times New Roman"/>
          <w:b w:val="false"/>
          <w:sz w:val="20"/>
        </w:rPr>
        <w:t>means investment banking, financial advisory services, private investing, merchant banking, private equity, asset or hedge fund management, any activities involving or relating to</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312" w:before="0" w:after="0"/>
        <w:jc w:val="left"/>
        <w:rPr/>
      </w:pPr>
      <w:r>
        <w:rPr/>
        <w:t> </w:t>
      </w:r>
    </w:p>
    <w:p>
      <w:pPr>
        <w:pStyle w:val="TextBody"/>
        <w:spacing w:lineRule="auto" w:line="312" w:before="0" w:after="240"/>
        <w:jc w:val="left"/>
        <w:rPr>
          <w:rFonts w:ascii="Times New Roman" w:hAnsi="Times New Roman"/>
          <w:b w:val="false"/>
          <w:sz w:val="20"/>
        </w:rPr>
      </w:pPr>
      <w:r>
        <w:rPr>
          <w:rFonts w:ascii="Times New Roman" w:hAnsi="Times New Roman"/>
          <w:b w:val="false"/>
          <w:sz w:val="20"/>
        </w:rPr>
        <w:t>the use or sponsorship of a special purpose acquisition vehicle or similar “blank check” entity, or any other line of business in which the Restricted Entities engage, are planning to engage (and with respect to which, the Grantee has prior notice of such plans) or were engaged during the two (2)-year period prior to the cessation of, for any reason or no reason, the Grantee’s employment, tenure or services (unless, during such two (2)-year period, the Restricted Entities ceased to engage in such business enterprise for reasons unrelated to the Grantee’s and with no intention, to the Grantee’s knowledge, to re-engage in such business enterprise).</w:t>
      </w:r>
    </w:p>
    <w:p>
      <w:pPr>
        <w:pStyle w:val="TextBody"/>
        <w:spacing w:lineRule="auto" w:line="312" w:before="0" w:after="240"/>
        <w:rPr>
          <w:rFonts w:ascii="Times New Roman" w:hAnsi="Times New Roman"/>
          <w:b w:val="false"/>
          <w:sz w:val="20"/>
        </w:rPr>
      </w:pPr>
      <w:r>
        <w:rPr>
          <w:rFonts w:ascii="Times New Roman" w:hAnsi="Times New Roman"/>
          <w:b w:val="false"/>
          <w:sz w:val="20"/>
        </w:rPr>
        <w:t>(g)</w:t>
      </w:r>
    </w:p>
    <w:p>
      <w:pPr>
        <w:pStyle w:val="TextBody"/>
        <w:spacing w:lineRule="auto" w:line="312" w:before="0" w:after="240"/>
        <w:rPr/>
      </w:pPr>
      <w:r>
        <w:rPr>
          <w:rFonts w:ascii="Times New Roman" w:hAnsi="Times New Roman"/>
          <w:b w:val="false"/>
          <w:sz w:val="20"/>
        </w:rPr>
        <w:t xml:space="preserve">Examples of the pro-ration calculations and treatment of outstanding RSUs in connection with certain qualifying terminations of employment described in this Section 3 are set forth on </w:t>
      </w:r>
      <w:r>
        <w:rPr>
          <w:rFonts w:ascii="Times New Roman" w:hAnsi="Times New Roman"/>
          <w:b w:val="false"/>
          <w:sz w:val="20"/>
          <w:u w:val="single"/>
        </w:rPr>
        <w:t>Exhibit A</w:t>
      </w:r>
      <w:r>
        <w:rPr/>
        <w:t xml:space="preserve"> </w:t>
      </w:r>
      <w:r>
        <w:rPr>
          <w:rFonts w:ascii="Times New Roman" w:hAnsi="Times New Roman"/>
          <w:b w:val="false"/>
          <w:sz w:val="20"/>
        </w:rPr>
        <w:t xml:space="preserve">hereto. </w:t>
      </w:r>
    </w:p>
    <w:p>
      <w:pPr>
        <w:pStyle w:val="TextBody"/>
        <w:spacing w:lineRule="auto" w:line="312" w:before="0" w:after="240"/>
        <w:rPr>
          <w:rFonts w:ascii="Times New Roman" w:hAnsi="Times New Roman"/>
          <w:b w:val="false"/>
          <w:sz w:val="20"/>
        </w:rPr>
      </w:pPr>
      <w:r>
        <w:rPr>
          <w:rFonts w:ascii="Times New Roman" w:hAnsi="Times New Roman"/>
          <w:b w:val="false"/>
          <w:sz w:val="20"/>
        </w:rPr>
        <w:t>4.</w:t>
      </w:r>
    </w:p>
    <w:p>
      <w:pPr>
        <w:pStyle w:val="TextBody"/>
        <w:spacing w:lineRule="auto" w:line="312" w:before="0" w:after="240"/>
        <w:rPr/>
      </w:pPr>
      <w:r>
        <w:rPr>
          <w:rFonts w:ascii="Times New Roman" w:hAnsi="Times New Roman"/>
          <w:b w:val="false"/>
          <w:sz w:val="20"/>
          <w:u w:val="single"/>
        </w:rPr>
        <w:t>Settlement of RSUs</w:t>
      </w:r>
      <w:r>
        <w:rPr>
          <w:rFonts w:ascii="Times New Roman" w:hAnsi="Times New Roman"/>
          <w:b w:val="false"/>
          <w:sz w:val="20"/>
        </w:rPr>
        <w:t xml:space="preserve">. Any Shares issuable in respect of RSUs that have satisfied both the service-based vesting condition and the performance-based vesting conditions set forth in Sections 2 and 3 hereof shall be delivered to the Grantee as soon as practicable and within sixty (60) days following the date that both vesting conditions have been satisfied, and in no event later than March 15 of the year following the year in which both vesting conditions have been satisfied. </w:t>
      </w:r>
    </w:p>
    <w:p>
      <w:pPr>
        <w:pStyle w:val="TextBody"/>
        <w:spacing w:lineRule="auto" w:line="312" w:before="0" w:after="240"/>
        <w:rPr>
          <w:rFonts w:ascii="Times New Roman" w:hAnsi="Times New Roman"/>
          <w:b w:val="false"/>
          <w:sz w:val="20"/>
        </w:rPr>
      </w:pPr>
      <w:r>
        <w:rPr>
          <w:rFonts w:ascii="Times New Roman" w:hAnsi="Times New Roman"/>
          <w:b w:val="false"/>
          <w:sz w:val="20"/>
        </w:rPr>
        <w:t>5.</w:t>
      </w:r>
    </w:p>
    <w:p>
      <w:pPr>
        <w:pStyle w:val="TextBody"/>
        <w:spacing w:lineRule="auto" w:line="312" w:before="0" w:after="240"/>
        <w:rPr/>
      </w:pPr>
      <w:r>
        <w:rPr>
          <w:rFonts w:ascii="Times New Roman" w:hAnsi="Times New Roman"/>
          <w:b w:val="false"/>
          <w:sz w:val="20"/>
          <w:u w:val="single"/>
        </w:rPr>
        <w:t>Voting and Dividend Equivalent Rights</w:t>
      </w:r>
      <w:r>
        <w:rPr>
          <w:rFonts w:ascii="Times New Roman" w:hAnsi="Times New Roman"/>
          <w:b w:val="false"/>
          <w:sz w:val="20"/>
        </w:rPr>
        <w:t xml:space="preserve">. The Grantee shall have no rights as a stockholder with respect to the RSUs (including the right to vote and the right to receive dividends) prior to the date that the underlying Shares are issued pursuant to this Agreement; </w:t>
      </w:r>
      <w:r>
        <w:rPr>
          <w:rFonts w:ascii="Times New Roman" w:hAnsi="Times New Roman"/>
          <w:b w:val="false"/>
          <w:sz w:val="20"/>
          <w:u w:val="single"/>
        </w:rPr>
        <w:t>provided</w:t>
      </w:r>
      <w:r>
        <w:rPr/>
        <w:t xml:space="preserve"> </w:t>
      </w:r>
      <w:r>
        <w:rPr>
          <w:rFonts w:ascii="Times New Roman" w:hAnsi="Times New Roman"/>
          <w:b w:val="false"/>
          <w:sz w:val="20"/>
        </w:rPr>
        <w:t>that if, during the period commencing on the Grant Date and ending on the date the underlying Shares are issued pursuant to this Agreement, the Company declares a dividend on its Shares, then the Grantee shall be eligible to receive an amount of cash equal to the product of (i) the number of Shares, if any, delivered to the Grantee following the vesting of the RSUs and (ii) the amount of cash distributed with respect to an outstanding Share during such period, which amount of cash shall be paid to the Grantee on or about the date such Shares are delivered to the Grantee. No interest or other earnings will be credited with respect to such payment.</w:t>
      </w:r>
    </w:p>
    <w:p>
      <w:pPr>
        <w:pStyle w:val="TextBody"/>
        <w:spacing w:lineRule="auto" w:line="312" w:before="0" w:after="240"/>
        <w:rPr>
          <w:rFonts w:ascii="Times New Roman" w:hAnsi="Times New Roman"/>
          <w:b w:val="false"/>
          <w:sz w:val="20"/>
        </w:rPr>
      </w:pPr>
      <w:r>
        <w:rPr>
          <w:rFonts w:ascii="Times New Roman" w:hAnsi="Times New Roman"/>
          <w:b w:val="false"/>
          <w:sz w:val="20"/>
        </w:rPr>
        <w:t>6.</w:t>
      </w:r>
    </w:p>
    <w:p>
      <w:pPr>
        <w:pStyle w:val="TextBody"/>
        <w:spacing w:lineRule="auto" w:line="312" w:before="0" w:after="240"/>
        <w:rPr/>
      </w:pPr>
      <w:r>
        <w:rPr>
          <w:rFonts w:ascii="Times New Roman" w:hAnsi="Times New Roman"/>
          <w:b w:val="false"/>
          <w:sz w:val="20"/>
          <w:u w:val="single"/>
        </w:rPr>
        <w:t>Restrictive Covenants</w:t>
      </w:r>
      <w:r>
        <w:rPr>
          <w:rFonts w:ascii="Times New Roman" w:hAnsi="Times New Roman"/>
          <w:b w:val="false"/>
          <w:sz w:val="20"/>
        </w:rPr>
        <w:t>. The Grantee acknowledges and agrees that the Grantee is bound by certain restrictive covenants in connection with the Grantee’s employment, tenure or service with the Company and its Affiliates, as applicable, which restrictive covenants may include, without limitation, confidentiality, non-solicitation, non-competition and non-disparagement covenants (as applicable, the “</w:t>
      </w:r>
      <w:r>
        <w:rPr>
          <w:rFonts w:ascii="Times New Roman" w:hAnsi="Times New Roman"/>
          <w:b w:val="false"/>
          <w:sz w:val="20"/>
          <w:u w:val="single"/>
        </w:rPr>
        <w:t>Restrictive Covenants</w:t>
      </w:r>
      <w:r>
        <w:rPr/>
        <w:t>”</w:t>
      </w:r>
      <w:r>
        <w:rPr>
          <w:rFonts w:ascii="Times New Roman" w:hAnsi="Times New Roman"/>
          <w:b w:val="false"/>
          <w:sz w:val="20"/>
        </w:rPr>
        <w:t>).  Such Restrictive Covenants may be contained in a partnership agreement, an employment agreement or a non-disclosure agreement, among others (as each may be amended, restated and in place from time to time). The Restrictive Covenants are incorporated by reference as if fully set forth herein and are hereby re-executed and reaffirmed.</w:t>
      </w:r>
    </w:p>
    <w:p>
      <w:pPr>
        <w:pStyle w:val="TextBody"/>
        <w:spacing w:lineRule="auto" w:line="312" w:before="0" w:after="240"/>
        <w:rPr>
          <w:rFonts w:ascii="Times New Roman" w:hAnsi="Times New Roman"/>
          <w:b w:val="false"/>
          <w:sz w:val="20"/>
        </w:rPr>
      </w:pPr>
      <w:r>
        <w:rPr>
          <w:rFonts w:ascii="Times New Roman" w:hAnsi="Times New Roman"/>
          <w:b w:val="false"/>
          <w:sz w:val="20"/>
        </w:rPr>
        <w:t>7.</w:t>
      </w:r>
    </w:p>
    <w:p>
      <w:pPr>
        <w:pStyle w:val="TextBody"/>
        <w:spacing w:lineRule="auto" w:line="312" w:before="0" w:after="240"/>
        <w:rPr/>
      </w:pPr>
      <w:r>
        <w:rPr>
          <w:rFonts w:ascii="Times New Roman" w:hAnsi="Times New Roman"/>
          <w:b w:val="false"/>
          <w:sz w:val="20"/>
          <w:u w:val="single"/>
        </w:rPr>
        <w:t>Agreement Subject to Plan</w:t>
      </w:r>
      <w:r>
        <w:rPr>
          <w:rFonts w:ascii="Times New Roman" w:hAnsi="Times New Roman"/>
          <w:b w:val="false"/>
          <w:sz w:val="20"/>
        </w:rPr>
        <w:t>. This Agreement is made pursuant to all of the provisions of the Plan, which is incorporated herein by this reference, and is intended, and shall be interpreted in a manner, to comply therewith. In the event of any conflict between the provisions of this Agreement and the provisions of the Plan, the provisions of the Plan shall govern.</w:t>
      </w:r>
    </w:p>
    <w:p>
      <w:pPr>
        <w:pStyle w:val="TextBody"/>
        <w:spacing w:lineRule="auto" w:line="312" w:before="0" w:after="240"/>
        <w:rPr>
          <w:rFonts w:ascii="Times New Roman" w:hAnsi="Times New Roman"/>
          <w:b w:val="false"/>
          <w:sz w:val="20"/>
        </w:rPr>
      </w:pPr>
      <w:r>
        <w:rPr>
          <w:rFonts w:ascii="Times New Roman" w:hAnsi="Times New Roman"/>
          <w:b w:val="false"/>
          <w:sz w:val="20"/>
        </w:rPr>
        <w:t>8.</w:t>
      </w:r>
    </w:p>
    <w:p>
      <w:pPr>
        <w:pStyle w:val="TextBody"/>
        <w:spacing w:lineRule="auto" w:line="312" w:before="0" w:after="240"/>
        <w:rPr/>
      </w:pPr>
      <w:r>
        <w:rPr>
          <w:rFonts w:ascii="Times New Roman" w:hAnsi="Times New Roman"/>
          <w:b w:val="false"/>
          <w:sz w:val="20"/>
          <w:u w:val="single"/>
        </w:rPr>
        <w:t>No Rights to Continuation of Employment, Tenure or Service</w:t>
      </w:r>
      <w:r>
        <w:rPr>
          <w:rFonts w:ascii="Times New Roman" w:hAnsi="Times New Roman"/>
          <w:b w:val="false"/>
          <w:sz w:val="20"/>
        </w:rPr>
        <w:t>. Nothing in the Plan or this Agreement shall confer upon the Grantee any right to continue in the employment or service of the Company or any Affiliate thereof or shall interfere with or restrict the right of the Company or its Affiliates to terminate the Grantee’s employment, tenure or service any time for any reason whatsoever, with or without Cause.</w:t>
      </w:r>
    </w:p>
    <w:p>
      <w:pPr>
        <w:pStyle w:val="TextBody"/>
        <w:spacing w:lineRule="auto" w:line="312" w:before="0" w:after="240"/>
        <w:rPr>
          <w:rFonts w:ascii="Times New Roman" w:hAnsi="Times New Roman"/>
          <w:b w:val="false"/>
          <w:sz w:val="20"/>
        </w:rPr>
      </w:pPr>
      <w:r>
        <w:rPr>
          <w:rFonts w:ascii="Times New Roman" w:hAnsi="Times New Roman"/>
          <w:b w:val="false"/>
          <w:sz w:val="20"/>
        </w:rPr>
        <w:t>9.</w:t>
      </w:r>
    </w:p>
    <w:p>
      <w:pPr>
        <w:pStyle w:val="TextBody"/>
        <w:spacing w:lineRule="auto" w:line="312" w:before="0" w:after="240"/>
        <w:rPr/>
      </w:pPr>
      <w:r>
        <w:rPr>
          <w:rFonts w:ascii="Times New Roman" w:hAnsi="Times New Roman"/>
          <w:b w:val="false"/>
          <w:sz w:val="20"/>
          <w:u w:val="single"/>
        </w:rPr>
        <w:t>Tax Withholding</w:t>
      </w:r>
      <w:r>
        <w:rPr>
          <w:rFonts w:ascii="Times New Roman" w:hAnsi="Times New Roman"/>
          <w:b w:val="false"/>
          <w:sz w:val="20"/>
        </w:rPr>
        <w:t xml:space="preserve">. The Company shall be entitled to require payment by or on behalf of the Grantee in respect of any sums required or permitted by federal, state, local or foreign tax law to be withheld with respect to the settlement of any RSUs, in each case, equal to the minimum amount of tax required to be withheld (or such other rate that will not cause adverse accounting consequences for the Company). The Company shall be entitled to take such action as the Company deems necessary or appropriate to satisfy all such obligations for the payment of the applicable tax obligations with respect to any RSUs, including by requiring a cash payment, authorizing any cashless exercise procedure or withholding from the number of Shares that would otherwise be issued upon settlement of the RSUs the largest whole number of Shares with a Fair Market Value equal to the applicable tax obligations. Notwithstanding the foregoing, if the Grantee is subject to reporting under Section 16 of the Exchange Act, then, unless otherwise determined by the Administrator, the Company shall satisfy the applicable tax obligations with respect to any RSUs by withholding from the number of Shares that would otherwise be issued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312" w:before="0" w:after="0"/>
        <w:jc w:val="left"/>
        <w:rPr/>
      </w:pPr>
      <w:r>
        <w:rPr/>
        <w:t> </w:t>
      </w:r>
    </w:p>
    <w:p>
      <w:pPr>
        <w:pStyle w:val="TextBody"/>
        <w:spacing w:lineRule="auto" w:line="312" w:before="0" w:after="240"/>
        <w:rPr/>
      </w:pPr>
      <w:r>
        <w:rPr>
          <w:rFonts w:ascii="Times New Roman" w:hAnsi="Times New Roman"/>
          <w:b w:val="false"/>
          <w:sz w:val="20"/>
        </w:rPr>
        <w:t>upon settlement of the RSUs the largest whole number of Shares with a Fair Market Value equal to the applicable tax obligations.</w:t>
      </w:r>
      <w:r>
        <w:rPr/>
        <w:t xml:space="preserve"> </w:t>
      </w:r>
    </w:p>
    <w:p>
      <w:pPr>
        <w:pStyle w:val="TextBody"/>
        <w:spacing w:lineRule="auto" w:line="312" w:before="0" w:after="240"/>
        <w:rPr>
          <w:rFonts w:ascii="Times New Roman" w:hAnsi="Times New Roman"/>
          <w:b w:val="false"/>
          <w:sz w:val="20"/>
        </w:rPr>
      </w:pPr>
      <w:r>
        <w:rPr>
          <w:rFonts w:ascii="Times New Roman" w:hAnsi="Times New Roman"/>
          <w:b w:val="false"/>
          <w:sz w:val="20"/>
        </w:rPr>
        <w:t>10.</w:t>
      </w:r>
    </w:p>
    <w:p>
      <w:pPr>
        <w:pStyle w:val="TextBody"/>
        <w:spacing w:lineRule="auto" w:line="312" w:before="0" w:after="240"/>
        <w:rPr/>
      </w:pPr>
      <w:r>
        <w:rPr>
          <w:rFonts w:ascii="Times New Roman" w:hAnsi="Times New Roman"/>
          <w:b w:val="false"/>
          <w:sz w:val="20"/>
          <w:u w:val="single"/>
        </w:rPr>
        <w:t>Section 409A Compliance</w:t>
      </w:r>
      <w:r>
        <w:rPr>
          <w:rFonts w:ascii="Times New Roman" w:hAnsi="Times New Roman"/>
          <w:b w:val="false"/>
          <w:sz w:val="20"/>
        </w:rPr>
        <w:t xml:space="preserve">.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the Grantee shall not be considered to have terminated employment, tenure or service with the Company for purposes of any payments under this Agreement which are subject to Section 409A of the Code until the Grantee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the Grantee and the Company during the six (6) month period immediately following the Grantee’s separation from service shall instead be paid on the first business day after the date that is six (6) months following the Grantee’s separation from service (or, if earlier, the Grantee’s date of death). The Company makes no representation that any or all of the payments described in this Agreement will be exempt from or comply with Section 409A of the Code and makes no undertaking to preclude Section 409A of the Code from applying to any such payment. The Grantee shall be solely responsible for the payment of any taxes and penalties incurred under Section 409A of the Code. </w:t>
      </w:r>
    </w:p>
    <w:p>
      <w:pPr>
        <w:pStyle w:val="TextBody"/>
        <w:spacing w:lineRule="auto" w:line="312" w:before="0" w:after="240"/>
        <w:rPr>
          <w:rFonts w:ascii="Times New Roman" w:hAnsi="Times New Roman"/>
          <w:b w:val="false"/>
          <w:sz w:val="20"/>
        </w:rPr>
      </w:pPr>
      <w:r>
        <w:rPr>
          <w:rFonts w:ascii="Times New Roman" w:hAnsi="Times New Roman"/>
          <w:b w:val="false"/>
          <w:sz w:val="20"/>
        </w:rPr>
        <w:t>11.</w:t>
      </w:r>
    </w:p>
    <w:p>
      <w:pPr>
        <w:pStyle w:val="TextBody"/>
        <w:spacing w:lineRule="auto" w:line="312" w:before="0" w:after="240"/>
        <w:rPr/>
      </w:pPr>
      <w:r>
        <w:rPr>
          <w:rFonts w:ascii="Times New Roman" w:hAnsi="Times New Roman"/>
          <w:b w:val="false"/>
          <w:sz w:val="20"/>
          <w:u w:val="single"/>
        </w:rPr>
        <w:t>Governing Law</w:t>
      </w:r>
      <w:r>
        <w:rPr>
          <w:rFonts w:ascii="Times New Roman" w:hAnsi="Times New Roman"/>
          <w:b w:val="false"/>
          <w:sz w:val="20"/>
        </w:rPr>
        <w:t>. This Agreement shall be governed by, interpreted under, and construed and enforced in accordance with the internal laws, and not the laws pertaining to conflicts or choices of laws, of the State of Delaware applicable to agreements made and to be performed wholly within the State of</w:t>
      </w:r>
      <w:r>
        <w:rPr/>
        <w:t xml:space="preserve"> </w:t>
      </w:r>
      <w:r>
        <w:rPr>
          <w:rFonts w:ascii="Times New Roman" w:hAnsi="Times New Roman"/>
          <w:b w:val="false"/>
          <w:sz w:val="20"/>
        </w:rPr>
        <w:t>Delaware.</w:t>
      </w:r>
    </w:p>
    <w:p>
      <w:pPr>
        <w:pStyle w:val="TextBody"/>
        <w:spacing w:lineRule="auto" w:line="312" w:before="0" w:after="240"/>
        <w:rPr>
          <w:rFonts w:ascii="Times New Roman" w:hAnsi="Times New Roman"/>
          <w:b w:val="false"/>
          <w:sz w:val="20"/>
        </w:rPr>
      </w:pPr>
      <w:r>
        <w:rPr>
          <w:rFonts w:ascii="Times New Roman" w:hAnsi="Times New Roman"/>
          <w:b w:val="false"/>
          <w:sz w:val="20"/>
        </w:rPr>
        <w:t>12.</w:t>
      </w:r>
    </w:p>
    <w:p>
      <w:pPr>
        <w:pStyle w:val="TextBody"/>
        <w:spacing w:lineRule="auto" w:line="312" w:before="0" w:after="240"/>
        <w:rPr/>
      </w:pPr>
      <w:r>
        <w:rPr>
          <w:rFonts w:ascii="Times New Roman" w:hAnsi="Times New Roman"/>
          <w:b w:val="false"/>
          <w:sz w:val="20"/>
          <w:u w:val="single"/>
        </w:rPr>
        <w:t>Agreement Binding on Successors</w:t>
      </w:r>
      <w:r>
        <w:rPr>
          <w:rFonts w:ascii="Times New Roman" w:hAnsi="Times New Roman"/>
          <w:b w:val="false"/>
          <w:sz w:val="20"/>
        </w:rPr>
        <w:t xml:space="preserve">. The terms of this Agreement shall be binding upon the Grantee and upon the Grantee’s heirs, executors, administrators, personal representatives, transferees, assignees and successors in interest, and upon the Company and its successors and assignees, subject to the terms of the Plan. </w:t>
      </w:r>
    </w:p>
    <w:p>
      <w:pPr>
        <w:pStyle w:val="TextBody"/>
        <w:spacing w:lineRule="auto" w:line="312" w:before="0" w:after="240"/>
        <w:rPr>
          <w:rFonts w:ascii="Times New Roman" w:hAnsi="Times New Roman"/>
          <w:b w:val="false"/>
          <w:sz w:val="20"/>
        </w:rPr>
      </w:pPr>
      <w:r>
        <w:rPr>
          <w:rFonts w:ascii="Times New Roman" w:hAnsi="Times New Roman"/>
          <w:b w:val="false"/>
          <w:sz w:val="20"/>
        </w:rPr>
        <w:t>13.</w:t>
      </w:r>
    </w:p>
    <w:p>
      <w:pPr>
        <w:pStyle w:val="TextBody"/>
        <w:spacing w:lineRule="auto" w:line="312" w:before="0" w:after="240"/>
        <w:rPr/>
      </w:pPr>
      <w:r>
        <w:rPr>
          <w:rFonts w:ascii="Times New Roman" w:hAnsi="Times New Roman"/>
          <w:b w:val="false"/>
          <w:sz w:val="20"/>
          <w:u w:val="single"/>
        </w:rPr>
        <w:t>No Assignment</w:t>
      </w:r>
      <w:r>
        <w:rPr>
          <w:rFonts w:ascii="Times New Roman" w:hAnsi="Times New Roman"/>
          <w:b w:val="false"/>
          <w:sz w:val="20"/>
        </w:rPr>
        <w:t>. Notwithstanding anything to the contrary in this Agreement, neither this Agreement nor any rights granted herein shall be assignable by the Grantee.</w:t>
      </w:r>
    </w:p>
    <w:p>
      <w:pPr>
        <w:pStyle w:val="TextBody"/>
        <w:spacing w:lineRule="auto" w:line="312" w:before="0" w:after="240"/>
        <w:rPr>
          <w:rFonts w:ascii="Times New Roman" w:hAnsi="Times New Roman"/>
          <w:b w:val="false"/>
          <w:sz w:val="20"/>
        </w:rPr>
      </w:pPr>
      <w:r>
        <w:rPr>
          <w:rFonts w:ascii="Times New Roman" w:hAnsi="Times New Roman"/>
          <w:b w:val="false"/>
          <w:sz w:val="20"/>
        </w:rPr>
        <w:t>14.</w:t>
      </w:r>
    </w:p>
    <w:p>
      <w:pPr>
        <w:pStyle w:val="TextBody"/>
        <w:spacing w:lineRule="auto" w:line="312" w:before="0" w:after="240"/>
        <w:rPr/>
      </w:pPr>
      <w:r>
        <w:rPr>
          <w:rFonts w:ascii="Times New Roman" w:hAnsi="Times New Roman"/>
          <w:b w:val="false"/>
          <w:sz w:val="20"/>
          <w:u w:val="single"/>
        </w:rPr>
        <w:t>Necessary Acts</w:t>
      </w:r>
      <w:r>
        <w:rPr>
          <w:rFonts w:ascii="Times New Roman" w:hAnsi="Times New Roman"/>
          <w:b w:val="false"/>
          <w:sz w:val="20"/>
        </w:rPr>
        <w:t>. The Grantee hereby agrees to perform all acts, and to execute and deliver any documents that may be reasonably necessary to carry out the provisions of this Agreement, including but not limited to all acts and documents related to compliance with federal and/or state securities and/or tax laws.</w:t>
      </w:r>
    </w:p>
    <w:p>
      <w:pPr>
        <w:pStyle w:val="TextBody"/>
        <w:spacing w:lineRule="auto" w:line="312" w:before="0" w:after="240"/>
        <w:rPr>
          <w:rFonts w:ascii="Times New Roman" w:hAnsi="Times New Roman"/>
          <w:b w:val="false"/>
          <w:sz w:val="20"/>
        </w:rPr>
      </w:pPr>
      <w:r>
        <w:rPr>
          <w:rFonts w:ascii="Times New Roman" w:hAnsi="Times New Roman"/>
          <w:b w:val="false"/>
          <w:sz w:val="20"/>
        </w:rPr>
        <w:t>15.</w:t>
      </w:r>
    </w:p>
    <w:p>
      <w:pPr>
        <w:pStyle w:val="TextBody"/>
        <w:spacing w:lineRule="auto" w:line="312" w:before="0" w:after="240"/>
        <w:rPr/>
      </w:pPr>
      <w:r>
        <w:rPr>
          <w:rFonts w:ascii="Times New Roman" w:hAnsi="Times New Roman"/>
          <w:b w:val="false"/>
          <w:sz w:val="20"/>
          <w:u w:val="single"/>
        </w:rPr>
        <w:t>Severability</w:t>
      </w:r>
      <w:r>
        <w:rPr>
          <w:rFonts w:ascii="Times New Roman" w:hAnsi="Times New Roman"/>
          <w:b w:val="false"/>
          <w:sz w:val="20"/>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pStyle w:val="TextBody"/>
        <w:spacing w:lineRule="auto" w:line="312" w:before="0" w:after="240"/>
        <w:rPr>
          <w:rFonts w:ascii="Times New Roman" w:hAnsi="Times New Roman"/>
          <w:b w:val="false"/>
          <w:sz w:val="20"/>
        </w:rPr>
      </w:pPr>
      <w:r>
        <w:rPr>
          <w:rFonts w:ascii="Times New Roman" w:hAnsi="Times New Roman"/>
          <w:b w:val="false"/>
          <w:sz w:val="20"/>
        </w:rPr>
        <w:t>16.</w:t>
      </w:r>
    </w:p>
    <w:p>
      <w:pPr>
        <w:pStyle w:val="TextBody"/>
        <w:spacing w:lineRule="auto" w:line="312" w:before="0" w:after="240"/>
        <w:rPr/>
      </w:pPr>
      <w:r>
        <w:rPr>
          <w:rFonts w:ascii="Times New Roman" w:hAnsi="Times New Roman"/>
          <w:b w:val="false"/>
          <w:sz w:val="20"/>
          <w:u w:val="single"/>
        </w:rPr>
        <w:t>Entire Agreement</w:t>
      </w:r>
      <w:r>
        <w:rPr>
          <w:rFonts w:ascii="Times New Roman" w:hAnsi="Times New Roman"/>
          <w:b w:val="false"/>
          <w:sz w:val="20"/>
        </w:rPr>
        <w:t xml:space="preserve">. This Agreement and the Plan, including the Restrictive Covenants, contain the entire agreement and understanding among the parties as to the subject matter hereof, and supersede, and shall be deemed to be in full satisfaction of, any other agreements or representations, oral or otherwise, express or implied, with respect to the subject matter hereof, including any equity award referenced in that certain employment agreement dated as of _______, 2021 by and between the Grantee and the Company or any its Affiliates. </w:t>
      </w:r>
    </w:p>
    <w:p>
      <w:pPr>
        <w:pStyle w:val="TextBody"/>
        <w:spacing w:lineRule="auto" w:line="312" w:before="0" w:after="240"/>
        <w:rPr>
          <w:rFonts w:ascii="Times New Roman" w:hAnsi="Times New Roman"/>
          <w:b w:val="false"/>
          <w:sz w:val="20"/>
        </w:rPr>
      </w:pPr>
      <w:r>
        <w:rPr>
          <w:rFonts w:ascii="Times New Roman" w:hAnsi="Times New Roman"/>
          <w:b w:val="false"/>
          <w:sz w:val="20"/>
        </w:rPr>
        <w:t>17.</w:t>
      </w:r>
    </w:p>
    <w:p>
      <w:pPr>
        <w:pStyle w:val="TextBody"/>
        <w:spacing w:lineRule="auto" w:line="312" w:before="0" w:after="240"/>
        <w:rPr/>
      </w:pPr>
      <w:r>
        <w:rPr>
          <w:rFonts w:ascii="Times New Roman" w:hAnsi="Times New Roman"/>
          <w:b w:val="false"/>
          <w:sz w:val="20"/>
          <w:u w:val="single"/>
        </w:rPr>
        <w:t>Headings</w:t>
      </w:r>
      <w:r>
        <w:rPr>
          <w:rFonts w:ascii="Times New Roman" w:hAnsi="Times New Roman"/>
          <w:b w:val="false"/>
          <w:sz w:val="20"/>
        </w:rPr>
        <w:t>. Headings are used solely for the convenience of the parties and shall not be deemed to be a limitation upon or descriptive of the contents of any such Section.</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312" w:before="0" w:after="0"/>
        <w:jc w:val="left"/>
        <w:rPr/>
      </w:pPr>
      <w:r>
        <w:rPr/>
        <w:t> </w:t>
      </w:r>
    </w:p>
    <w:p>
      <w:pPr>
        <w:pStyle w:val="TextBody"/>
        <w:spacing w:lineRule="auto" w:line="312" w:before="0" w:after="240"/>
        <w:rPr>
          <w:rFonts w:ascii="Times New Roman" w:hAnsi="Times New Roman"/>
          <w:b w:val="false"/>
          <w:sz w:val="20"/>
        </w:rPr>
      </w:pPr>
      <w:r>
        <w:rPr>
          <w:rFonts w:ascii="Times New Roman" w:hAnsi="Times New Roman"/>
          <w:b w:val="false"/>
          <w:sz w:val="20"/>
        </w:rPr>
        <w:t>18.</w:t>
      </w:r>
    </w:p>
    <w:p>
      <w:pPr>
        <w:pStyle w:val="TextBody"/>
        <w:spacing w:lineRule="auto" w:line="312" w:before="0" w:after="240"/>
        <w:rPr/>
      </w:pPr>
      <w:r>
        <w:rPr>
          <w:rFonts w:ascii="Times New Roman" w:hAnsi="Times New Roman"/>
          <w:b w:val="false"/>
          <w:sz w:val="20"/>
          <w:u w:val="single"/>
        </w:rPr>
        <w:t>Counterparts; Electronic Signature</w:t>
      </w:r>
      <w:r>
        <w:rPr>
          <w:rFonts w:ascii="Times New Roman" w:hAnsi="Times New Roman"/>
          <w:b w:val="false"/>
          <w:sz w:val="20"/>
        </w:rPr>
        <w:t>. This Agreement may be executed in any number of counterparts, each of which shall be deemed to be an original and all of which together shall be deemed to be one and the same instrument. The Grantee’s electronic signature of this Agreement shall have the same validity and effect as a signature affixed by the Grantee’s hand.</w:t>
      </w:r>
    </w:p>
    <w:p>
      <w:pPr>
        <w:pStyle w:val="TextBody"/>
        <w:spacing w:lineRule="auto" w:line="312" w:before="0" w:after="240"/>
        <w:rPr>
          <w:rFonts w:ascii="Times New Roman" w:hAnsi="Times New Roman"/>
          <w:b w:val="false"/>
          <w:sz w:val="20"/>
        </w:rPr>
      </w:pPr>
      <w:r>
        <w:rPr>
          <w:rFonts w:ascii="Times New Roman" w:hAnsi="Times New Roman"/>
          <w:b w:val="false"/>
          <w:sz w:val="20"/>
        </w:rPr>
        <w:t>19.</w:t>
      </w:r>
    </w:p>
    <w:p>
      <w:pPr>
        <w:pStyle w:val="TextBody"/>
        <w:spacing w:lineRule="auto" w:line="312" w:before="0" w:after="240"/>
        <w:rPr/>
      </w:pPr>
      <w:r>
        <w:rPr>
          <w:rFonts w:ascii="Times New Roman" w:hAnsi="Times New Roman"/>
          <w:b w:val="false"/>
          <w:sz w:val="20"/>
          <w:u w:val="single"/>
        </w:rPr>
        <w:t>Amendment</w:t>
      </w:r>
      <w:r>
        <w:rPr>
          <w:rFonts w:ascii="Times New Roman" w:hAnsi="Times New Roman"/>
          <w:b w:val="false"/>
          <w:sz w:val="20"/>
        </w:rPr>
        <w:t xml:space="preserve">. No amendment or modification hereof shall be valid unless it shall be in writing and signed by all parties hereto. </w:t>
      </w:r>
    </w:p>
    <w:p>
      <w:pPr>
        <w:pStyle w:val="TextBody"/>
        <w:spacing w:lineRule="auto" w:line="312" w:before="0" w:after="240"/>
        <w:rPr>
          <w:rFonts w:ascii="Times New Roman" w:hAnsi="Times New Roman"/>
          <w:b w:val="false"/>
          <w:sz w:val="20"/>
        </w:rPr>
      </w:pPr>
      <w:r>
        <w:rPr>
          <w:rFonts w:ascii="Times New Roman" w:hAnsi="Times New Roman"/>
          <w:b w:val="false"/>
          <w:sz w:val="20"/>
        </w:rPr>
        <w:t>20.</w:t>
      </w:r>
    </w:p>
    <w:p>
      <w:pPr>
        <w:pStyle w:val="TextBody"/>
        <w:spacing w:lineRule="auto" w:line="312" w:before="0" w:after="240"/>
        <w:rPr/>
      </w:pPr>
      <w:r>
        <w:rPr>
          <w:rFonts w:ascii="Times New Roman" w:hAnsi="Times New Roman"/>
          <w:b w:val="false"/>
          <w:sz w:val="20"/>
          <w:u w:val="single"/>
        </w:rPr>
        <w:t>Set-Off</w:t>
      </w:r>
      <w:r>
        <w:rPr>
          <w:rFonts w:ascii="Times New Roman" w:hAnsi="Times New Roman"/>
          <w:b w:val="false"/>
          <w:sz w:val="20"/>
        </w:rPr>
        <w:t xml:space="preserve">. The Grantee hereby acknowledges and agrees, without limiting the rights of the Company or any Affiliate thereof otherwise available at law or in equity, that, to the extent permitted by law, the number of Shares due to the Grantee under this Agreement may be reduced by, and set-off against, any or all amounts or other consideration payable by the Grantee to the Company or any of its Affiliates under any other agreement or arrangement between the Grantee and the Company or any of its Affiliates; </w:t>
      </w:r>
      <w:r>
        <w:rPr>
          <w:rFonts w:ascii="Times New Roman" w:hAnsi="Times New Roman"/>
          <w:b w:val="false"/>
          <w:sz w:val="20"/>
          <w:u w:val="single"/>
        </w:rPr>
        <w:t>provided</w:t>
      </w:r>
      <w:r>
        <w:rPr/>
        <w:t xml:space="preserve"> </w:t>
      </w:r>
      <w:r>
        <w:rPr>
          <w:rFonts w:ascii="Times New Roman" w:hAnsi="Times New Roman"/>
          <w:b w:val="false"/>
          <w:sz w:val="20"/>
        </w:rPr>
        <w:t xml:space="preserve">that any such set-off does not result in a penalty under Section 409A of the Code or applicable law. </w:t>
      </w:r>
    </w:p>
    <w:p>
      <w:pPr>
        <w:pStyle w:val="TextBody"/>
        <w:spacing w:lineRule="atLeast" w:line="260" w:before="0" w:after="0"/>
        <w:jc w:val="left"/>
        <w:rPr/>
      </w:pPr>
      <w:r>
        <w:rPr/>
        <w:t> </w:t>
      </w:r>
    </w:p>
    <w:p>
      <w:pPr>
        <w:pStyle w:val="TextBody"/>
        <w:spacing w:lineRule="auto" w:line="312" w:before="0" w:after="240"/>
        <w:jc w:val="center"/>
        <w:rPr>
          <w:rFonts w:ascii="Times New Roman" w:hAnsi="Times New Roman"/>
          <w:b w:val="false"/>
          <w:sz w:val="20"/>
        </w:rPr>
      </w:pPr>
      <w:r>
        <w:rPr>
          <w:rFonts w:ascii="Times New Roman" w:hAnsi="Times New Roman"/>
          <w:b w:val="false"/>
          <w:sz w:val="20"/>
        </w:rPr>
        <w:t>* * *</w:t>
      </w:r>
    </w:p>
    <w:p>
      <w:pPr>
        <w:pStyle w:val="TextBody"/>
        <w:spacing w:lineRule="atLeast" w:line="260" w:before="0" w:after="0"/>
        <w:jc w:val="left"/>
        <w:rPr>
          <w:rFonts w:ascii="Times New Roman" w:hAnsi="Times New Roman"/>
          <w:sz w:val="20"/>
        </w:rPr>
      </w:pPr>
      <w:r>
        <w:rPr>
          <w:rFonts w:ascii="Times New Roman" w:hAnsi="Times New Roman"/>
          <w:b w:val="false"/>
          <w:sz w:val="20"/>
        </w:rPr>
        <w:t>By the Grantee’s acceptance hereof (whether written, electronic, or otherwise), the Grantee agrees, to the fullest extent permitted by law, that in lieu of receiving documents in paper format, the Grantee accepts the electronic delivery of any documents that the Company, or any third party involved in administering the Plan which the Company may designate, may deliver in connection with the RSUs granted hereunder (including the Plan, this Agreement, any account statements, or other communications or information) whether via the Company’s intranet or the internet site of such third party administrator or via email or such other means of electronic delivery specified by the Company. The Grantee hereby consents to receive such documents by electronic delivery and agrees to participate in the Plan through an on-line or electronic system established and maintained by the Company or any third party involved in administering the Plan which the Company may designate.</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r>
        <w:br w:type="page"/>
      </w:r>
    </w:p>
    <w:p>
      <w:pPr>
        <w:pStyle w:val="TextBody"/>
        <w:spacing w:lineRule="auto" w:line="312" w:before="0" w:after="0"/>
        <w:jc w:val="right"/>
        <w:rPr>
          <w:rFonts w:ascii="Times New Roman" w:hAnsi="Times New Roman"/>
          <w:b/>
          <w:sz w:val="20"/>
        </w:rPr>
      </w:pPr>
      <w:bookmarkStart w:id="24" w:name="pwp-20210630ex31_1.htm"/>
      <w:bookmarkStart w:id="25" w:name="kspwp20210630ex31_1"/>
      <w:bookmarkEnd w:id="24"/>
      <w:bookmarkEnd w:id="25"/>
      <w:r>
        <w:rPr>
          <w:rFonts w:ascii="Times New Roman" w:hAnsi="Times New Roman"/>
          <w:b/>
          <w:sz w:val="20"/>
        </w:rPr>
        <w:t>Exhibit 31.1</w:t>
      </w:r>
    </w:p>
    <w:p>
      <w:pPr>
        <w:pStyle w:val="TextBody"/>
        <w:spacing w:lineRule="auto" w:line="312"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312"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312"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312" w:before="0" w:after="0"/>
        <w:jc w:val="center"/>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Peter A. Weinberg, certify that: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283"/>
        <w:rPr>
          <w:rFonts w:ascii="Times New Roman" w:hAnsi="Times New Roman"/>
          <w:b w:val="false"/>
          <w:sz w:val="20"/>
        </w:rPr>
      </w:pPr>
      <w:r>
        <w:rPr>
          <w:rFonts w:ascii="Times New Roman" w:hAnsi="Times New Roman"/>
          <w:b w:val="false"/>
          <w:sz w:val="20"/>
        </w:rPr>
        <w:t>I have reviewed this Quarterly Report on Form 10-Q of Perella Weinberg Partners;</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283"/>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3.</w:t>
      </w:r>
    </w:p>
    <w:p>
      <w:pPr>
        <w:pStyle w:val="TextBody"/>
        <w:spacing w:lineRule="auto" w:line="312" w:before="120" w:after="283"/>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4.</w:t>
      </w:r>
    </w:p>
    <w:p>
      <w:pPr>
        <w:pStyle w:val="TextBody"/>
        <w:spacing w:lineRule="auto" w:line="312" w:before="120" w:after="283"/>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for the registrant and have:</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283"/>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283"/>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c.</w:t>
      </w:r>
    </w:p>
    <w:p>
      <w:pPr>
        <w:pStyle w:val="TextBody"/>
        <w:spacing w:lineRule="auto" w:line="312" w:before="120" w:after="283"/>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5.</w:t>
      </w:r>
    </w:p>
    <w:p>
      <w:pPr>
        <w:pStyle w:val="TextBody"/>
        <w:spacing w:lineRule="auto" w:line="312" w:before="120" w:after="283"/>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283"/>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283"/>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312" w:before="0" w:after="0"/>
        <w:jc w:val="left"/>
        <w:rPr/>
      </w:pPr>
      <w:r>
        <w:rPr/>
        <w:t> </w:t>
      </w:r>
    </w:p>
    <w:tbl>
      <w:tblPr>
        <w:tblW w:w="5009" w:type="dxa"/>
        <w:jc w:val="left"/>
        <w:tblInd w:w="0" w:type="dxa"/>
        <w:tblCellMar>
          <w:top w:w="28" w:type="dxa"/>
          <w:left w:w="28" w:type="dxa"/>
          <w:bottom w:w="28" w:type="dxa"/>
          <w:right w:w="28" w:type="dxa"/>
        </w:tblCellMar>
      </w:tblPr>
      <w:tblGrid>
        <w:gridCol w:w="1951"/>
        <w:gridCol w:w="146"/>
        <w:gridCol w:w="406"/>
        <w:gridCol w:w="250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506"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PETER A. WEINBERG</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Peter A. Weinberg</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Chief Executive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(Principal Executive Officer)</w:t>
            </w:r>
          </w:p>
        </w:tc>
      </w:tr>
    </w:tbl>
    <w:p>
      <w:pPr>
        <w:pStyle w:val="TextBody"/>
        <w:spacing w:lineRule="auto" w:line="312" w:before="0" w:after="0"/>
        <w:jc w:val="left"/>
        <w:rPr/>
      </w:pPr>
      <w:r>
        <w:rPr/>
        <w:t> </w:t>
      </w:r>
    </w:p>
    <w:p>
      <w:pPr>
        <w:pStyle w:val="HorizontalLine"/>
        <w:rPr/>
      </w:pPr>
      <w:r>
        <w:rPr/>
      </w:r>
      <w:r>
        <w:br w:type="page"/>
      </w:r>
    </w:p>
    <w:p>
      <w:pPr>
        <w:pStyle w:val="TextBody"/>
        <w:spacing w:lineRule="auto" w:line="312" w:before="0" w:after="0"/>
        <w:jc w:val="right"/>
        <w:rPr>
          <w:rFonts w:ascii="Times New Roman" w:hAnsi="Times New Roman"/>
          <w:b/>
          <w:sz w:val="20"/>
        </w:rPr>
      </w:pPr>
      <w:bookmarkStart w:id="26" w:name="pwp-20210630ex31_2.htm"/>
      <w:bookmarkStart w:id="27" w:name="kspwp20210630ex31_2"/>
      <w:bookmarkEnd w:id="26"/>
      <w:bookmarkEnd w:id="27"/>
      <w:r>
        <w:rPr>
          <w:rFonts w:ascii="Times New Roman" w:hAnsi="Times New Roman"/>
          <w:b/>
          <w:sz w:val="20"/>
        </w:rPr>
        <w:t>Exhibit 31.2</w:t>
      </w:r>
    </w:p>
    <w:p>
      <w:pPr>
        <w:pStyle w:val="TextBody"/>
        <w:spacing w:lineRule="auto" w:line="312"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312"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312"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312" w:before="0" w:after="0"/>
        <w:jc w:val="center"/>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Gary S. Barancik, certify that: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283"/>
        <w:rPr>
          <w:rFonts w:ascii="Times New Roman" w:hAnsi="Times New Roman"/>
          <w:b w:val="false"/>
          <w:sz w:val="20"/>
        </w:rPr>
      </w:pPr>
      <w:r>
        <w:rPr>
          <w:rFonts w:ascii="Times New Roman" w:hAnsi="Times New Roman"/>
          <w:b w:val="false"/>
          <w:sz w:val="20"/>
        </w:rPr>
        <w:t>I have reviewed this Quarterly Report on Form 10-Q of Perella Weinberg Partners;</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283"/>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3.</w:t>
      </w:r>
    </w:p>
    <w:p>
      <w:pPr>
        <w:pStyle w:val="TextBody"/>
        <w:spacing w:lineRule="auto" w:line="312" w:before="120" w:after="283"/>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4.</w:t>
      </w:r>
    </w:p>
    <w:p>
      <w:pPr>
        <w:pStyle w:val="TextBody"/>
        <w:spacing w:lineRule="auto" w:line="312" w:before="120" w:after="283"/>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for the registrant and have:</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283"/>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283"/>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c.</w:t>
      </w:r>
    </w:p>
    <w:p>
      <w:pPr>
        <w:pStyle w:val="TextBody"/>
        <w:spacing w:lineRule="auto" w:line="312" w:before="120" w:after="283"/>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5.</w:t>
      </w:r>
    </w:p>
    <w:p>
      <w:pPr>
        <w:pStyle w:val="TextBody"/>
        <w:spacing w:lineRule="auto" w:line="312" w:before="120" w:after="283"/>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283"/>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283"/>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312" w:before="0" w:after="0"/>
        <w:jc w:val="left"/>
        <w:rPr/>
      </w:pPr>
      <w:r>
        <w:rPr/>
        <w:t> </w:t>
      </w:r>
    </w:p>
    <w:tbl>
      <w:tblPr>
        <w:tblW w:w="5024" w:type="dxa"/>
        <w:jc w:val="left"/>
        <w:tblInd w:w="0" w:type="dxa"/>
        <w:tblCellMar>
          <w:top w:w="28" w:type="dxa"/>
          <w:left w:w="28" w:type="dxa"/>
          <w:bottom w:w="28" w:type="dxa"/>
          <w:right w:w="28" w:type="dxa"/>
        </w:tblCellMar>
      </w:tblPr>
      <w:tblGrid>
        <w:gridCol w:w="1951"/>
        <w:gridCol w:w="146"/>
        <w:gridCol w:w="406"/>
        <w:gridCol w:w="252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521"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GARY S. BARANCIK</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Gary S. Barancik</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Chief Financial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(Principal Financial Officer)</w:t>
            </w:r>
          </w:p>
        </w:tc>
      </w:tr>
    </w:tbl>
    <w:p>
      <w:pPr>
        <w:pStyle w:val="TextBody"/>
        <w:spacing w:lineRule="auto" w:line="312" w:before="0" w:after="0"/>
        <w:jc w:val="left"/>
        <w:rPr/>
      </w:pPr>
      <w:r>
        <w:rPr/>
        <w:t> </w:t>
      </w:r>
    </w:p>
    <w:p>
      <w:pPr>
        <w:pStyle w:val="HorizontalLine"/>
        <w:rPr/>
      </w:pPr>
      <w:r>
        <w:rPr/>
      </w:r>
      <w:r>
        <w:br w:type="page"/>
      </w:r>
    </w:p>
    <w:p>
      <w:pPr>
        <w:pStyle w:val="TextBody"/>
        <w:spacing w:lineRule="auto" w:line="312" w:before="0" w:after="0"/>
        <w:jc w:val="right"/>
        <w:rPr>
          <w:rFonts w:ascii="Times New Roman" w:hAnsi="Times New Roman"/>
          <w:b/>
          <w:sz w:val="20"/>
        </w:rPr>
      </w:pPr>
      <w:bookmarkStart w:id="28" w:name="pwp-20210630ex32_1.htm"/>
      <w:bookmarkStart w:id="29" w:name="kspwp20210630ex32_1"/>
      <w:bookmarkEnd w:id="28"/>
      <w:bookmarkEnd w:id="29"/>
      <w:r>
        <w:rPr>
          <w:rFonts w:ascii="Times New Roman" w:hAnsi="Times New Roman"/>
          <w:b/>
          <w:sz w:val="20"/>
        </w:rPr>
        <w:t>Exhibit 32.1</w:t>
      </w:r>
    </w:p>
    <w:p>
      <w:pPr>
        <w:pStyle w:val="TextBody"/>
        <w:spacing w:lineRule="auto" w:line="312"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312"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312"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In connection with the Quarterly Report on Form 10-Q for the period ended June 30, 2021,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0"/>
        <w:rPr>
          <w:rFonts w:ascii="Times New Roman" w:hAnsi="Times New Roman"/>
          <w:b w:val="false"/>
          <w:sz w:val="20"/>
        </w:rPr>
      </w:pPr>
      <w:r>
        <w:rPr>
          <w:rFonts w:ascii="Times New Roman" w:hAnsi="Times New Roman"/>
          <w:b w:val="false"/>
          <w:sz w:val="20"/>
        </w:rPr>
        <w:t>The Report fully complies with the requirements of section 13(a) or 15(d) of the Securities Exchange Act of 1934; and</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283"/>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312" w:before="0" w:after="0"/>
        <w:jc w:val="left"/>
        <w:rPr/>
      </w:pPr>
      <w:r>
        <w:rPr/>
        <w:t> </w:t>
      </w:r>
    </w:p>
    <w:tbl>
      <w:tblPr>
        <w:tblW w:w="5009" w:type="dxa"/>
        <w:jc w:val="left"/>
        <w:tblInd w:w="0" w:type="dxa"/>
        <w:tblCellMar>
          <w:top w:w="28" w:type="dxa"/>
          <w:left w:w="28" w:type="dxa"/>
          <w:bottom w:w="28" w:type="dxa"/>
          <w:right w:w="28" w:type="dxa"/>
        </w:tblCellMar>
      </w:tblPr>
      <w:tblGrid>
        <w:gridCol w:w="1951"/>
        <w:gridCol w:w="146"/>
        <w:gridCol w:w="406"/>
        <w:gridCol w:w="250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506"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PETER A. WEINBERG</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Peter A. Weinberg</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Chief Executive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(Principal Executive Officer)</w:t>
            </w:r>
          </w:p>
        </w:tc>
      </w:tr>
    </w:tbl>
    <w:p>
      <w:pPr>
        <w:pStyle w:val="TextBody"/>
        <w:spacing w:lineRule="auto" w:line="312" w:before="0" w:after="0"/>
        <w:jc w:val="left"/>
        <w:rPr/>
      </w:pPr>
      <w:r>
        <w:rPr/>
        <w:t> </w:t>
      </w:r>
    </w:p>
    <w:p>
      <w:pPr>
        <w:pStyle w:val="HorizontalLine"/>
        <w:rPr/>
      </w:pPr>
      <w:r>
        <w:rPr/>
      </w:r>
      <w:r>
        <w:br w:type="page"/>
      </w:r>
    </w:p>
    <w:p>
      <w:pPr>
        <w:pStyle w:val="TextBody"/>
        <w:spacing w:lineRule="auto" w:line="312" w:before="0" w:after="0"/>
        <w:jc w:val="right"/>
        <w:rPr>
          <w:rFonts w:ascii="Times New Roman" w:hAnsi="Times New Roman"/>
          <w:b/>
          <w:sz w:val="20"/>
        </w:rPr>
      </w:pPr>
      <w:bookmarkStart w:id="30" w:name="pwp-20210630ex32_2.htm"/>
      <w:bookmarkStart w:id="31" w:name="kspwp20210630ex32_2"/>
      <w:bookmarkEnd w:id="30"/>
      <w:bookmarkEnd w:id="31"/>
      <w:r>
        <w:rPr>
          <w:rFonts w:ascii="Times New Roman" w:hAnsi="Times New Roman"/>
          <w:b/>
          <w:sz w:val="20"/>
        </w:rPr>
        <w:t>Exhibit 32.2</w:t>
      </w:r>
    </w:p>
    <w:p>
      <w:pPr>
        <w:pStyle w:val="TextBody"/>
        <w:spacing w:lineRule="auto" w:line="312"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312"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312"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In connection with the Quarterly Report on Form 10-Q for the period ended June 30, 2021,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0"/>
        <w:rPr>
          <w:rFonts w:ascii="Times New Roman" w:hAnsi="Times New Roman"/>
          <w:b w:val="false"/>
          <w:sz w:val="20"/>
        </w:rPr>
      </w:pPr>
      <w:r>
        <w:rPr>
          <w:rFonts w:ascii="Times New Roman" w:hAnsi="Times New Roman"/>
          <w:b w:val="false"/>
          <w:sz w:val="20"/>
        </w:rPr>
        <w:t>The Report fully complies with the requirements of section 13(a) or 15(d) of the Securities Exchange Act of 1934; and</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283"/>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312" w:before="0" w:after="0"/>
        <w:jc w:val="left"/>
        <w:rPr/>
      </w:pPr>
      <w:r>
        <w:rPr/>
        <w:t> </w:t>
      </w:r>
    </w:p>
    <w:tbl>
      <w:tblPr>
        <w:tblW w:w="5024" w:type="dxa"/>
        <w:jc w:val="left"/>
        <w:tblInd w:w="0" w:type="dxa"/>
        <w:tblCellMar>
          <w:top w:w="28" w:type="dxa"/>
          <w:left w:w="28" w:type="dxa"/>
          <w:bottom w:w="28" w:type="dxa"/>
          <w:right w:w="28" w:type="dxa"/>
        </w:tblCellMar>
      </w:tblPr>
      <w:tblGrid>
        <w:gridCol w:w="1951"/>
        <w:gridCol w:w="146"/>
        <w:gridCol w:w="406"/>
        <w:gridCol w:w="252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521" w:type="dxa"/>
            <w:tcBorders>
              <w:bottom w:val="single" w:sz="8"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GARY S. BARANCIK</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Gary S. Barancik</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Chief Financial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(Principal Financial Officer)</w:t>
            </w:r>
          </w:p>
        </w:tc>
      </w:tr>
    </w:tbl>
    <w:p>
      <w:pPr>
        <w:pStyle w:val="TextBody"/>
        <w:spacing w:lineRule="auto" w:line="312"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7835/000121390020045792/ea132500ex2-1_fintechacq4.htm" TargetMode="External"/><Relationship Id="rId3" Type="http://schemas.openxmlformats.org/officeDocument/2006/relationships/hyperlink" Target="https://www.sec.gov/Archives/edgar/data/1777835/000121390020045792/ea132500ex2-1_fintechacq4.htm" TargetMode="External"/><Relationship Id="rId4" Type="http://schemas.openxmlformats.org/officeDocument/2006/relationships/hyperlink" Target="https://www.sec.gov/Archives/edgar/data/1777835/000119312521204696/d119701dex31.htm" TargetMode="External"/><Relationship Id="rId5" Type="http://schemas.openxmlformats.org/officeDocument/2006/relationships/hyperlink" Target="https://www.sec.gov/Archives/edgar/data/1777835/000119312521204696/d119701dex31.htm" TargetMode="External"/><Relationship Id="rId6" Type="http://schemas.openxmlformats.org/officeDocument/2006/relationships/hyperlink" Target="https://www.sec.gov/Archives/edgar/data/1777835/000119312521204696/d119701dex32.htm" TargetMode="External"/><Relationship Id="rId7" Type="http://schemas.openxmlformats.org/officeDocument/2006/relationships/hyperlink" Target="https://www.sec.gov/Archives/edgar/data/1777835/000119312521204696/d119701dex41.htm" TargetMode="External"/><Relationship Id="rId8" Type="http://schemas.openxmlformats.org/officeDocument/2006/relationships/hyperlink" Target="https://www.sec.gov/Archives/edgar/data/1777835/000119312521204696/d119701dex41.htm" TargetMode="External"/><Relationship Id="rId9" Type="http://schemas.openxmlformats.org/officeDocument/2006/relationships/hyperlink" Target="https://www.sec.gov/Archives/edgar/data/1777835/000121390020029071/ea127460ex4-1_fintechacq4.htm" TargetMode="External"/><Relationship Id="rId10" Type="http://schemas.openxmlformats.org/officeDocument/2006/relationships/hyperlink" Target="https://www.sec.gov/Archives/edgar/data/1777835/000121390020045792/ea132500ex10-1_fintechacq4.htm" TargetMode="External"/><Relationship Id="rId11" Type="http://schemas.openxmlformats.org/officeDocument/2006/relationships/hyperlink" Target="https://www.sec.gov/Archives/edgar/data/1777835/000119312521204696/d119701dex101.htm" TargetMode="External"/><Relationship Id="rId12" Type="http://schemas.openxmlformats.org/officeDocument/2006/relationships/hyperlink" Target="https://www.sec.gov/Archives/edgar/data/1777835/000119312521204696/d119701dex101.htm" TargetMode="External"/><Relationship Id="rId13" Type="http://schemas.openxmlformats.org/officeDocument/2006/relationships/hyperlink" Target="https://www.sec.gov/Archives/edgar/data/1777835/000119312521204696/d119701dex103.htm" TargetMode="External"/><Relationship Id="rId14" Type="http://schemas.openxmlformats.org/officeDocument/2006/relationships/hyperlink" Target="https://www.sec.gov/Archives/edgar/data/1777835/000119312521204696/d119701dex102.htm" TargetMode="External"/><Relationship Id="rId15" Type="http://schemas.openxmlformats.org/officeDocument/2006/relationships/hyperlink" Target="https://www.sec.gov/Archives/edgar/data/0001777835/000119312521175488/d101000ddefm14a.htm" TargetMode="External"/><Relationship Id="rId16" Type="http://schemas.openxmlformats.org/officeDocument/2006/relationships/hyperlink" Target="https://www.sec.gov/Archives/edgar/data/1777835/000119312521204696/d119701dex104.htm" TargetMode="External"/><Relationship Id="rId17" Type="http://schemas.openxmlformats.org/officeDocument/2006/relationships/hyperlink" Target="https://www.sec.gov/Archives/edgar/data/1777835/000119312521204696/d119701dex104.htm" TargetMode="External"/><Relationship Id="rId18" Type="http://schemas.openxmlformats.org/officeDocument/2006/relationships/hyperlink" Target="https://www.sec.gov/Archives/edgar/data/1777835/000119312521204696/d119701dex105.htm" TargetMode="External"/><Relationship Id="rId19" Type="http://schemas.openxmlformats.org/officeDocument/2006/relationships/hyperlink" Target="https://www.sec.gov/Archives/edgar/data/1777835/000119312521204696/d119701dex106.htm" TargetMode="External"/><Relationship Id="rId20" Type="http://schemas.openxmlformats.org/officeDocument/2006/relationships/hyperlink" Target="https://www.sec.gov/Archives/edgar/data/1777835/000119312521204696/d119701dex106.htm" TargetMode="External"/><Relationship Id="rId21" Type="http://schemas.openxmlformats.org/officeDocument/2006/relationships/hyperlink" Target="https://www.sec.gov/Archives/edgar/data/1777835/000119312521204696/d119701dex107.htm" TargetMode="External"/><Relationship Id="rId22" Type="http://schemas.openxmlformats.org/officeDocument/2006/relationships/hyperlink" Target="https://www.sec.gov/Archives/edgar/data/1777835/000119312521204696/d119701dex107.htm" TargetMode="External"/><Relationship Id="rId23" Type="http://schemas.openxmlformats.org/officeDocument/2006/relationships/hyperlink" Target="https://www.sec.gov/Archives/edgar/data/1777835/000119312521204696/d119701dex108.htm" TargetMode="External"/><Relationship Id="rId24" Type="http://schemas.openxmlformats.org/officeDocument/2006/relationships/hyperlink" Target="https://www.sec.gov/Archives/edgar/data/1777835/000119312521204696/d119701dex108.htm" TargetMode="External"/><Relationship Id="rId25" Type="http://schemas.openxmlformats.org/officeDocument/2006/relationships/hyperlink" Target="https://www.sec.gov/Archives/edgar/data/1777835/000119312521204696/d119701dex109.htm" TargetMode="External"/><Relationship Id="rId26" Type="http://schemas.openxmlformats.org/officeDocument/2006/relationships/hyperlink" Target="https://www.sec.gov/Archives/edgar/data/1777835/000119312521204696/d119701dex109.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63005</Words>
  <CharactersWithSpaces>405474</CharactersWithSpaces>
  <Paragraphs>6813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