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23, 2023</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tbl>
      <w:tblPr>
        <w:tblLayout w:type="fixed"/>
        <w:tblInd w:w="1300" w:type="dxa"/>
        <w:tblCellMar>
          <w:top w:w="0" w:type="dxa"/>
          <w:left w:w="0" w:type="dxa"/>
          <w:bottom w:w="0" w:type="dxa"/>
          <w:right w:w="0" w:type="dxa"/>
        </w:tblCellMar>
      </w:tblPr>
      <w:tr>
        <w:trPr>
          <w:trHeight w:val="238"/>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7"/>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300" w:type="dxa"/>
            <w:vAlign w:val="bottom"/>
          </w:tcPr>
          <w:p>
            <w:pPr>
              <w:jc w:val="center"/>
              <w:ind w:left="130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660" w:type="dxa"/>
            <w:vAlign w:val="bottom"/>
          </w:tcPr>
          <w:p>
            <w:pPr>
              <w:jc w:val="center"/>
              <w:ind w:right="128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30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660" w:type="dxa"/>
            <w:vAlign w:val="bottom"/>
          </w:tcPr>
          <w:p>
            <w:pPr>
              <w:jc w:val="center"/>
              <w:ind w:right="130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300" w:type="dxa"/>
            <w:vAlign w:val="bottom"/>
          </w:tcPr>
          <w:p>
            <w:pPr>
              <w:jc w:val="center"/>
              <w:ind w:left="132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 2021 Omnibus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Vladimir Shendelman, Esq.</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Perella Weinberg Partners</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287-3200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A. Coco, Esq.</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Michael J. Schwartz, Esq.</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Blair T. Thetford, Esq.</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One Manhattan West</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New York, New York 10001</w:t>
      </w:r>
    </w:p>
    <w:p>
      <w:pPr>
        <w:jc w:val="center"/>
        <w:spacing w:after="0"/>
        <w:rPr>
          <w:sz w:val="20"/>
          <w:szCs w:val="20"/>
          <w:color w:val="auto"/>
        </w:rPr>
      </w:pPr>
      <w:r>
        <w:rPr>
          <w:rFonts w:ascii="Times New Roman" w:cs="Times New Roman" w:eastAsia="Times New Roman" w:hAnsi="Times New Roman"/>
          <w:sz w:val="18"/>
          <w:szCs w:val="18"/>
          <w:b w:val="1"/>
          <w:bCs w:val="1"/>
          <w:color w:val="auto"/>
        </w:rPr>
        <w:t>(212) 735-3000</w:t>
      </w:r>
    </w:p>
    <w:p>
      <w:pPr>
        <w:spacing w:after="0" w:line="219" w:lineRule="exact"/>
        <w:rPr>
          <w:sz w:val="24"/>
          <w:szCs w:val="24"/>
          <w:color w:val="auto"/>
        </w:rPr>
      </w:pPr>
    </w:p>
    <w:p>
      <w:pPr>
        <w:ind w:right="340"/>
        <w:spacing w:after="0" w:line="24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4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for the purpose of registering 5,219,905 shares of Class A Common Stock, par value $0.0001 per share, of Perella Weinberg Partners (the “Company”) that may be issued and sold pursuant to the Perella Weinberg Partners 2021 Omnibus Incentive Plan (the “Incentive Plan”).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the instructions to the Registration Statement on Form S-8 will be sent or given to participants in the Incentive Plan as required by Rule 428(b)(1) of the rules promulgated under the Securities Act of 1933, as amended (the “Securities Act”). These documents are not being filed with the Securities and Exchange Commission (the “SEC”) as a part of this registration statement in accordance with Rule 428(b) and the Note to Part I of Form S-8.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filed with the SEC pursuant to the Securities Exchange Act of 1934, as amended (the “Exchange Act”), are hereby incorporated by reference in this Registration Statement and shall be deemed to be a part hereof (except for any portions of Current Reports on Form 8-K furnished pursuant to Item 2.02 or Item 7.01 thereof and any corresponding exhibits thereto not filed with the SEC):</w:t>
      </w:r>
    </w:p>
    <w:p>
      <w:pPr>
        <w:spacing w:after="0" w:line="203" w:lineRule="exact"/>
        <w:rPr>
          <w:sz w:val="20"/>
          <w:szCs w:val="20"/>
          <w:color w:val="auto"/>
        </w:rPr>
      </w:pPr>
    </w:p>
    <w:p>
      <w:pPr>
        <w:ind w:right="860" w:firstLine="188"/>
        <w:spacing w:after="0" w:line="282" w:lineRule="auto"/>
        <w:tabs>
          <w:tab w:leader="none" w:pos="5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filed on March 11, 2022, as amended by the Company’s Annual report on </w:t>
      </w:r>
      <w:hyperlink r:id="rId16">
        <w:r>
          <w:rPr>
            <w:rFonts w:ascii="Times New Roman" w:cs="Times New Roman" w:eastAsia="Times New Roman" w:hAnsi="Times New Roman"/>
            <w:sz w:val="18"/>
            <w:szCs w:val="18"/>
            <w:u w:val="single" w:color="auto"/>
            <w:color w:val="0000FF"/>
          </w:rPr>
          <w:t>Form 10-K/A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Commission on July 7, 2022;</w:t>
      </w:r>
    </w:p>
    <w:p>
      <w:pPr>
        <w:spacing w:after="0" w:line="188" w:lineRule="exact"/>
        <w:rPr>
          <w:rFonts w:ascii="Times New Roman" w:cs="Times New Roman" w:eastAsia="Times New Roman" w:hAnsi="Times New Roman"/>
          <w:sz w:val="18"/>
          <w:szCs w:val="18"/>
          <w:color w:val="auto"/>
        </w:rPr>
      </w:pPr>
    </w:p>
    <w:p>
      <w:pPr>
        <w:ind w:right="340" w:firstLine="188"/>
        <w:spacing w:after="0" w:line="282" w:lineRule="auto"/>
        <w:tabs>
          <w:tab w:leader="none" w:pos="5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quarterly periods ended March 31, 2022, June 30, 2022 and September 30, 2022, filed with the SEC on </w:t>
      </w:r>
      <w:hyperlink r:id="rId17">
        <w:r>
          <w:rPr>
            <w:rFonts w:ascii="Times New Roman" w:cs="Times New Roman" w:eastAsia="Times New Roman" w:hAnsi="Times New Roman"/>
            <w:sz w:val="18"/>
            <w:szCs w:val="18"/>
            <w:u w:val="single" w:color="auto"/>
            <w:color w:val="0000FF"/>
          </w:rPr>
          <w:t>May 5, 2022</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August 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FF"/>
          </w:rPr>
          <w:t>November 7, 2022</w:t>
        </w:r>
      </w:hyperlink>
      <w:r>
        <w:rPr>
          <w:rFonts w:ascii="Times New Roman" w:cs="Times New Roman" w:eastAsia="Times New Roman" w:hAnsi="Times New Roman"/>
          <w:sz w:val="18"/>
          <w:szCs w:val="18"/>
          <w:color w:val="auto"/>
        </w:rPr>
        <w:t>, respectively;</w:t>
      </w:r>
    </w:p>
    <w:p>
      <w:pPr>
        <w:spacing w:after="0" w:line="188" w:lineRule="exact"/>
        <w:rPr>
          <w:rFonts w:ascii="Times New Roman" w:cs="Times New Roman" w:eastAsia="Times New Roman" w:hAnsi="Times New Roman"/>
          <w:sz w:val="18"/>
          <w:szCs w:val="18"/>
          <w:color w:val="auto"/>
        </w:rPr>
      </w:pPr>
    </w:p>
    <w:p>
      <w:pPr>
        <w:ind w:right="280" w:firstLine="188"/>
        <w:spacing w:after="0" w:line="266" w:lineRule="auto"/>
        <w:tabs>
          <w:tab w:leader="none" w:pos="556" w:val="left"/>
        </w:tabs>
        <w:numPr>
          <w:ilvl w:val="0"/>
          <w:numId w:val="1"/>
        </w:numPr>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FF"/>
          </w:rPr>
          <w:t>February 17, 2022</w:t>
        </w:r>
        <w:r>
          <w:rPr>
            <w:rFonts w:ascii="Times New Roman" w:cs="Times New Roman" w:eastAsia="Times New Roman" w:hAnsi="Times New Roman"/>
            <w:sz w:val="18"/>
            <w:szCs w:val="18"/>
            <w:color w:val="auto"/>
          </w:rPr>
          <w:t xml:space="preserve"> (Item 8.01 only), </w:t>
        </w:r>
        <w:r>
          <w:rPr>
            <w:rFonts w:ascii="Times New Roman" w:cs="Times New Roman" w:eastAsia="Times New Roman" w:hAnsi="Times New Roman"/>
            <w:sz w:val="18"/>
            <w:szCs w:val="18"/>
            <w:u w:val="single" w:color="auto"/>
            <w:color w:val="0000FF"/>
          </w:rPr>
          <w:t>May 25,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June 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July 22,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(Item 8.01 only),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11,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15,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19,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23,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26,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December 2,</w:t>
        </w:r>
      </w:hyperlink>
      <w:r>
        <w:rPr>
          <w:rFonts w:ascii="Times New Roman" w:cs="Times New Roman" w:eastAsia="Times New Roman" w:hAnsi="Times New Roman"/>
          <w:sz w:val="18"/>
          <w:szCs w:val="18"/>
          <w:color w:val="0000FF"/>
        </w:rPr>
        <w:t xml:space="preserve"> </w:t>
      </w:r>
      <w:hyperlink r:id="rId21">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2">
        <w:r>
          <w:rPr>
            <w:rFonts w:ascii="Times New Roman" w:cs="Times New Roman" w:eastAsia="Times New Roman" w:hAnsi="Times New Roman"/>
            <w:sz w:val="18"/>
            <w:szCs w:val="18"/>
            <w:u w:val="single" w:color="auto"/>
            <w:color w:val="0000FF"/>
          </w:rPr>
          <w:t xml:space="preserve">February 9, 2023 </w:t>
        </w:r>
      </w:hyperlink>
      <w:hyperlink r:id="rId21">
        <w:r>
          <w:rPr>
            <w:rFonts w:ascii="Times New Roman" w:cs="Times New Roman" w:eastAsia="Times New Roman" w:hAnsi="Times New Roman"/>
            <w:sz w:val="18"/>
            <w:szCs w:val="18"/>
            <w:color w:val="000000"/>
          </w:rPr>
          <w:t>(Item 8.01 only),</w:t>
        </w:r>
        <w:r>
          <w:rPr>
            <w:rFonts w:ascii="Times New Roman" w:cs="Times New Roman" w:eastAsia="Times New Roman" w:hAnsi="Times New Roman"/>
            <w:sz w:val="18"/>
            <w:szCs w:val="18"/>
            <w:color w:val="0000FF"/>
          </w:rPr>
          <w:t xml:space="preserve"> </w:t>
        </w:r>
      </w:hyperlink>
      <w:hyperlink r:id="rId23">
        <w:r>
          <w:rPr>
            <w:rFonts w:ascii="Times New Roman" w:cs="Times New Roman" w:eastAsia="Times New Roman" w:hAnsi="Times New Roman"/>
            <w:sz w:val="18"/>
            <w:szCs w:val="18"/>
            <w:u w:val="single" w:color="auto"/>
            <w:color w:val="0000FF"/>
          </w:rPr>
          <w:t xml:space="preserve">February 17, 2023, </w:t>
        </w:r>
      </w:hyperlink>
      <w:hyperlink r:id="rId24">
        <w:r>
          <w:rPr>
            <w:rFonts w:ascii="Times New Roman" w:cs="Times New Roman" w:eastAsia="Times New Roman" w:hAnsi="Times New Roman"/>
            <w:sz w:val="18"/>
            <w:szCs w:val="18"/>
            <w:u w:val="single" w:color="auto"/>
            <w:color w:val="0000FF"/>
          </w:rPr>
          <w:t xml:space="preserve">February 21, 2023 </w:t>
        </w:r>
      </w:hyperlink>
      <w:hyperlink r:id="rId2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25">
        <w:r>
          <w:rPr>
            <w:rFonts w:ascii="Times New Roman" w:cs="Times New Roman" w:eastAsia="Times New Roman" w:hAnsi="Times New Roman"/>
            <w:sz w:val="18"/>
            <w:szCs w:val="18"/>
            <w:u w:val="single" w:color="auto"/>
            <w:color w:val="0000FF"/>
          </w:rPr>
          <w:t>February 23, 2023</w:t>
        </w:r>
      </w:hyperlink>
      <w:hyperlink r:id="rId21">
        <w:r>
          <w:rPr>
            <w:rFonts w:ascii="Times New Roman" w:cs="Times New Roman" w:eastAsia="Times New Roman" w:hAnsi="Times New Roman"/>
            <w:sz w:val="18"/>
            <w:szCs w:val="18"/>
            <w:color w:val="000000"/>
          </w:rPr>
          <w:t>; and</w:t>
        </w:r>
      </w:hyperlink>
    </w:p>
    <w:p>
      <w:pPr>
        <w:spacing w:after="0" w:line="202" w:lineRule="exact"/>
        <w:rPr>
          <w:rFonts w:ascii="Times New Roman" w:cs="Times New Roman" w:eastAsia="Times New Roman" w:hAnsi="Times New Roman"/>
          <w:sz w:val="18"/>
          <w:szCs w:val="18"/>
          <w:color w:val="0000FF"/>
        </w:rPr>
      </w:pPr>
    </w:p>
    <w:p>
      <w:pPr>
        <w:ind w:left="580" w:hanging="39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Class A Common Stock, par value $0.0001 per share, included in</w:t>
      </w:r>
    </w:p>
    <w:p>
      <w:pPr>
        <w:spacing w:after="0" w:line="27" w:lineRule="exact"/>
        <w:rPr>
          <w:rFonts w:ascii="Times New Roman" w:cs="Times New Roman" w:eastAsia="Times New Roman" w:hAnsi="Times New Roman"/>
          <w:sz w:val="18"/>
          <w:szCs w:val="18"/>
          <w:color w:val="0000FF"/>
        </w:rPr>
      </w:pPr>
    </w:p>
    <w:p>
      <w:pPr>
        <w:jc w:val="both"/>
        <w:ind w:right="20"/>
        <w:spacing w:after="0" w:line="260" w:lineRule="auto"/>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u w:val="single" w:color="auto"/>
            <w:color w:val="0000FF"/>
          </w:rPr>
          <w:t>Exhibit 4.4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Company’s Annual Report on Form 10-K for the fiscal year ended December 31, 2021, filed with the SEC on March 11, 2022, including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amendments or reports filed for the purpose of updating such description.</w:t>
      </w:r>
    </w:p>
    <w:p>
      <w:pPr>
        <w:spacing w:after="0" w:line="208" w:lineRule="exact"/>
        <w:rPr>
          <w:rFonts w:ascii="Times New Roman" w:cs="Times New Roman" w:eastAsia="Times New Roman" w:hAnsi="Times New Roman"/>
          <w:sz w:val="18"/>
          <w:szCs w:val="18"/>
          <w:color w:val="0000FF"/>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filed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Exchange Act shall not be incorporated by reference into this Registration Statement.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13" w:right="339" w:bottom="1440" w:gutter="0" w:footer="0" w:header="0"/>
        </w:sectPr>
      </w:pPr>
    </w:p>
    <w:bookmarkStart w:id="2" w:name="page3"/>
    <w:bookmarkEnd w:id="2"/>
    <w:p>
      <w:pPr>
        <w:spacing w:after="0" w:line="2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as amended, authorizes us to indemnify any director or officer under certain prescribed circumstances and subject to certain limitations against certain costs and expenses, including attorney’s fees actually and reasonably incurred in connection with any action, suit or proceeding, whether civil, criminal, administrative or investigative, to which a person is a party by reason of being one of our directors or officers if it is determined that such person acted in accordance with the applicable standard of conduct set forth in such statutory provisions.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and Bylaws provide that our officers and directors are indemnified by us to the fullest extent authorized or permitted by applicable law, as it now exists or may in the future be amended. In addition, we have entered into indemnification agreements with each of our directors and executive officers. These agreements require us, among other things, to indemnify these individuals to the fullest extent permitted by applicable law against expenses and liabilities that may arise by reason of their status as directors and executive officers, subject to certain exceptions, and to advance expenses incurred as a result of any proceeding against them as to which they could be indemnified. We have also purchased a policy of directors’ and officers’ liability insurance that insures our directors and executive officers against loss arising from claims made by reason of breach of duty or other wrongful act and insures us against our obligations to indemnify our directors and executive officers.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SEC, such indemnification is against public policy as expressed in the Securities Act and is, therefore, unenforceable.</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 or incorporated herein by reference.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40" w:type="dxa"/>
            <w:vAlign w:val="bottom"/>
            <w:gridSpan w:val="8"/>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40" w:type="dxa"/>
            <w:vAlign w:val="bottom"/>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9820" w:type="dxa"/>
            <w:vAlign w:val="bottom"/>
            <w:tcBorders>
              <w:top w:val="single" w:sz="8" w:color="auto"/>
            </w:tcBorders>
            <w:gridSpan w:val="11"/>
          </w:tcPr>
          <w:p>
            <w:pPr>
              <w:ind w:left="20"/>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6"/>
          </w:tcPr>
          <w:p>
            <w:pPr>
              <w:ind w:left="20"/>
              <w:spacing w:after="0" w:line="156"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Company's Registration Statement on Form S-1 filed with the SEC on January 13, 2022 (File No. 333-261785)).</w:t>
              </w:r>
            </w:hyperlink>
          </w:p>
        </w:tc>
        <w:tc>
          <w:tcPr>
            <w:tcW w:w="164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9820" w:type="dxa"/>
            <w:vAlign w:val="bottom"/>
            <w:gridSpan w:val="11"/>
          </w:tcPr>
          <w:p>
            <w:pPr>
              <w:ind w:left="20"/>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Amended and Restated Bylaws of Perella Weinberg Partners (incorporated by reference to Exhibit 3.2 to the Company’s Current Report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ind w:left="20"/>
              <w:spacing w:after="0" w:line="15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on Form 8-K, filed with the SEC on June 30, 2021).</w:t>
              </w:r>
            </w:hyperlink>
          </w:p>
        </w:tc>
        <w:tc>
          <w:tcPr>
            <w:tcW w:w="60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4"/>
                <w:szCs w:val="24"/>
                <w:color w:val="auto"/>
              </w:rPr>
            </w:pPr>
          </w:p>
        </w:tc>
        <w:tc>
          <w:tcPr>
            <w:tcW w:w="40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Opinion of Skadden, Arps, Slate, Meagher &amp; Flom LLP.</w:t>
            </w:r>
          </w:p>
        </w:tc>
        <w:tc>
          <w:tcPr>
            <w:tcW w:w="57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98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4"/>
                <w:szCs w:val="24"/>
                <w:color w:val="auto"/>
              </w:rPr>
            </w:pPr>
          </w:p>
        </w:tc>
        <w:tc>
          <w:tcPr>
            <w:tcW w:w="98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Consent of Skadden, Arps, Slate, Meagher &amp; Flom LLP (included in Exhibit 5.1 hereto).</w:t>
            </w:r>
          </w:p>
        </w:tc>
        <w:tc>
          <w:tcPr>
            <w:tcW w:w="0" w:type="dxa"/>
            <w:vAlign w:val="bottom"/>
          </w:tcPr>
          <w:p>
            <w:pPr>
              <w:spacing w:after="0"/>
              <w:rPr>
                <w:sz w:val="1"/>
                <w:szCs w:val="1"/>
                <w:color w:val="auto"/>
              </w:rPr>
            </w:pPr>
          </w:p>
        </w:tc>
      </w:tr>
      <w:tr>
        <w:trPr>
          <w:trHeight w:val="33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4"/>
                <w:szCs w:val="24"/>
                <w:color w:val="auto"/>
              </w:rPr>
            </w:pPr>
          </w:p>
        </w:tc>
        <w:tc>
          <w:tcPr>
            <w:tcW w:w="982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Powers of Attorney (included as part of the signature page hereto).</w:t>
            </w:r>
          </w:p>
        </w:tc>
        <w:tc>
          <w:tcPr>
            <w:tcW w:w="0" w:type="dxa"/>
            <w:vAlign w:val="bottom"/>
          </w:tcPr>
          <w:p>
            <w:pPr>
              <w:spacing w:after="0"/>
              <w:rPr>
                <w:sz w:val="1"/>
                <w:szCs w:val="1"/>
                <w:color w:val="auto"/>
              </w:rPr>
            </w:pPr>
          </w:p>
        </w:tc>
      </w:tr>
      <w:tr>
        <w:trPr>
          <w:trHeight w:val="29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9820" w:type="dxa"/>
            <w:vAlign w:val="bottom"/>
            <w:gridSpan w:val="11"/>
          </w:tcPr>
          <w:p>
            <w:pPr>
              <w:ind w:left="20"/>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Perella Weinberg Partners 2021 Omnibus Incentive Plan (incorporated by reference to Exhibit 10.6 to the Company’s Current Report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ind w:left="20"/>
              <w:spacing w:after="0" w:line="15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on Form 8-K, filed with the SEC on June 30, 2021).</w:t>
              </w:r>
            </w:hyperlink>
          </w:p>
        </w:tc>
        <w:tc>
          <w:tcPr>
            <w:tcW w:w="582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4"/>
                <w:szCs w:val="24"/>
                <w:color w:val="auto"/>
              </w:rPr>
            </w:pPr>
          </w:p>
        </w:tc>
        <w:tc>
          <w:tcPr>
            <w:tcW w:w="9820" w:type="dxa"/>
            <w:vAlign w:val="bottom"/>
            <w:gridSpan w:val="11"/>
          </w:tcPr>
          <w:p>
            <w:pPr>
              <w:ind w:left="20"/>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French Sub-Plan Under the Perella Weinberg Partners 2021 Omnibus Equity Incentive Plan (incorporated by reference to Exhibit 10.7</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5"/>
          </w:tcPr>
          <w:p>
            <w:pPr>
              <w:ind w:left="20"/>
              <w:spacing w:after="0" w:line="15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to the Company’s Current Report on Form 8-K, filed with the SEC on June 30, 2021).</w:t>
              </w:r>
            </w:hyperlink>
          </w:p>
        </w:tc>
        <w:tc>
          <w:tcPr>
            <w:tcW w:w="3480" w:type="dxa"/>
            <w:vAlign w:val="bottom"/>
            <w:tcBorders>
              <w:top w:val="single" w:sz="8" w:color="0000FF"/>
            </w:tcBorders>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12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8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5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The Registrant hereby undertakes:</w:t>
      </w:r>
    </w:p>
    <w:p>
      <w:pPr>
        <w:spacing w:after="0" w:line="25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52" w:lineRule="exact"/>
        <w:rPr>
          <w:rFonts w:ascii="Times New Roman" w:cs="Times New Roman" w:eastAsia="Times New Roman" w:hAnsi="Times New Roman"/>
          <w:sz w:val="18"/>
          <w:szCs w:val="18"/>
          <w:color w:val="auto"/>
        </w:rPr>
      </w:pPr>
    </w:p>
    <w:p>
      <w:pPr>
        <w:ind w:right="20" w:firstLine="656"/>
        <w:spacing w:after="0" w:line="282" w:lineRule="auto"/>
        <w:tabs>
          <w:tab w:leader="none" w:pos="92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8" w:lineRule="exact"/>
        <w:rPr>
          <w:rFonts w:ascii="Times New Roman" w:cs="Times New Roman" w:eastAsia="Times New Roman" w:hAnsi="Times New Roman"/>
          <w:sz w:val="18"/>
          <w:szCs w:val="18"/>
          <w:color w:val="auto"/>
        </w:rPr>
      </w:pPr>
    </w:p>
    <w:p>
      <w:pPr>
        <w:ind w:right="540" w:firstLine="656"/>
        <w:spacing w:after="0" w:line="282" w:lineRule="auto"/>
        <w:tabs>
          <w:tab w:leader="none" w:pos="96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7"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202" w:lineRule="exact"/>
        <w:rPr>
          <w:sz w:val="20"/>
          <w:szCs w:val="20"/>
          <w:color w:val="auto"/>
        </w:rPr>
      </w:pPr>
    </w:p>
    <w:p>
      <w:pPr>
        <w:jc w:val="both"/>
        <w:ind w:right="20" w:firstLine="8"/>
        <w:spacing w:after="0" w:line="312" w:lineRule="auto"/>
        <w:tabs>
          <w:tab w:leader="none" w:pos="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Times New Roman" w:cs="Times New Roman" w:eastAsia="Times New Roman" w:hAnsi="Times New Roman"/>
          <w:sz w:val="17"/>
          <w:szCs w:val="17"/>
          <w:color w:val="auto"/>
        </w:rPr>
      </w:pPr>
    </w:p>
    <w:p>
      <w:pPr>
        <w:ind w:right="240" w:firstLine="8"/>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240"/>
          </w:cols>
          <w:pgMar w:left="320" w:top="1431" w:right="339" w:bottom="1440" w:gutter="0" w:footer="0" w:header="0"/>
        </w:sectPr>
      </w:pPr>
    </w:p>
    <w:bookmarkStart w:id="4" w:name="page5"/>
    <w:bookmarkEnd w:id="4"/>
    <w:p>
      <w:pPr>
        <w:jc w:val="both"/>
        <w:ind w:firstLine="8"/>
        <w:spacing w:after="0" w:line="261"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rFonts w:ascii="Times New Roman" w:cs="Times New Roman" w:eastAsia="Times New Roman" w:hAnsi="Times New Roman"/>
          <w:sz w:val="18"/>
          <w:szCs w:val="18"/>
          <w:color w:val="auto"/>
        </w:rPr>
      </w:pPr>
    </w:p>
    <w:p>
      <w:pPr>
        <w:jc w:val="both"/>
        <w:ind w:firstLine="8"/>
        <w:spacing w:after="0" w:line="255" w:lineRule="auto"/>
        <w:tabs>
          <w:tab w:leader="none" w:pos="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February 23, 2023.</w:t>
      </w: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97"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and in the capacities and on the date indicated.</w:t>
      </w:r>
    </w:p>
    <w:p>
      <w:pPr>
        <w:sectPr>
          <w:pgSz w:w="11900" w:h="16838" w:orient="portrait"/>
          <w:cols w:equalWidth="0" w:num="1">
            <w:col w:w="11240"/>
          </w:cols>
          <w:pgMar w:left="320" w:top="1417" w:right="339" w:bottom="1440" w:gutter="0" w:footer="0" w:header="0"/>
        </w:sectPr>
      </w:pPr>
    </w:p>
    <w:bookmarkStart w:id="5" w:name="page6"/>
    <w:bookmarkEnd w:id="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BEDNAR</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100" w:type="dxa"/>
            <w:vAlign w:val="bottom"/>
          </w:tcPr>
          <w:p>
            <w:pPr>
              <w:spacing w:after="0"/>
              <w:rPr>
                <w:sz w:val="19"/>
                <w:szCs w:val="19"/>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GARY S. BARANCIK</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Gary S. Barancik</w:t>
            </w:r>
          </w:p>
        </w:tc>
        <w:tc>
          <w:tcPr>
            <w:tcW w:w="100" w:type="dxa"/>
            <w:vAlign w:val="bottom"/>
          </w:tcPr>
          <w:p>
            <w:pPr>
              <w:spacing w:after="0"/>
              <w:rPr>
                <w:sz w:val="19"/>
                <w:szCs w:val="19"/>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ALEXANDRA GOTTSCHALK</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Alexandra Gottschalk</w:t>
            </w:r>
          </w:p>
        </w:tc>
        <w:tc>
          <w:tcPr>
            <w:tcW w:w="100" w:type="dxa"/>
            <w:vAlign w:val="bottom"/>
          </w:tcPr>
          <w:p>
            <w:pPr>
              <w:spacing w:after="0"/>
              <w:rPr>
                <w:sz w:val="19"/>
                <w:szCs w:val="19"/>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A. WEINBERG</w:t>
            </w:r>
          </w:p>
        </w:tc>
        <w:tc>
          <w:tcPr>
            <w:tcW w:w="100" w:type="dxa"/>
            <w:vAlign w:val="bottom"/>
          </w:tcPr>
          <w:p>
            <w:pPr>
              <w:spacing w:after="0"/>
              <w:rPr>
                <w:sz w:val="24"/>
                <w:szCs w:val="24"/>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Chairman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A. Weinberg</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R. PERELLA</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Emeritus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R. Perella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K. STEEL</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Vice Chairman</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K. Steel</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DIETRICH BECKER</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ELIZABETH COGAN FASCITELLI</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Elizabeth Cogan Fascitelli</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 W. MUGFORD</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Kristin W. Mugford</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JORMA OLLILA</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Jorma Ollila</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IVAN G. SEIDENBERG</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Ivan G. Seidenberg</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JANE C. SHERBURNE</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Jane C. Sherburne</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41"/>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G. COHEN</w:t>
            </w:r>
          </w:p>
        </w:tc>
        <w:tc>
          <w:tcPr>
            <w:tcW w:w="10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2023</w:t>
            </w:r>
          </w:p>
        </w:tc>
      </w:tr>
      <w:tr>
        <w:trPr>
          <w:trHeight w:val="22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G. Cohen</w:t>
            </w:r>
          </w:p>
        </w:tc>
        <w:tc>
          <w:tcPr>
            <w:tcW w:w="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ind w:left="10433"/>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66" w:lineRule="exact"/>
        <w:rPr>
          <w:sz w:val="20"/>
          <w:szCs w:val="20"/>
          <w:color w:val="auto"/>
        </w:rPr>
      </w:pPr>
    </w:p>
    <w:p>
      <w:pPr>
        <w:ind w:left="533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293"/>
        <w:spacing w:after="0"/>
        <w:rPr>
          <w:sz w:val="20"/>
          <w:szCs w:val="20"/>
          <w:color w:val="auto"/>
        </w:rPr>
      </w:pPr>
      <w:r>
        <w:rPr>
          <w:rFonts w:ascii="Times New Roman" w:cs="Times New Roman" w:eastAsia="Times New Roman" w:hAnsi="Times New Roman"/>
          <w:sz w:val="18"/>
          <w:szCs w:val="18"/>
          <w:color w:val="auto"/>
        </w:rPr>
        <w:t>(Form Type)</w:t>
      </w:r>
    </w:p>
    <w:p>
      <w:pPr>
        <w:spacing w:after="0" w:line="243"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3"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b w:val="1"/>
          <w:bCs w:val="1"/>
          <w:u w:val="single" w:color="auto"/>
          <w:color w:val="auto"/>
        </w:rPr>
        <w:t>Table I: Newl</w:t>
      </w:r>
      <w:r>
        <w:rPr>
          <w:rFonts w:ascii="Times New Roman" w:cs="Times New Roman" w:eastAsia="Times New Roman" w:hAnsi="Times New Roman"/>
          <w:sz w:val="18"/>
          <w:szCs w:val="18"/>
          <w:b w:val="1"/>
          <w:bCs w:val="1"/>
          <w:color w:val="auto"/>
        </w:rPr>
        <w:t xml:space="preserve">y </w:t>
      </w:r>
      <w:r>
        <w:rPr>
          <w:rFonts w:ascii="Times New Roman" w:cs="Times New Roman" w:eastAsia="Times New Roman" w:hAnsi="Times New Roman"/>
          <w:sz w:val="18"/>
          <w:szCs w:val="18"/>
          <w:b w:val="1"/>
          <w:bCs w:val="1"/>
          <w:u w:val="single" w:color="auto"/>
          <w:color w:val="auto"/>
        </w:rPr>
        <w:t>Re</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u w:val="single" w:color="auto"/>
          <w:color w:val="auto"/>
        </w:rPr>
        <w:t>istered Securities</w:t>
      </w:r>
    </w:p>
    <w:p>
      <w:pPr>
        <w:spacing w:after="0" w:line="281" w:lineRule="exact"/>
        <w:rPr>
          <w:sz w:val="20"/>
          <w:szCs w:val="20"/>
          <w:color w:val="auto"/>
        </w:rPr>
      </w:pPr>
    </w:p>
    <w:tbl>
      <w:tblPr>
        <w:tblLayout w:type="fixed"/>
        <w:tblInd w:w="83" w:type="dxa"/>
        <w:tblCellMar>
          <w:top w:w="0" w:type="dxa"/>
          <w:left w:w="0" w:type="dxa"/>
          <w:bottom w:w="0" w:type="dxa"/>
          <w:right w:w="0" w:type="dxa"/>
        </w:tblCellMar>
      </w:tblPr>
      <w:tr>
        <w:trPr>
          <w:trHeight w:val="198"/>
        </w:trPr>
        <w:tc>
          <w:tcPr>
            <w:tcW w:w="12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Security Type</w:t>
            </w:r>
          </w:p>
        </w:tc>
        <w:tc>
          <w:tcPr>
            <w:tcW w:w="16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Security Class Title</w:t>
            </w:r>
          </w:p>
        </w:tc>
        <w:tc>
          <w:tcPr>
            <w:tcW w:w="112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Fee</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Proposed</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Maximum Aggregate</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vMerge w:val="continue"/>
          </w:tcPr>
          <w:p>
            <w:pPr>
              <w:spacing w:after="0"/>
              <w:rPr>
                <w:sz w:val="15"/>
                <w:szCs w:val="15"/>
                <w:color w:val="auto"/>
              </w:rPr>
            </w:pPr>
          </w:p>
        </w:tc>
        <w:tc>
          <w:tcPr>
            <w:tcW w:w="168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Calculation</w:t>
            </w:r>
          </w:p>
        </w:tc>
        <w:tc>
          <w:tcPr>
            <w:tcW w:w="130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Maximum Offering</w:t>
            </w:r>
          </w:p>
        </w:tc>
        <w:tc>
          <w:tcPr>
            <w:tcW w:w="176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Registered</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Price Per Unit</w:t>
            </w:r>
          </w:p>
        </w:tc>
        <w:tc>
          <w:tcPr>
            <w:tcW w:w="17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Offering Price</w:t>
            </w: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vMerge w:val="continue"/>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Class A Common</w:t>
            </w:r>
          </w:p>
        </w:tc>
        <w:tc>
          <w:tcPr>
            <w:tcW w:w="11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Borders>
              <w:left w:val="single" w:sz="8" w:color="auto"/>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Stock, par value</w:t>
            </w:r>
          </w:p>
        </w:tc>
        <w:tc>
          <w:tcPr>
            <w:tcW w:w="11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$110.20 per</w:t>
            </w:r>
          </w:p>
        </w:tc>
        <w:tc>
          <w:tcPr>
            <w:tcW w:w="1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Equity</w:t>
            </w:r>
          </w:p>
        </w:tc>
        <w:tc>
          <w:tcPr>
            <w:tcW w:w="168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$0.0001 per share</w:t>
            </w:r>
          </w:p>
        </w:tc>
        <w:tc>
          <w:tcPr>
            <w:tcW w:w="112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457(a)</w:t>
            </w:r>
          </w:p>
        </w:tc>
        <w:tc>
          <w:tcPr>
            <w:tcW w:w="13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6"/>
                <w:szCs w:val="16"/>
                <w:color w:val="auto"/>
              </w:rPr>
              <w:t>5,219,905</w:t>
            </w:r>
            <w:r>
              <w:rPr>
                <w:rFonts w:ascii="Times New Roman" w:cs="Times New Roman" w:eastAsia="Times New Roman" w:hAnsi="Times New Roman"/>
                <w:sz w:val="20"/>
                <w:szCs w:val="20"/>
                <w:color w:val="auto"/>
                <w:vertAlign w:val="superscript"/>
              </w:rPr>
              <w:t>(1)</w:t>
            </w:r>
          </w:p>
        </w:tc>
        <w:tc>
          <w:tcPr>
            <w:tcW w:w="15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6"/>
                <w:szCs w:val="16"/>
                <w:color w:val="auto"/>
              </w:rPr>
              <w:t>$10.66</w:t>
            </w:r>
            <w:r>
              <w:rPr>
                <w:rFonts w:ascii="Times New Roman" w:cs="Times New Roman" w:eastAsia="Times New Roman" w:hAnsi="Times New Roman"/>
                <w:sz w:val="20"/>
                <w:szCs w:val="20"/>
                <w:color w:val="auto"/>
                <w:vertAlign w:val="superscript"/>
              </w:rPr>
              <w:t>(2)</w:t>
            </w:r>
          </w:p>
        </w:tc>
        <w:tc>
          <w:tcPr>
            <w:tcW w:w="17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6"/>
                <w:szCs w:val="16"/>
                <w:color w:val="auto"/>
              </w:rPr>
              <w:t>$55,644,187.30</w:t>
            </w:r>
            <w:r>
              <w:rPr>
                <w:rFonts w:ascii="Times New Roman" w:cs="Times New Roman" w:eastAsia="Times New Roman" w:hAnsi="Times New Roman"/>
                <w:sz w:val="20"/>
                <w:szCs w:val="20"/>
                <w:color w:val="auto"/>
                <w:vertAlign w:val="superscript"/>
              </w:rPr>
              <w:t>(3)</w:t>
            </w:r>
          </w:p>
        </w:tc>
        <w:tc>
          <w:tcPr>
            <w:tcW w:w="13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$6,131.99</w:t>
            </w:r>
          </w:p>
        </w:tc>
        <w:tc>
          <w:tcPr>
            <w:tcW w:w="0" w:type="dxa"/>
            <w:vAlign w:val="bottom"/>
          </w:tcPr>
          <w:p>
            <w:pPr>
              <w:spacing w:after="0"/>
              <w:rPr>
                <w:sz w:val="1"/>
                <w:szCs w:val="1"/>
                <w:color w:val="auto"/>
              </w:rPr>
            </w:pPr>
          </w:p>
        </w:tc>
      </w:tr>
      <w:tr>
        <w:trPr>
          <w:trHeight w:val="86"/>
        </w:trPr>
        <w:tc>
          <w:tcPr>
            <w:tcW w:w="128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million dollars</w:t>
            </w:r>
          </w:p>
        </w:tc>
        <w:tc>
          <w:tcPr>
            <w:tcW w:w="1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w:t>
            </w:r>
          </w:p>
        </w:tc>
        <w:tc>
          <w:tcPr>
            <w:tcW w:w="112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80" w:type="dxa"/>
            <w:vAlign w:val="bottom"/>
            <w:tcBorders>
              <w:left w:val="single" w:sz="8" w:color="auto"/>
              <w:right w:val="single" w:sz="8" w:color="auto"/>
            </w:tcBorders>
          </w:tcPr>
          <w:p>
            <w:pPr>
              <w:spacing w:after="0"/>
              <w:rPr>
                <w:sz w:val="3"/>
                <w:szCs w:val="3"/>
                <w:color w:val="auto"/>
              </w:rPr>
            </w:pPr>
          </w:p>
        </w:tc>
        <w:tc>
          <w:tcPr>
            <w:tcW w:w="1680" w:type="dxa"/>
            <w:vAlign w:val="bottom"/>
            <w:tcBorders>
              <w:right w:val="single" w:sz="8" w:color="auto"/>
            </w:tcBorders>
            <w:vMerge w:val="continue"/>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11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3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$55,644,187.30</w:t>
            </w:r>
            <w:r>
              <w:rPr>
                <w:rFonts w:ascii="Times New Roman" w:cs="Times New Roman" w:eastAsia="Times New Roman" w:hAnsi="Times New Roman"/>
                <w:sz w:val="23"/>
                <w:szCs w:val="23"/>
                <w:color w:val="auto"/>
                <w:w w:val="96"/>
                <w:vertAlign w:val="superscript"/>
              </w:rPr>
              <w:t>(3)</w:t>
            </w: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$6,131.99</w:t>
            </w: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bottom w:val="single" w:sz="8" w:color="auto"/>
            </w:tcBorders>
          </w:tcPr>
          <w:p>
            <w:pPr>
              <w:spacing w:after="0"/>
              <w:rPr>
                <w:sz w:val="19"/>
                <w:szCs w:val="19"/>
                <w:color w:val="auto"/>
              </w:rPr>
            </w:pPr>
          </w:p>
        </w:tc>
        <w:tc>
          <w:tcPr>
            <w:tcW w:w="2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13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$6,131.99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73" w:right="20" w:firstLine="8"/>
        <w:spacing w:after="0" w:line="248" w:lineRule="auto"/>
        <w:tabs>
          <w:tab w:leader="none" w:pos="19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 indeterminate number of additional shares of Class A Common Stock of Perella Weinberg Partners (the “Registrant”) that may, with respect to the shares of Class A Common Stock registered hereunder, become issuable under the Registrant’s 2021 Omnibus Incentive Plan by reason of any stock dividend, stock split, recapitalization or other similar transaction effected without the Registrant’s receipt of consideration, which results in an increase in the number of the Registrant’s outstanding shares of Class A Common Stock.</w:t>
      </w:r>
    </w:p>
    <w:p>
      <w:pPr>
        <w:spacing w:after="0" w:line="235" w:lineRule="exact"/>
        <w:rPr>
          <w:sz w:val="20"/>
          <w:szCs w:val="20"/>
          <w:color w:val="auto"/>
        </w:rPr>
      </w:pPr>
    </w:p>
    <w:p>
      <w:pPr>
        <w:ind w:left="73" w:right="40" w:hanging="73"/>
        <w:spacing w:after="0" w:line="229" w:lineRule="auto"/>
        <w:tabs>
          <w:tab w:leader="none" w:pos="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solely for the purpose of calculating the registration fee pursuant to Rules 457(c) and (h) under the Securities Act, on the basis of the average of the high and low prices per share of the Class A Common Stock as reported on the Nasdaq Global Select Market on February 21, 2023.</w:t>
      </w:r>
    </w:p>
    <w:p>
      <w:pPr>
        <w:spacing w:after="0" w:line="239" w:lineRule="exact"/>
        <w:rPr>
          <w:sz w:val="20"/>
          <w:szCs w:val="20"/>
          <w:color w:val="auto"/>
        </w:rPr>
      </w:pPr>
    </w:p>
    <w:p>
      <w:pPr>
        <w:ind w:left="73" w:right="20" w:hanging="73"/>
        <w:spacing w:after="0" w:line="229" w:lineRule="auto"/>
        <w:tabs>
          <w:tab w:leader="none" w:pos="9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solely for the purpose of calculating the registration fee pursuant to Rule 457(o) under the Securities Act. Calculated in accordance with Section 6 of the Securities Act and Rule 457 under the Securities Act by multiplying 0.0001102 and the proposed maximum aggregate offering price.</w:t>
      </w:r>
    </w:p>
    <w:p>
      <w:pPr>
        <w:sectPr>
          <w:pgSz w:w="11900" w:h="16838" w:orient="portrait"/>
          <w:cols w:equalWidth="0" w:num="1">
            <w:col w:w="11333"/>
          </w:cols>
          <w:pgMar w:left="247" w:top="104" w:right="31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2280"/>
        <w:spacing w:after="0"/>
        <w:rPr>
          <w:sz w:val="20"/>
          <w:szCs w:val="20"/>
          <w:color w:val="auto"/>
        </w:rPr>
      </w:pPr>
      <w:r>
        <w:rPr>
          <w:rFonts w:ascii="Arial" w:cs="Arial" w:eastAsia="Arial" w:hAnsi="Arial"/>
          <w:sz w:val="25"/>
          <w:szCs w:val="25"/>
          <w:color w:val="auto"/>
        </w:rPr>
        <w:t>SKADDEN, ARPS, SLATE, MEAGHER &amp; FLOM LLP</w:t>
      </w:r>
    </w:p>
    <w:p>
      <w:pPr>
        <w:spacing w:after="0" w:line="118" w:lineRule="exact"/>
        <w:rPr>
          <w:sz w:val="20"/>
          <w:szCs w:val="20"/>
          <w:color w:val="auto"/>
        </w:rPr>
      </w:pPr>
    </w:p>
    <w:p>
      <w:pPr>
        <w:jc w:val="center"/>
        <w:ind w:left="2260"/>
        <w:spacing w:after="0"/>
        <w:rPr>
          <w:sz w:val="20"/>
          <w:szCs w:val="20"/>
          <w:color w:val="auto"/>
        </w:rPr>
      </w:pPr>
      <w:r>
        <w:rPr>
          <w:rFonts w:ascii="Arial" w:cs="Arial" w:eastAsia="Arial" w:hAnsi="Arial"/>
          <w:sz w:val="20"/>
          <w:szCs w:val="20"/>
          <w:color w:val="auto"/>
        </w:rPr>
        <w:t>ONE MANHATTAN WEST</w:t>
      </w:r>
    </w:p>
    <w:p>
      <w:pPr>
        <w:jc w:val="center"/>
        <w:ind w:left="2260"/>
        <w:spacing w:after="0" w:line="235" w:lineRule="auto"/>
        <w:rPr>
          <w:sz w:val="20"/>
          <w:szCs w:val="20"/>
          <w:color w:val="auto"/>
        </w:rPr>
      </w:pPr>
      <w:r>
        <w:rPr>
          <w:rFonts w:ascii="Arial" w:cs="Arial" w:eastAsia="Arial" w:hAnsi="Arial"/>
          <w:sz w:val="20"/>
          <w:szCs w:val="20"/>
          <w:color w:val="auto"/>
        </w:rPr>
        <w:t>NEW YORK, NY 10001</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7"/>
          <w:szCs w:val="7"/>
          <w:color w:val="auto"/>
        </w:rPr>
        <w:t>________</w:t>
      </w:r>
    </w:p>
    <w:p>
      <w:pPr>
        <w:spacing w:after="0" w:line="254"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TEL: (212) 735-3000</w:t>
      </w:r>
    </w:p>
    <w:p>
      <w:pPr>
        <w:ind w:left="4860"/>
        <w:spacing w:after="0" w:line="231" w:lineRule="auto"/>
        <w:rPr>
          <w:sz w:val="20"/>
          <w:szCs w:val="20"/>
          <w:color w:val="auto"/>
        </w:rPr>
      </w:pPr>
      <w:r>
        <w:rPr>
          <w:rFonts w:ascii="Arial" w:cs="Arial" w:eastAsia="Arial" w:hAnsi="Arial"/>
          <w:sz w:val="16"/>
          <w:szCs w:val="16"/>
          <w:color w:val="auto"/>
        </w:rPr>
        <w:t>FAX: (212) 735-2000</w:t>
      </w:r>
    </w:p>
    <w:p>
      <w:pPr>
        <w:spacing w:after="0" w:line="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February 23, 2023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0"/>
        <w:spacing w:after="0"/>
        <w:rPr>
          <w:sz w:val="20"/>
          <w:szCs w:val="20"/>
          <w:color w:val="auto"/>
        </w:rPr>
      </w:pPr>
      <w:r>
        <w:rPr>
          <w:rFonts w:ascii="Arial" w:cs="Arial" w:eastAsia="Arial" w:hAnsi="Arial"/>
          <w:sz w:val="11"/>
          <w:szCs w:val="11"/>
          <w:color w:val="auto"/>
        </w:rPr>
        <w:t>FIRM/AFFILIATE OFFICES</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9"/>
          <w:szCs w:val="9"/>
          <w:color w:val="auto"/>
        </w:rPr>
        <w:t>-----------</w:t>
      </w:r>
    </w:p>
    <w:p>
      <w:pPr>
        <w:ind w:left="460"/>
        <w:spacing w:after="0"/>
        <w:rPr>
          <w:sz w:val="20"/>
          <w:szCs w:val="20"/>
          <w:color w:val="auto"/>
        </w:rPr>
      </w:pPr>
      <w:r>
        <w:rPr>
          <w:rFonts w:ascii="Arial" w:cs="Arial" w:eastAsia="Arial" w:hAnsi="Arial"/>
          <w:sz w:val="13"/>
          <w:szCs w:val="13"/>
          <w:color w:val="auto"/>
        </w:rPr>
        <w:t>BOSTON</w:t>
      </w:r>
    </w:p>
    <w:p>
      <w:pPr>
        <w:ind w:left="420"/>
        <w:spacing w:after="0" w:line="216" w:lineRule="auto"/>
        <w:rPr>
          <w:sz w:val="20"/>
          <w:szCs w:val="20"/>
          <w:color w:val="auto"/>
        </w:rPr>
      </w:pPr>
      <w:r>
        <w:rPr>
          <w:rFonts w:ascii="Arial" w:cs="Arial" w:eastAsia="Arial" w:hAnsi="Arial"/>
          <w:sz w:val="13"/>
          <w:szCs w:val="13"/>
          <w:color w:val="auto"/>
        </w:rPr>
        <w:t>CHICAGO</w:t>
      </w:r>
    </w:p>
    <w:p>
      <w:pPr>
        <w:ind w:left="400"/>
        <w:spacing w:after="0"/>
        <w:rPr>
          <w:sz w:val="20"/>
          <w:szCs w:val="20"/>
          <w:color w:val="auto"/>
        </w:rPr>
      </w:pPr>
      <w:r>
        <w:rPr>
          <w:rFonts w:ascii="Arial" w:cs="Arial" w:eastAsia="Arial" w:hAnsi="Arial"/>
          <w:sz w:val="13"/>
          <w:szCs w:val="13"/>
          <w:color w:val="auto"/>
        </w:rPr>
        <w:t>HOUSTON</w:t>
      </w:r>
    </w:p>
    <w:p>
      <w:pPr>
        <w:ind w:left="280"/>
        <w:spacing w:after="0" w:line="216" w:lineRule="auto"/>
        <w:rPr>
          <w:sz w:val="20"/>
          <w:szCs w:val="20"/>
          <w:color w:val="auto"/>
        </w:rPr>
      </w:pPr>
      <w:r>
        <w:rPr>
          <w:rFonts w:ascii="Arial" w:cs="Arial" w:eastAsia="Arial" w:hAnsi="Arial"/>
          <w:sz w:val="13"/>
          <w:szCs w:val="13"/>
          <w:color w:val="auto"/>
        </w:rPr>
        <w:t>LOS ANGELES</w:t>
      </w:r>
    </w:p>
    <w:p>
      <w:pPr>
        <w:jc w:val="center"/>
        <w:ind w:right="400"/>
        <w:spacing w:after="0" w:line="217" w:lineRule="auto"/>
        <w:rPr>
          <w:sz w:val="20"/>
          <w:szCs w:val="20"/>
          <w:color w:val="auto"/>
        </w:rPr>
      </w:pPr>
      <w:r>
        <w:rPr>
          <w:rFonts w:ascii="Arial" w:cs="Arial" w:eastAsia="Arial" w:hAnsi="Arial"/>
          <w:sz w:val="13"/>
          <w:szCs w:val="13"/>
          <w:color w:val="auto"/>
        </w:rPr>
        <w:t>PALO ALTO</w:t>
      </w:r>
    </w:p>
    <w:p>
      <w:pPr>
        <w:jc w:val="center"/>
        <w:ind w:right="400"/>
        <w:spacing w:after="0"/>
        <w:rPr>
          <w:sz w:val="20"/>
          <w:szCs w:val="20"/>
          <w:color w:val="auto"/>
        </w:rPr>
      </w:pPr>
      <w:r>
        <w:rPr>
          <w:rFonts w:ascii="Arial" w:cs="Arial" w:eastAsia="Arial" w:hAnsi="Arial"/>
          <w:sz w:val="13"/>
          <w:szCs w:val="13"/>
          <w:color w:val="auto"/>
        </w:rPr>
        <w:t>WASHINGTON, D.C.</w:t>
      </w:r>
    </w:p>
    <w:p>
      <w:pPr>
        <w:jc w:val="center"/>
        <w:ind w:right="400"/>
        <w:spacing w:after="0" w:line="225" w:lineRule="auto"/>
        <w:rPr>
          <w:sz w:val="20"/>
          <w:szCs w:val="20"/>
          <w:color w:val="auto"/>
        </w:rPr>
      </w:pPr>
      <w:r>
        <w:rPr>
          <w:rFonts w:ascii="Arial" w:cs="Arial" w:eastAsia="Arial" w:hAnsi="Arial"/>
          <w:sz w:val="13"/>
          <w:szCs w:val="13"/>
          <w:color w:val="auto"/>
        </w:rPr>
        <w:t>WILMINGTON</w:t>
      </w:r>
    </w:p>
    <w:p>
      <w:pPr>
        <w:ind w:left="560"/>
        <w:spacing w:after="0"/>
        <w:rPr>
          <w:sz w:val="20"/>
          <w:szCs w:val="20"/>
          <w:color w:val="auto"/>
        </w:rPr>
      </w:pPr>
      <w:r>
        <w:rPr>
          <w:rFonts w:ascii="Arial" w:cs="Arial" w:eastAsia="Arial" w:hAnsi="Arial"/>
          <w:sz w:val="9"/>
          <w:szCs w:val="9"/>
          <w:color w:val="auto"/>
        </w:rPr>
        <w:t>-----------</w:t>
      </w:r>
    </w:p>
    <w:p>
      <w:pPr>
        <w:jc w:val="center"/>
        <w:ind w:right="400"/>
        <w:spacing w:after="0" w:line="216" w:lineRule="auto"/>
        <w:rPr>
          <w:sz w:val="20"/>
          <w:szCs w:val="20"/>
          <w:color w:val="auto"/>
        </w:rPr>
      </w:pPr>
      <w:r>
        <w:rPr>
          <w:rFonts w:ascii="Arial" w:cs="Arial" w:eastAsia="Arial" w:hAnsi="Arial"/>
          <w:sz w:val="13"/>
          <w:szCs w:val="13"/>
          <w:color w:val="auto"/>
        </w:rPr>
        <w:t>BEIJING</w:t>
      </w:r>
    </w:p>
    <w:p>
      <w:pPr>
        <w:jc w:val="center"/>
        <w:ind w:right="400"/>
        <w:spacing w:after="0"/>
        <w:rPr>
          <w:sz w:val="20"/>
          <w:szCs w:val="20"/>
          <w:color w:val="auto"/>
        </w:rPr>
      </w:pPr>
      <w:r>
        <w:rPr>
          <w:rFonts w:ascii="Arial" w:cs="Arial" w:eastAsia="Arial" w:hAnsi="Arial"/>
          <w:sz w:val="13"/>
          <w:szCs w:val="13"/>
          <w:color w:val="auto"/>
        </w:rPr>
        <w:t>BRUSSELS</w:t>
      </w:r>
    </w:p>
    <w:p>
      <w:pPr>
        <w:ind w:left="340"/>
        <w:spacing w:after="0" w:line="216" w:lineRule="auto"/>
        <w:rPr>
          <w:sz w:val="20"/>
          <w:szCs w:val="20"/>
          <w:color w:val="auto"/>
        </w:rPr>
      </w:pPr>
      <w:r>
        <w:rPr>
          <w:rFonts w:ascii="Arial" w:cs="Arial" w:eastAsia="Arial" w:hAnsi="Arial"/>
          <w:sz w:val="13"/>
          <w:szCs w:val="13"/>
          <w:color w:val="auto"/>
        </w:rPr>
        <w:t>FRANKFURT</w:t>
      </w:r>
    </w:p>
    <w:p>
      <w:pPr>
        <w:ind w:left="320"/>
        <w:spacing w:after="0"/>
        <w:rPr>
          <w:sz w:val="20"/>
          <w:szCs w:val="20"/>
          <w:color w:val="auto"/>
        </w:rPr>
      </w:pPr>
      <w:r>
        <w:rPr>
          <w:rFonts w:ascii="Arial" w:cs="Arial" w:eastAsia="Arial" w:hAnsi="Arial"/>
          <w:sz w:val="13"/>
          <w:szCs w:val="13"/>
          <w:color w:val="auto"/>
        </w:rPr>
        <w:t>HONG KONG</w:t>
      </w:r>
    </w:p>
    <w:p>
      <w:pPr>
        <w:ind w:left="460"/>
        <w:spacing w:after="0" w:line="216" w:lineRule="auto"/>
        <w:rPr>
          <w:sz w:val="20"/>
          <w:szCs w:val="20"/>
          <w:color w:val="auto"/>
        </w:rPr>
      </w:pPr>
      <w:r>
        <w:rPr>
          <w:rFonts w:ascii="Arial" w:cs="Arial" w:eastAsia="Arial" w:hAnsi="Arial"/>
          <w:sz w:val="13"/>
          <w:szCs w:val="13"/>
          <w:color w:val="auto"/>
        </w:rPr>
        <w:t>LONDON</w:t>
      </w:r>
    </w:p>
    <w:p>
      <w:pPr>
        <w:ind w:left="460"/>
        <w:spacing w:after="0"/>
        <w:rPr>
          <w:sz w:val="20"/>
          <w:szCs w:val="20"/>
          <w:color w:val="auto"/>
        </w:rPr>
      </w:pPr>
      <w:r>
        <w:rPr>
          <w:rFonts w:ascii="Arial" w:cs="Arial" w:eastAsia="Arial" w:hAnsi="Arial"/>
          <w:sz w:val="13"/>
          <w:szCs w:val="13"/>
          <w:color w:val="auto"/>
        </w:rPr>
        <w:t>MUNICH</w:t>
      </w:r>
    </w:p>
    <w:p>
      <w:pPr>
        <w:jc w:val="center"/>
        <w:ind w:right="400"/>
        <w:spacing w:after="0" w:line="216" w:lineRule="auto"/>
        <w:rPr>
          <w:sz w:val="20"/>
          <w:szCs w:val="20"/>
          <w:color w:val="auto"/>
        </w:rPr>
      </w:pPr>
      <w:r>
        <w:rPr>
          <w:rFonts w:ascii="Arial" w:cs="Arial" w:eastAsia="Arial" w:hAnsi="Arial"/>
          <w:sz w:val="13"/>
          <w:szCs w:val="13"/>
          <w:color w:val="auto"/>
        </w:rPr>
        <w:t>PARIS</w:t>
      </w:r>
    </w:p>
    <w:p>
      <w:pPr>
        <w:jc w:val="center"/>
        <w:ind w:right="400"/>
        <w:spacing w:after="0" w:line="217" w:lineRule="auto"/>
        <w:rPr>
          <w:sz w:val="20"/>
          <w:szCs w:val="20"/>
          <w:color w:val="auto"/>
        </w:rPr>
      </w:pPr>
      <w:r>
        <w:rPr>
          <w:rFonts w:ascii="Arial" w:cs="Arial" w:eastAsia="Arial" w:hAnsi="Arial"/>
          <w:sz w:val="13"/>
          <w:szCs w:val="13"/>
          <w:color w:val="auto"/>
        </w:rPr>
        <w:t>SÃO PAULO</w:t>
      </w:r>
    </w:p>
    <w:p>
      <w:pPr>
        <w:jc w:val="center"/>
        <w:ind w:right="400"/>
        <w:spacing w:after="0"/>
        <w:rPr>
          <w:sz w:val="20"/>
          <w:szCs w:val="20"/>
          <w:color w:val="auto"/>
        </w:rPr>
      </w:pPr>
      <w:r>
        <w:rPr>
          <w:rFonts w:ascii="Arial" w:cs="Arial" w:eastAsia="Arial" w:hAnsi="Arial"/>
          <w:sz w:val="13"/>
          <w:szCs w:val="13"/>
          <w:color w:val="auto"/>
        </w:rPr>
        <w:t>SEOUL</w:t>
      </w:r>
    </w:p>
    <w:p>
      <w:pPr>
        <w:ind w:left="400"/>
        <w:spacing w:after="0" w:line="216" w:lineRule="auto"/>
        <w:rPr>
          <w:sz w:val="20"/>
          <w:szCs w:val="20"/>
          <w:color w:val="auto"/>
        </w:rPr>
      </w:pPr>
      <w:r>
        <w:rPr>
          <w:rFonts w:ascii="Arial" w:cs="Arial" w:eastAsia="Arial" w:hAnsi="Arial"/>
          <w:sz w:val="13"/>
          <w:szCs w:val="13"/>
          <w:color w:val="auto"/>
        </w:rPr>
        <w:t>SHANGHAI</w:t>
      </w:r>
    </w:p>
    <w:p>
      <w:pPr>
        <w:ind w:left="340"/>
        <w:spacing w:after="0"/>
        <w:rPr>
          <w:sz w:val="20"/>
          <w:szCs w:val="20"/>
          <w:color w:val="auto"/>
        </w:rPr>
      </w:pPr>
      <w:r>
        <w:rPr>
          <w:rFonts w:ascii="Arial" w:cs="Arial" w:eastAsia="Arial" w:hAnsi="Arial"/>
          <w:sz w:val="13"/>
          <w:szCs w:val="13"/>
          <w:color w:val="auto"/>
        </w:rPr>
        <w:t>SINGAPORE</w:t>
      </w:r>
    </w:p>
    <w:p>
      <w:pPr>
        <w:jc w:val="center"/>
        <w:ind w:right="400"/>
        <w:spacing w:after="0" w:line="216" w:lineRule="auto"/>
        <w:rPr>
          <w:sz w:val="20"/>
          <w:szCs w:val="20"/>
          <w:color w:val="auto"/>
        </w:rPr>
      </w:pPr>
      <w:r>
        <w:rPr>
          <w:rFonts w:ascii="Arial" w:cs="Arial" w:eastAsia="Arial" w:hAnsi="Arial"/>
          <w:sz w:val="13"/>
          <w:szCs w:val="13"/>
          <w:color w:val="auto"/>
        </w:rPr>
        <w:t>TOKYO</w:t>
      </w:r>
    </w:p>
    <w:p>
      <w:pPr>
        <w:jc w:val="center"/>
        <w:ind w:right="400"/>
        <w:spacing w:after="0"/>
        <w:rPr>
          <w:sz w:val="20"/>
          <w:szCs w:val="20"/>
          <w:color w:val="auto"/>
        </w:rPr>
      </w:pPr>
      <w:r>
        <w:rPr>
          <w:rFonts w:ascii="Arial" w:cs="Arial" w:eastAsia="Arial" w:hAnsi="Arial"/>
          <w:sz w:val="13"/>
          <w:szCs w:val="13"/>
          <w:color w:val="auto"/>
        </w:rPr>
        <w:t>TORONTO</w:t>
      </w:r>
    </w:p>
    <w:p>
      <w:pPr>
        <w:spacing w:after="0" w:line="200" w:lineRule="exact"/>
        <w:rPr>
          <w:sz w:val="20"/>
          <w:szCs w:val="20"/>
          <w:color w:val="auto"/>
        </w:rPr>
      </w:pPr>
    </w:p>
    <w:p>
      <w:pPr>
        <w:sectPr>
          <w:pgSz w:w="11900" w:h="16838" w:orient="portrait"/>
          <w:cols w:equalWidth="0" w:num="2">
            <w:col w:w="8980" w:space="420"/>
            <w:col w:w="1840"/>
          </w:cols>
          <w:pgMar w:left="320" w:top="104" w:right="3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10153</w:t>
      </w:r>
    </w:p>
    <w:p>
      <w:pPr>
        <w:spacing w:after="0" w:line="142"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Re:</w:t>
        <w:tab/>
        <w:t>Perella Weinberg Partners</w:t>
      </w:r>
    </w:p>
    <w:p>
      <w:pPr>
        <w:spacing w:after="0" w:line="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u w:val="single" w:color="auto"/>
          <w:color w:val="auto"/>
        </w:rPr>
        <w:t>Registration Statement on Form S-8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We have acted as special United States counsel to Perella Weinberg Partners,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connection with the Company’s Registration Statement on Form S-8 (together with the exhibits thereto, the “Registration Statement”) to be filed on the date hereof with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Securities Act of 1933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relating to the registration of 5,219,905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Company’s Class A common stock, par value $0.0001 per share, available for future issuance under the Perella Weinberg Partners 2021 Omnibus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opinion is being furnished in accordance with the requirements of Item 601(b)(5) of Regulation S-K of the General Rules and Regulations of the Commission promulgated under the Securities Act (the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4" w:lineRule="auto"/>
        <w:rPr>
          <w:sz w:val="20"/>
          <w:szCs w:val="20"/>
          <w:color w:val="auto"/>
        </w:rPr>
      </w:pPr>
      <w:r>
        <w:rPr>
          <w:rFonts w:ascii="Times New Roman" w:cs="Times New Roman" w:eastAsia="Times New Roman" w:hAnsi="Times New Roman"/>
          <w:sz w:val="22"/>
          <w:szCs w:val="22"/>
          <w:color w:val="auto"/>
        </w:rPr>
        <w:t>February 23,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rendering the opinion stated herein, we have examined the following:</w:t>
      </w:r>
    </w:p>
    <w:p>
      <w:pPr>
        <w:spacing w:after="0" w:line="233" w:lineRule="exact"/>
        <w:rPr>
          <w:sz w:val="20"/>
          <w:szCs w:val="20"/>
          <w:color w:val="auto"/>
        </w:rPr>
      </w:pPr>
    </w:p>
    <w:p>
      <w:pPr>
        <w:ind w:left="940" w:hanging="284"/>
        <w:spacing w:after="0"/>
        <w:tabs>
          <w:tab w:leader="none" w:pos="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in the form to be filed with the Commission on the date hereof;</w:t>
      </w:r>
    </w:p>
    <w:p>
      <w:pPr>
        <w:spacing w:after="0" w:line="233"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14" w:lineRule="exact"/>
        <w:rPr>
          <w:rFonts w:ascii="Times New Roman" w:cs="Times New Roman" w:eastAsia="Times New Roman" w:hAnsi="Times New Roman"/>
          <w:sz w:val="22"/>
          <w:szCs w:val="22"/>
          <w:color w:val="auto"/>
        </w:rPr>
      </w:pPr>
    </w:p>
    <w:p>
      <w:pPr>
        <w:ind w:firstLine="656"/>
        <w:spacing w:after="0" w:line="237" w:lineRule="auto"/>
        <w:tabs>
          <w:tab w:leader="none" w:pos="96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of Gary Barancik, Chief Financial Officer and Partner, dated the date hereof (the “</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656"/>
        <w:spacing w:after="0" w:line="238" w:lineRule="auto"/>
        <w:tabs>
          <w:tab w:leader="none" w:pos="96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Amended and Restated Certificate of Incorporation (the “</w:t>
      </w:r>
      <w:r>
        <w:rPr>
          <w:rFonts w:ascii="Times New Roman" w:cs="Times New Roman" w:eastAsia="Times New Roman" w:hAnsi="Times New Roman"/>
          <w:sz w:val="22"/>
          <w:szCs w:val="22"/>
          <w:u w:val="single" w:color="auto"/>
          <w:color w:val="auto"/>
        </w:rPr>
        <w:t>Amended and Restated Certificate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Incorporation</w:t>
      </w:r>
      <w:r>
        <w:rPr>
          <w:rFonts w:ascii="Times New Roman" w:cs="Times New Roman" w:eastAsia="Times New Roman" w:hAnsi="Times New Roman"/>
          <w:sz w:val="22"/>
          <w:szCs w:val="22"/>
          <w:color w:val="auto"/>
        </w:rPr>
        <w:t>”), as in effect as of December 28, 2020, certified by the Secretary of State of the State of Delaware as of February 23, 2023, and certified pursuant to the Officer’s Certificate;</w:t>
      </w:r>
    </w:p>
    <w:p>
      <w:pPr>
        <w:spacing w:after="0" w:line="205" w:lineRule="exact"/>
        <w:rPr>
          <w:rFonts w:ascii="Times New Roman" w:cs="Times New Roman" w:eastAsia="Times New Roman" w:hAnsi="Times New Roman"/>
          <w:sz w:val="22"/>
          <w:szCs w:val="22"/>
          <w:color w:val="auto"/>
        </w:rPr>
      </w:pPr>
    </w:p>
    <w:p>
      <w:pPr>
        <w:jc w:val="both"/>
        <w:ind w:firstLine="656"/>
        <w:spacing w:after="0" w:line="244" w:lineRule="auto"/>
        <w:tabs>
          <w:tab w:leader="none" w:pos="99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Restated Certificate of Incorporation (the “</w:t>
      </w:r>
      <w:r>
        <w:rPr>
          <w:rFonts w:ascii="Times New Roman" w:cs="Times New Roman" w:eastAsia="Times New Roman" w:hAnsi="Times New Roman"/>
          <w:sz w:val="22"/>
          <w:szCs w:val="22"/>
          <w:u w:val="single" w:color="auto"/>
          <w:color w:val="auto"/>
        </w:rPr>
        <w:t>Restated Certificate of Incorporation</w:t>
      </w:r>
      <w:r>
        <w:rPr>
          <w:rFonts w:ascii="Times New Roman" w:cs="Times New Roman" w:eastAsia="Times New Roman" w:hAnsi="Times New Roman"/>
          <w:sz w:val="22"/>
          <w:szCs w:val="22"/>
          <w:color w:val="auto"/>
        </w:rPr>
        <w:t>”), as currently in effect, certified by the Secretary of State of the State of Delaware as of February 23, 2023, and certified pursuant to the Officer’s Certificate;</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Bylaws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as amended and in effect as of December 28, 2020, and certified pursuant to the Officer’s Certificate;</w:t>
      </w:r>
    </w:p>
    <w:p>
      <w:pPr>
        <w:spacing w:after="0" w:line="185" w:lineRule="exact"/>
        <w:rPr>
          <w:rFonts w:ascii="Times New Roman" w:cs="Times New Roman" w:eastAsia="Times New Roman" w:hAnsi="Times New Roman"/>
          <w:sz w:val="22"/>
          <w:szCs w:val="22"/>
          <w:color w:val="auto"/>
        </w:rPr>
      </w:pPr>
    </w:p>
    <w:p>
      <w:pPr>
        <w:ind w:right="20" w:firstLine="656"/>
        <w:spacing w:after="0" w:line="258" w:lineRule="auto"/>
        <w:tabs>
          <w:tab w:leader="none" w:pos="96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Company’s Amended and Restated Bylaws (the “</w:t>
      </w:r>
      <w:r>
        <w:rPr>
          <w:rFonts w:ascii="Times New Roman" w:cs="Times New Roman" w:eastAsia="Times New Roman" w:hAnsi="Times New Roman"/>
          <w:sz w:val="22"/>
          <w:szCs w:val="22"/>
          <w:u w:val="single" w:color="auto"/>
          <w:color w:val="auto"/>
        </w:rPr>
        <w:t>Amended and Restated Bylaws</w:t>
      </w:r>
      <w:r>
        <w:rPr>
          <w:rFonts w:ascii="Times New Roman" w:cs="Times New Roman" w:eastAsia="Times New Roman" w:hAnsi="Times New Roman"/>
          <w:sz w:val="22"/>
          <w:szCs w:val="22"/>
          <w:color w:val="auto"/>
        </w:rPr>
        <w:t>”), as amended and in effect as of the date hereof, and certified pursuant to the Officer’s Certificate; and</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95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certain resolutions of the Board of Directors of the Company relating to the approval of the Plan and certain related matters and certified pursuant to the Officer’s Certificate.</w:t>
      </w:r>
    </w:p>
    <w:p>
      <w:pPr>
        <w:spacing w:after="0" w:line="17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including the facts and conclusions set forth in the Officer’s Certificate.</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1"/>
          <w:szCs w:val="21"/>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w:t>
      </w:r>
    </w:p>
    <w:p>
      <w:pPr>
        <w:sectPr>
          <w:pgSz w:w="11900" w:h="16838" w:orient="portrait"/>
          <w:cols w:equalWidth="0" w:num="1">
            <w:col w:w="11240"/>
          </w:cols>
          <w:pgMar w:left="320" w:top="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4" w:lineRule="auto"/>
        <w:rPr>
          <w:sz w:val="20"/>
          <w:szCs w:val="20"/>
          <w:color w:val="auto"/>
        </w:rPr>
      </w:pPr>
      <w:r>
        <w:rPr>
          <w:rFonts w:ascii="Times New Roman" w:cs="Times New Roman" w:eastAsia="Times New Roman" w:hAnsi="Times New Roman"/>
          <w:sz w:val="22"/>
          <w:szCs w:val="22"/>
          <w:color w:val="auto"/>
        </w:rPr>
        <w:t>February 23,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others and of public officials, including the facts and conclusions set forth in the Officer’s Certificate.</w:t>
      </w:r>
    </w:p>
    <w:p>
      <w:pPr>
        <w:spacing w:after="0" w:line="233"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and (iii) the issuance of the Shares does not violate or conflict with any agreement or instrument binding on the Company (except that we do not and will not make this assumption with respect to the Restated Certificate of Incorporation and the Amended and Restated Bylaws).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in an amount at least equal to the par value of such Shares, the Shares will be validly issued, fully paid and nonassessable.</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Securities Act or the Rules and Regulations. This opinion is expressed as of the date hereof unless otherwise expressly stated, and we disclaim any undertaking to advise you of any subsequent changes in the facts stated or assumed herein or of any subsequent changes in applicable laws.</w:t>
      </w:r>
    </w:p>
    <w:p>
      <w:pPr>
        <w:spacing w:after="0" w:line="206" w:lineRule="exact"/>
        <w:rPr>
          <w:sz w:val="20"/>
          <w:szCs w:val="20"/>
          <w:color w:val="auto"/>
        </w:rPr>
      </w:pPr>
    </w:p>
    <w:p>
      <w:pPr>
        <w:jc w:val="right"/>
        <w:ind w:right="33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4"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22"/>
          <w:szCs w:val="22"/>
          <w:color w:val="auto"/>
        </w:rPr>
        <w:t>/s/ Skadden, Arps, Slate, Meagher &amp; Flom LLP</w:t>
      </w:r>
    </w:p>
    <w:p>
      <w:pPr>
        <w:sectPr>
          <w:pgSz w:w="11900" w:h="16838" w:orient="portrait"/>
          <w:cols w:equalWidth="0" w:num="1">
            <w:col w:w="11240"/>
          </w:cols>
          <w:pgMar w:left="320" w:top="8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pertaining to the Perella Weinberg Partners 2021 Omnibus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 of our report dated March 11, 2022, with respect to the consolidated financial statements of Perella Weinberg Partners included in 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1 to the Annual Report (Form 10-K/A) for the year ended December 31, 2021, filed with the Securities and Exchange Commission.</w:t>
      </w:r>
    </w:p>
    <w:p>
      <w:pPr>
        <w:spacing w:after="0" w:line="34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2023</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decimal"/>
      <w:start w:val="1"/>
    </w:lvl>
    <w:lvl w:ilvl="1">
      <w:lvlJc w:val="left"/>
      <w:lvlText w:val="(%2)"/>
      <w:numFmt w:val="lowerRoman"/>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1" Type="http://schemas.openxmlformats.org/officeDocument/2006/relationships/image" Target="media/image8.png"/><Relationship Id="rId15" Type="http://schemas.openxmlformats.org/officeDocument/2006/relationships/hyperlink" Target="https://www.sec.gov/ix?doc=/Archives/edgar/data/1777835/000177783522000008/pwp-20211231.htm" TargetMode="External"/><Relationship Id="rId16" Type="http://schemas.openxmlformats.org/officeDocument/2006/relationships/hyperlink" Target="https://www.sec.gov/ix?doc=/Archives/edgar/data/1777835/000177783522000054/pwp-20211231.htm" TargetMode="External"/><Relationship Id="rId17" Type="http://schemas.openxmlformats.org/officeDocument/2006/relationships/hyperlink" Target="https://www.sec.gov/ix?doc=/Archives/edgar/data/1777835/000177783522000028/pwp-20220331.htm" TargetMode="External"/><Relationship Id="rId18" Type="http://schemas.openxmlformats.org/officeDocument/2006/relationships/hyperlink" Target="https://www.sec.gov/ix?doc=/Archives/edgar/data/1777835/000177783522000062/pwp-20220630.htm" TargetMode="External"/><Relationship Id="rId19" Type="http://schemas.openxmlformats.org/officeDocument/2006/relationships/hyperlink" Target="https://www.sec.gov/ix?doc=/Archives/edgar/data/1777835/000177783522000094/pwp-20220930.htm" TargetMode="External"/><Relationship Id="rId20" Type="http://schemas.openxmlformats.org/officeDocument/2006/relationships/hyperlink" Target="https://www.sec.gov/ix?doc=/Archives/edgar/data/1777835/000162828022019279/pwp-20220722.htm" TargetMode="External"/><Relationship Id="rId21" Type="http://schemas.openxmlformats.org/officeDocument/2006/relationships/hyperlink" Target="https://www.sec.gov/ix?doc=/Archives/edgar/data/1777835/000177783522000103/pwp-20221201.htm" TargetMode="External"/><Relationship Id="rId22" Type="http://schemas.openxmlformats.org/officeDocument/2006/relationships/hyperlink" Target="http://www.sec.gov/Archives/edgar/data/pwp-20230209.htm/000177783523000004/0001777835-23-000004-index.html" TargetMode="External"/><Relationship Id="rId23" Type="http://schemas.openxmlformats.org/officeDocument/2006/relationships/hyperlink" Target="http://www.sec.gov/Archives/edgar/data/pwp-20230217.htm/000177783523000008/0001777835-23-000008-index.html" TargetMode="External"/><Relationship Id="rId24" Type="http://schemas.openxmlformats.org/officeDocument/2006/relationships/hyperlink" Target="https://www.sec.gov/ix?doc=/Archives/edgar/data/1777835/000177783523000011/pwp-20230220.htm" TargetMode="External"/><Relationship Id="rId25" Type="http://schemas.openxmlformats.org/officeDocument/2006/relationships/hyperlink" Target="https://www.sec.gov/ix?doc=/Archives/edgar/data/1777835/000177783523000014/pwp-20230222.htm" TargetMode="External"/><Relationship Id="rId26" Type="http://schemas.openxmlformats.org/officeDocument/2006/relationships/hyperlink" Target="https://www.sec.gov/Archives/edgar/data/1777835/000177783522000008/pwp-20211231xexx44.htm" TargetMode="External"/><Relationship Id="rId27" Type="http://schemas.openxmlformats.org/officeDocument/2006/relationships/hyperlink" Target="https://www.sec.gov/Archives/edgar/data/1777835/000162828022000893/exhibit31-sx1a1.htm" TargetMode="External"/><Relationship Id="rId28" Type="http://schemas.openxmlformats.org/officeDocument/2006/relationships/hyperlink" Target="https://www.sec.gov/Archives/edgar/data/1777835/000119312521204696/d119701dex32.htm" TargetMode="External"/><Relationship Id="rId29" Type="http://schemas.openxmlformats.org/officeDocument/2006/relationships/hyperlink" Target="https://www.sec.gov/Archives/edgar/data/1777835/000119312521204696/d119701dex106.htm" TargetMode="External"/><Relationship Id="rId30" Type="http://schemas.openxmlformats.org/officeDocument/2006/relationships/hyperlink" Target="https://www.sec.gov/Archives/edgar/data/1777835/000119312521204696/d119701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2023-02-24T05:27:38Z</dcterms:created>
  <dcterms:modified xsi:type="dcterms:W3CDTF">2023-02-24T05:27:38Z</dcterms:modified>
</cp:coreProperties>
</file>