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(Amendment No. 5 )</w:t>
      </w:r>
      <w:r>
        <w:rPr>
          <w:rFonts w:ascii="Arial" w:cs="Arial" w:eastAsia="Arial" w:hAnsi="Arial"/>
          <w:sz w:val="35"/>
          <w:szCs w:val="35"/>
          <w:b w:val="1"/>
          <w:bCs w:val="1"/>
          <w:color w:val="auto"/>
          <w:vertAlign w:val="superscript"/>
        </w:rPr>
        <w:t>*</w:t>
      </w:r>
    </w:p>
    <w:p>
      <w:pPr>
        <w:spacing w:after="0" w:line="200" w:lineRule="exact"/>
        <w:rPr>
          <w:sz w:val="24"/>
          <w:szCs w:val="24"/>
          <w:color w:val="auto"/>
        </w:rPr>
      </w:pPr>
    </w:p>
    <w:p>
      <w:pPr>
        <w:spacing w:after="0" w:line="393"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Perella Weinberg Partners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494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71367G102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880"/>
        <w:spacing w:after="0"/>
        <w:rPr>
          <w:sz w:val="20"/>
          <w:szCs w:val="20"/>
          <w:color w:val="auto"/>
        </w:rPr>
      </w:pPr>
      <w:r>
        <w:rPr>
          <w:rFonts w:ascii="Arial" w:cs="Arial" w:eastAsia="Arial" w:hAnsi="Arial"/>
          <w:sz w:val="22"/>
          <w:szCs w:val="22"/>
          <w:color w:val="auto"/>
        </w:rPr>
        <w:t>August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85" w:lineRule="auto"/>
        <w:tabs>
          <w:tab w:leader="none" w:pos="478"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3" w:lineRule="auto"/>
        <w:rPr>
          <w:rFonts w:ascii="Arial" w:cs="Arial" w:eastAsia="Arial" w:hAnsi="Arial"/>
          <w:sz w:val="19"/>
          <w:szCs w:val="19"/>
          <w:color w:val="auto"/>
        </w:rPr>
      </w:pPr>
      <w:r>
        <w:rPr>
          <w:rFonts w:ascii="Arial" w:cs="Arial" w:eastAsia="Arial" w:hAnsi="Arial"/>
          <w:sz w:val="35"/>
          <w:szCs w:val="35"/>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right="18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20" w:right="45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71367G102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4"/>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4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Wellington Management Group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4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4"/>
        </w:trPr>
        <w:tc>
          <w:tcPr>
            <w:tcW w:w="920" w:type="dxa"/>
            <w:vAlign w:val="bottom"/>
          </w:tcPr>
          <w:p>
            <w:pPr>
              <w:spacing w:after="0"/>
              <w:rPr>
                <w:sz w:val="23"/>
                <w:szCs w:val="23"/>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4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4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Massachusetts</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72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520" w:type="dxa"/>
            <w:vAlign w:val="bottom"/>
          </w:tcPr>
          <w:p>
            <w:pPr>
              <w:spacing w:after="0"/>
              <w:rPr>
                <w:sz w:val="23"/>
                <w:szCs w:val="23"/>
                <w:color w:val="auto"/>
              </w:rPr>
            </w:pPr>
          </w:p>
        </w:tc>
        <w:tc>
          <w:tcPr>
            <w:tcW w:w="6300" w:type="dxa"/>
            <w:vAlign w:val="bottom"/>
          </w:tcPr>
          <w:p>
            <w:pPr>
              <w:ind w:left="140"/>
              <w:spacing w:after="0"/>
              <w:rPr>
                <w:sz w:val="20"/>
                <w:szCs w:val="20"/>
                <w:color w:val="auto"/>
              </w:rPr>
            </w:pPr>
            <w:r>
              <w:rPr>
                <w:rFonts w:ascii="Arial" w:cs="Arial" w:eastAsia="Arial" w:hAnsi="Arial"/>
                <w:sz w:val="22"/>
                <w:szCs w:val="22"/>
                <w:color w:val="auto"/>
              </w:rPr>
              <w:t>5. SOLE VOTING POWER</w:t>
            </w:r>
          </w:p>
        </w:tc>
        <w:tc>
          <w:tcPr>
            <w:tcW w:w="2700" w:type="dxa"/>
            <w:vAlign w:val="bottom"/>
          </w:tcPr>
          <w:p>
            <w:pPr>
              <w:ind w:left="6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2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300" w:type="dxa"/>
            <w:vAlign w:val="bottom"/>
          </w:tcPr>
          <w:p>
            <w:pPr>
              <w:spacing w:after="0"/>
              <w:rPr>
                <w:sz w:val="4"/>
                <w:szCs w:val="4"/>
                <w:color w:val="auto"/>
              </w:rPr>
            </w:pPr>
          </w:p>
        </w:tc>
        <w:tc>
          <w:tcPr>
            <w:tcW w:w="2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520" w:type="dxa"/>
            <w:vAlign w:val="bottom"/>
          </w:tcPr>
          <w:p>
            <w:pPr>
              <w:spacing w:after="0"/>
              <w:rPr>
                <w:sz w:val="21"/>
                <w:szCs w:val="21"/>
                <w:color w:val="auto"/>
              </w:rPr>
            </w:pPr>
          </w:p>
        </w:tc>
        <w:tc>
          <w:tcPr>
            <w:tcW w:w="6300" w:type="dxa"/>
            <w:vAlign w:val="bottom"/>
            <w:vMerge w:val="restart"/>
          </w:tcPr>
          <w:p>
            <w:pPr>
              <w:ind w:left="140"/>
              <w:spacing w:after="0"/>
              <w:rPr>
                <w:sz w:val="20"/>
                <w:szCs w:val="20"/>
                <w:color w:val="auto"/>
              </w:rPr>
            </w:pPr>
            <w:r>
              <w:rPr>
                <w:rFonts w:ascii="Arial" w:cs="Arial" w:eastAsia="Arial" w:hAnsi="Arial"/>
                <w:sz w:val="22"/>
                <w:szCs w:val="22"/>
                <w:color w:val="auto"/>
              </w:rPr>
              <w:t>6. SHARED VOTING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1,833,168</w:t>
            </w:r>
          </w:p>
        </w:tc>
        <w:tc>
          <w:tcPr>
            <w:tcW w:w="0" w:type="dxa"/>
            <w:vAlign w:val="bottom"/>
          </w:tcPr>
          <w:p>
            <w:pPr>
              <w:spacing w:after="0"/>
              <w:rPr>
                <w:sz w:val="1"/>
                <w:szCs w:val="1"/>
                <w:color w:val="auto"/>
              </w:rPr>
            </w:pPr>
          </w:p>
        </w:tc>
      </w:tr>
      <w:tr>
        <w:trPr>
          <w:trHeight w:val="166"/>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520" w:type="dxa"/>
            <w:vAlign w:val="bottom"/>
          </w:tcPr>
          <w:p>
            <w:pPr>
              <w:spacing w:after="0"/>
              <w:rPr>
                <w:sz w:val="14"/>
                <w:szCs w:val="14"/>
                <w:color w:val="auto"/>
              </w:rPr>
            </w:pPr>
          </w:p>
        </w:tc>
        <w:tc>
          <w:tcPr>
            <w:tcW w:w="6300" w:type="dxa"/>
            <w:vAlign w:val="bottom"/>
            <w:vMerge w:val="continue"/>
          </w:tcPr>
          <w:p>
            <w:pPr>
              <w:spacing w:after="0"/>
              <w:rPr>
                <w:sz w:val="14"/>
                <w:szCs w:val="14"/>
                <w:color w:val="auto"/>
              </w:rPr>
            </w:pPr>
          </w:p>
        </w:tc>
        <w:tc>
          <w:tcPr>
            <w:tcW w:w="2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2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300" w:type="dxa"/>
            <w:vAlign w:val="bottom"/>
          </w:tcPr>
          <w:p>
            <w:pPr>
              <w:spacing w:after="0"/>
              <w:rPr>
                <w:sz w:val="6"/>
                <w:szCs w:val="6"/>
                <w:color w:val="auto"/>
              </w:rPr>
            </w:pPr>
          </w:p>
        </w:tc>
        <w:tc>
          <w:tcPr>
            <w:tcW w:w="2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300" w:type="dxa"/>
            <w:vAlign w:val="bottom"/>
            <w:vMerge w:val="restart"/>
          </w:tcPr>
          <w:p>
            <w:pPr>
              <w:ind w:left="140"/>
              <w:spacing w:after="0"/>
              <w:rPr>
                <w:sz w:val="20"/>
                <w:szCs w:val="20"/>
                <w:color w:val="auto"/>
              </w:rPr>
            </w:pPr>
            <w:r>
              <w:rPr>
                <w:rFonts w:ascii="Arial" w:cs="Arial" w:eastAsia="Arial" w:hAnsi="Arial"/>
                <w:sz w:val="22"/>
                <w:szCs w:val="22"/>
                <w:color w:val="auto"/>
              </w:rPr>
              <w:t>7. SOLE DISPOSITIVE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520" w:type="dxa"/>
            <w:vAlign w:val="bottom"/>
          </w:tcPr>
          <w:p>
            <w:pPr>
              <w:spacing w:after="0"/>
              <w:rPr>
                <w:sz w:val="12"/>
                <w:szCs w:val="12"/>
                <w:color w:val="auto"/>
              </w:rPr>
            </w:pPr>
          </w:p>
        </w:tc>
        <w:tc>
          <w:tcPr>
            <w:tcW w:w="630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2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6300" w:type="dxa"/>
            <w:vAlign w:val="bottom"/>
          </w:tcPr>
          <w:p>
            <w:pPr>
              <w:spacing w:after="0"/>
              <w:rPr>
                <w:sz w:val="9"/>
                <w:szCs w:val="9"/>
                <w:color w:val="auto"/>
              </w:rPr>
            </w:pPr>
          </w:p>
        </w:tc>
        <w:tc>
          <w:tcPr>
            <w:tcW w:w="2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520" w:type="dxa"/>
            <w:vAlign w:val="bottom"/>
          </w:tcPr>
          <w:p>
            <w:pPr>
              <w:spacing w:after="0"/>
              <w:rPr>
                <w:sz w:val="23"/>
                <w:szCs w:val="23"/>
                <w:color w:val="auto"/>
              </w:rPr>
            </w:pPr>
          </w:p>
        </w:tc>
        <w:tc>
          <w:tcPr>
            <w:tcW w:w="6300" w:type="dxa"/>
            <w:vAlign w:val="bottom"/>
            <w:vMerge w:val="restart"/>
          </w:tcPr>
          <w:p>
            <w:pPr>
              <w:ind w:left="140"/>
              <w:spacing w:after="0"/>
              <w:rPr>
                <w:sz w:val="20"/>
                <w:szCs w:val="20"/>
                <w:color w:val="auto"/>
              </w:rPr>
            </w:pPr>
            <w:r>
              <w:rPr>
                <w:rFonts w:ascii="Arial" w:cs="Arial" w:eastAsia="Arial" w:hAnsi="Arial"/>
                <w:sz w:val="22"/>
                <w:szCs w:val="22"/>
                <w:color w:val="auto"/>
              </w:rPr>
              <w:t>8. SHARED DISPOSITIVE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2,123,469</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30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2,123,469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 ]</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5.10%</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HC</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30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2" w:name="page3"/>
    <w:bookmarkEnd w:id="2"/>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CUSIP No. 71367G102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4"/>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4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Wellington Group Holdings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4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4"/>
        </w:trPr>
        <w:tc>
          <w:tcPr>
            <w:tcW w:w="920" w:type="dxa"/>
            <w:vAlign w:val="bottom"/>
          </w:tcPr>
          <w:p>
            <w:pPr>
              <w:spacing w:after="0"/>
              <w:rPr>
                <w:sz w:val="23"/>
                <w:szCs w:val="23"/>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4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4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Delaware</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72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520" w:type="dxa"/>
            <w:vAlign w:val="bottom"/>
          </w:tcPr>
          <w:p>
            <w:pPr>
              <w:spacing w:after="0"/>
              <w:rPr>
                <w:sz w:val="23"/>
                <w:szCs w:val="23"/>
                <w:color w:val="auto"/>
              </w:rPr>
            </w:pPr>
          </w:p>
        </w:tc>
        <w:tc>
          <w:tcPr>
            <w:tcW w:w="6300" w:type="dxa"/>
            <w:vAlign w:val="bottom"/>
          </w:tcPr>
          <w:p>
            <w:pPr>
              <w:ind w:left="140"/>
              <w:spacing w:after="0"/>
              <w:rPr>
                <w:sz w:val="20"/>
                <w:szCs w:val="20"/>
                <w:color w:val="auto"/>
              </w:rPr>
            </w:pPr>
            <w:r>
              <w:rPr>
                <w:rFonts w:ascii="Arial" w:cs="Arial" w:eastAsia="Arial" w:hAnsi="Arial"/>
                <w:sz w:val="22"/>
                <w:szCs w:val="22"/>
                <w:color w:val="auto"/>
              </w:rPr>
              <w:t>5. SOLE VOTING POWER</w:t>
            </w:r>
          </w:p>
        </w:tc>
        <w:tc>
          <w:tcPr>
            <w:tcW w:w="2700" w:type="dxa"/>
            <w:vAlign w:val="bottom"/>
          </w:tcPr>
          <w:p>
            <w:pPr>
              <w:ind w:left="6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2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300" w:type="dxa"/>
            <w:vAlign w:val="bottom"/>
          </w:tcPr>
          <w:p>
            <w:pPr>
              <w:spacing w:after="0"/>
              <w:rPr>
                <w:sz w:val="4"/>
                <w:szCs w:val="4"/>
                <w:color w:val="auto"/>
              </w:rPr>
            </w:pPr>
          </w:p>
        </w:tc>
        <w:tc>
          <w:tcPr>
            <w:tcW w:w="2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520" w:type="dxa"/>
            <w:vAlign w:val="bottom"/>
          </w:tcPr>
          <w:p>
            <w:pPr>
              <w:spacing w:after="0"/>
              <w:rPr>
                <w:sz w:val="21"/>
                <w:szCs w:val="21"/>
                <w:color w:val="auto"/>
              </w:rPr>
            </w:pPr>
          </w:p>
        </w:tc>
        <w:tc>
          <w:tcPr>
            <w:tcW w:w="6300" w:type="dxa"/>
            <w:vAlign w:val="bottom"/>
            <w:vMerge w:val="restart"/>
          </w:tcPr>
          <w:p>
            <w:pPr>
              <w:ind w:left="140"/>
              <w:spacing w:after="0"/>
              <w:rPr>
                <w:sz w:val="20"/>
                <w:szCs w:val="20"/>
                <w:color w:val="auto"/>
              </w:rPr>
            </w:pPr>
            <w:r>
              <w:rPr>
                <w:rFonts w:ascii="Arial" w:cs="Arial" w:eastAsia="Arial" w:hAnsi="Arial"/>
                <w:sz w:val="22"/>
                <w:szCs w:val="22"/>
                <w:color w:val="auto"/>
              </w:rPr>
              <w:t>6. SHARED VOTING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1,833,168</w:t>
            </w:r>
          </w:p>
        </w:tc>
        <w:tc>
          <w:tcPr>
            <w:tcW w:w="0" w:type="dxa"/>
            <w:vAlign w:val="bottom"/>
          </w:tcPr>
          <w:p>
            <w:pPr>
              <w:spacing w:after="0"/>
              <w:rPr>
                <w:sz w:val="1"/>
                <w:szCs w:val="1"/>
                <w:color w:val="auto"/>
              </w:rPr>
            </w:pPr>
          </w:p>
        </w:tc>
      </w:tr>
      <w:tr>
        <w:trPr>
          <w:trHeight w:val="166"/>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520" w:type="dxa"/>
            <w:vAlign w:val="bottom"/>
          </w:tcPr>
          <w:p>
            <w:pPr>
              <w:spacing w:after="0"/>
              <w:rPr>
                <w:sz w:val="14"/>
                <w:szCs w:val="14"/>
                <w:color w:val="auto"/>
              </w:rPr>
            </w:pPr>
          </w:p>
        </w:tc>
        <w:tc>
          <w:tcPr>
            <w:tcW w:w="6300" w:type="dxa"/>
            <w:vAlign w:val="bottom"/>
            <w:vMerge w:val="continue"/>
          </w:tcPr>
          <w:p>
            <w:pPr>
              <w:spacing w:after="0"/>
              <w:rPr>
                <w:sz w:val="14"/>
                <w:szCs w:val="14"/>
                <w:color w:val="auto"/>
              </w:rPr>
            </w:pPr>
          </w:p>
        </w:tc>
        <w:tc>
          <w:tcPr>
            <w:tcW w:w="2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2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300" w:type="dxa"/>
            <w:vAlign w:val="bottom"/>
          </w:tcPr>
          <w:p>
            <w:pPr>
              <w:spacing w:after="0"/>
              <w:rPr>
                <w:sz w:val="6"/>
                <w:szCs w:val="6"/>
                <w:color w:val="auto"/>
              </w:rPr>
            </w:pPr>
          </w:p>
        </w:tc>
        <w:tc>
          <w:tcPr>
            <w:tcW w:w="2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300" w:type="dxa"/>
            <w:vAlign w:val="bottom"/>
            <w:vMerge w:val="restart"/>
          </w:tcPr>
          <w:p>
            <w:pPr>
              <w:ind w:left="140"/>
              <w:spacing w:after="0"/>
              <w:rPr>
                <w:sz w:val="20"/>
                <w:szCs w:val="20"/>
                <w:color w:val="auto"/>
              </w:rPr>
            </w:pPr>
            <w:r>
              <w:rPr>
                <w:rFonts w:ascii="Arial" w:cs="Arial" w:eastAsia="Arial" w:hAnsi="Arial"/>
                <w:sz w:val="22"/>
                <w:szCs w:val="22"/>
                <w:color w:val="auto"/>
              </w:rPr>
              <w:t>7. SOLE DISPOSITIVE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520" w:type="dxa"/>
            <w:vAlign w:val="bottom"/>
          </w:tcPr>
          <w:p>
            <w:pPr>
              <w:spacing w:after="0"/>
              <w:rPr>
                <w:sz w:val="12"/>
                <w:szCs w:val="12"/>
                <w:color w:val="auto"/>
              </w:rPr>
            </w:pPr>
          </w:p>
        </w:tc>
        <w:tc>
          <w:tcPr>
            <w:tcW w:w="630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2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6300" w:type="dxa"/>
            <w:vAlign w:val="bottom"/>
          </w:tcPr>
          <w:p>
            <w:pPr>
              <w:spacing w:after="0"/>
              <w:rPr>
                <w:sz w:val="9"/>
                <w:szCs w:val="9"/>
                <w:color w:val="auto"/>
              </w:rPr>
            </w:pPr>
          </w:p>
        </w:tc>
        <w:tc>
          <w:tcPr>
            <w:tcW w:w="2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520" w:type="dxa"/>
            <w:vAlign w:val="bottom"/>
          </w:tcPr>
          <w:p>
            <w:pPr>
              <w:spacing w:after="0"/>
              <w:rPr>
                <w:sz w:val="23"/>
                <w:szCs w:val="23"/>
                <w:color w:val="auto"/>
              </w:rPr>
            </w:pPr>
          </w:p>
        </w:tc>
        <w:tc>
          <w:tcPr>
            <w:tcW w:w="6300" w:type="dxa"/>
            <w:vAlign w:val="bottom"/>
            <w:vMerge w:val="restart"/>
          </w:tcPr>
          <w:p>
            <w:pPr>
              <w:ind w:left="140"/>
              <w:spacing w:after="0"/>
              <w:rPr>
                <w:sz w:val="20"/>
                <w:szCs w:val="20"/>
                <w:color w:val="auto"/>
              </w:rPr>
            </w:pPr>
            <w:r>
              <w:rPr>
                <w:rFonts w:ascii="Arial" w:cs="Arial" w:eastAsia="Arial" w:hAnsi="Arial"/>
                <w:sz w:val="22"/>
                <w:szCs w:val="22"/>
                <w:color w:val="auto"/>
              </w:rPr>
              <w:t>8. SHARED DISPOSITIVE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2,123,469</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30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2,123,469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 ]</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5.10%</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HC</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30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3" w:name="page4"/>
    <w:bookmarkEnd w:id="3"/>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71367G102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4"/>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4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Wellington Investment Advisors Holdings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4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4"/>
        </w:trPr>
        <w:tc>
          <w:tcPr>
            <w:tcW w:w="920" w:type="dxa"/>
            <w:vAlign w:val="bottom"/>
          </w:tcPr>
          <w:p>
            <w:pPr>
              <w:spacing w:after="0"/>
              <w:rPr>
                <w:sz w:val="23"/>
                <w:szCs w:val="23"/>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4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4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Delaware</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72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520" w:type="dxa"/>
            <w:vAlign w:val="bottom"/>
          </w:tcPr>
          <w:p>
            <w:pPr>
              <w:spacing w:after="0"/>
              <w:rPr>
                <w:sz w:val="23"/>
                <w:szCs w:val="23"/>
                <w:color w:val="auto"/>
              </w:rPr>
            </w:pPr>
          </w:p>
        </w:tc>
        <w:tc>
          <w:tcPr>
            <w:tcW w:w="6300" w:type="dxa"/>
            <w:vAlign w:val="bottom"/>
          </w:tcPr>
          <w:p>
            <w:pPr>
              <w:ind w:left="140"/>
              <w:spacing w:after="0"/>
              <w:rPr>
                <w:sz w:val="20"/>
                <w:szCs w:val="20"/>
                <w:color w:val="auto"/>
              </w:rPr>
            </w:pPr>
            <w:r>
              <w:rPr>
                <w:rFonts w:ascii="Arial" w:cs="Arial" w:eastAsia="Arial" w:hAnsi="Arial"/>
                <w:sz w:val="22"/>
                <w:szCs w:val="22"/>
                <w:color w:val="auto"/>
              </w:rPr>
              <w:t>5. SOLE VOTING POWER</w:t>
            </w:r>
          </w:p>
        </w:tc>
        <w:tc>
          <w:tcPr>
            <w:tcW w:w="2700" w:type="dxa"/>
            <w:vAlign w:val="bottom"/>
          </w:tcPr>
          <w:p>
            <w:pPr>
              <w:ind w:left="6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2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300" w:type="dxa"/>
            <w:vAlign w:val="bottom"/>
          </w:tcPr>
          <w:p>
            <w:pPr>
              <w:spacing w:after="0"/>
              <w:rPr>
                <w:sz w:val="4"/>
                <w:szCs w:val="4"/>
                <w:color w:val="auto"/>
              </w:rPr>
            </w:pPr>
          </w:p>
        </w:tc>
        <w:tc>
          <w:tcPr>
            <w:tcW w:w="2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520" w:type="dxa"/>
            <w:vAlign w:val="bottom"/>
          </w:tcPr>
          <w:p>
            <w:pPr>
              <w:spacing w:after="0"/>
              <w:rPr>
                <w:sz w:val="21"/>
                <w:szCs w:val="21"/>
                <w:color w:val="auto"/>
              </w:rPr>
            </w:pPr>
          </w:p>
        </w:tc>
        <w:tc>
          <w:tcPr>
            <w:tcW w:w="6300" w:type="dxa"/>
            <w:vAlign w:val="bottom"/>
            <w:vMerge w:val="restart"/>
          </w:tcPr>
          <w:p>
            <w:pPr>
              <w:ind w:left="140"/>
              <w:spacing w:after="0"/>
              <w:rPr>
                <w:sz w:val="20"/>
                <w:szCs w:val="20"/>
                <w:color w:val="auto"/>
              </w:rPr>
            </w:pPr>
            <w:r>
              <w:rPr>
                <w:rFonts w:ascii="Arial" w:cs="Arial" w:eastAsia="Arial" w:hAnsi="Arial"/>
                <w:sz w:val="22"/>
                <w:szCs w:val="22"/>
                <w:color w:val="auto"/>
              </w:rPr>
              <w:t>6. SHARED VOTING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1,833,168</w:t>
            </w:r>
          </w:p>
        </w:tc>
        <w:tc>
          <w:tcPr>
            <w:tcW w:w="0" w:type="dxa"/>
            <w:vAlign w:val="bottom"/>
          </w:tcPr>
          <w:p>
            <w:pPr>
              <w:spacing w:after="0"/>
              <w:rPr>
                <w:sz w:val="1"/>
                <w:szCs w:val="1"/>
                <w:color w:val="auto"/>
              </w:rPr>
            </w:pPr>
          </w:p>
        </w:tc>
      </w:tr>
      <w:tr>
        <w:trPr>
          <w:trHeight w:val="166"/>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520" w:type="dxa"/>
            <w:vAlign w:val="bottom"/>
          </w:tcPr>
          <w:p>
            <w:pPr>
              <w:spacing w:after="0"/>
              <w:rPr>
                <w:sz w:val="14"/>
                <w:szCs w:val="14"/>
                <w:color w:val="auto"/>
              </w:rPr>
            </w:pPr>
          </w:p>
        </w:tc>
        <w:tc>
          <w:tcPr>
            <w:tcW w:w="6300" w:type="dxa"/>
            <w:vAlign w:val="bottom"/>
            <w:vMerge w:val="continue"/>
          </w:tcPr>
          <w:p>
            <w:pPr>
              <w:spacing w:after="0"/>
              <w:rPr>
                <w:sz w:val="14"/>
                <w:szCs w:val="14"/>
                <w:color w:val="auto"/>
              </w:rPr>
            </w:pPr>
          </w:p>
        </w:tc>
        <w:tc>
          <w:tcPr>
            <w:tcW w:w="2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2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300" w:type="dxa"/>
            <w:vAlign w:val="bottom"/>
          </w:tcPr>
          <w:p>
            <w:pPr>
              <w:spacing w:after="0"/>
              <w:rPr>
                <w:sz w:val="6"/>
                <w:szCs w:val="6"/>
                <w:color w:val="auto"/>
              </w:rPr>
            </w:pPr>
          </w:p>
        </w:tc>
        <w:tc>
          <w:tcPr>
            <w:tcW w:w="2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300" w:type="dxa"/>
            <w:vAlign w:val="bottom"/>
            <w:vMerge w:val="restart"/>
          </w:tcPr>
          <w:p>
            <w:pPr>
              <w:ind w:left="140"/>
              <w:spacing w:after="0"/>
              <w:rPr>
                <w:sz w:val="20"/>
                <w:szCs w:val="20"/>
                <w:color w:val="auto"/>
              </w:rPr>
            </w:pPr>
            <w:r>
              <w:rPr>
                <w:rFonts w:ascii="Arial" w:cs="Arial" w:eastAsia="Arial" w:hAnsi="Arial"/>
                <w:sz w:val="22"/>
                <w:szCs w:val="22"/>
                <w:color w:val="auto"/>
              </w:rPr>
              <w:t>7. SOLE DISPOSITIVE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520" w:type="dxa"/>
            <w:vAlign w:val="bottom"/>
          </w:tcPr>
          <w:p>
            <w:pPr>
              <w:spacing w:after="0"/>
              <w:rPr>
                <w:sz w:val="12"/>
                <w:szCs w:val="12"/>
                <w:color w:val="auto"/>
              </w:rPr>
            </w:pPr>
          </w:p>
        </w:tc>
        <w:tc>
          <w:tcPr>
            <w:tcW w:w="630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2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6300" w:type="dxa"/>
            <w:vAlign w:val="bottom"/>
          </w:tcPr>
          <w:p>
            <w:pPr>
              <w:spacing w:after="0"/>
              <w:rPr>
                <w:sz w:val="9"/>
                <w:szCs w:val="9"/>
                <w:color w:val="auto"/>
              </w:rPr>
            </w:pPr>
          </w:p>
        </w:tc>
        <w:tc>
          <w:tcPr>
            <w:tcW w:w="2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520" w:type="dxa"/>
            <w:vAlign w:val="bottom"/>
          </w:tcPr>
          <w:p>
            <w:pPr>
              <w:spacing w:after="0"/>
              <w:rPr>
                <w:sz w:val="23"/>
                <w:szCs w:val="23"/>
                <w:color w:val="auto"/>
              </w:rPr>
            </w:pPr>
          </w:p>
        </w:tc>
        <w:tc>
          <w:tcPr>
            <w:tcW w:w="6300" w:type="dxa"/>
            <w:vAlign w:val="bottom"/>
            <w:vMerge w:val="restart"/>
          </w:tcPr>
          <w:p>
            <w:pPr>
              <w:ind w:left="140"/>
              <w:spacing w:after="0"/>
              <w:rPr>
                <w:sz w:val="20"/>
                <w:szCs w:val="20"/>
                <w:color w:val="auto"/>
              </w:rPr>
            </w:pPr>
            <w:r>
              <w:rPr>
                <w:rFonts w:ascii="Arial" w:cs="Arial" w:eastAsia="Arial" w:hAnsi="Arial"/>
                <w:sz w:val="22"/>
                <w:szCs w:val="22"/>
                <w:color w:val="auto"/>
              </w:rPr>
              <w:t>8. SHARED DISPOSITIVE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2,123,469</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30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2,123,469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 ]</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5.10%</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HC</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30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4" w:name="page5"/>
    <w:bookmarkEnd w:id="4"/>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71367G102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4"/>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4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Wellington Management Company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4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4"/>
        </w:trPr>
        <w:tc>
          <w:tcPr>
            <w:tcW w:w="920" w:type="dxa"/>
            <w:vAlign w:val="bottom"/>
          </w:tcPr>
          <w:p>
            <w:pPr>
              <w:spacing w:after="0"/>
              <w:rPr>
                <w:sz w:val="23"/>
                <w:szCs w:val="23"/>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4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4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Delaware</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72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480" w:type="dxa"/>
            <w:vAlign w:val="bottom"/>
          </w:tcPr>
          <w:p>
            <w:pPr>
              <w:spacing w:after="0"/>
              <w:rPr>
                <w:sz w:val="23"/>
                <w:szCs w:val="23"/>
                <w:color w:val="auto"/>
              </w:rPr>
            </w:pPr>
          </w:p>
        </w:tc>
        <w:tc>
          <w:tcPr>
            <w:tcW w:w="6340" w:type="dxa"/>
            <w:vAlign w:val="bottom"/>
          </w:tcPr>
          <w:p>
            <w:pPr>
              <w:ind w:left="180"/>
              <w:spacing w:after="0"/>
              <w:rPr>
                <w:sz w:val="20"/>
                <w:szCs w:val="20"/>
                <w:color w:val="auto"/>
              </w:rPr>
            </w:pPr>
            <w:r>
              <w:rPr>
                <w:rFonts w:ascii="Arial" w:cs="Arial" w:eastAsia="Arial" w:hAnsi="Arial"/>
                <w:sz w:val="22"/>
                <w:szCs w:val="22"/>
                <w:color w:val="auto"/>
              </w:rPr>
              <w:t>5. SOLE VOTING POWER</w:t>
            </w:r>
          </w:p>
        </w:tc>
        <w:tc>
          <w:tcPr>
            <w:tcW w:w="2700" w:type="dxa"/>
            <w:vAlign w:val="bottom"/>
          </w:tcPr>
          <w:p>
            <w:pPr>
              <w:ind w:left="6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2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6340" w:type="dxa"/>
            <w:vAlign w:val="bottom"/>
          </w:tcPr>
          <w:p>
            <w:pPr>
              <w:spacing w:after="0"/>
              <w:rPr>
                <w:sz w:val="4"/>
                <w:szCs w:val="4"/>
                <w:color w:val="auto"/>
              </w:rPr>
            </w:pPr>
          </w:p>
        </w:tc>
        <w:tc>
          <w:tcPr>
            <w:tcW w:w="2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480" w:type="dxa"/>
            <w:vAlign w:val="bottom"/>
          </w:tcPr>
          <w:p>
            <w:pPr>
              <w:spacing w:after="0"/>
              <w:rPr>
                <w:sz w:val="21"/>
                <w:szCs w:val="21"/>
                <w:color w:val="auto"/>
              </w:rPr>
            </w:pPr>
          </w:p>
        </w:tc>
        <w:tc>
          <w:tcPr>
            <w:tcW w:w="6340" w:type="dxa"/>
            <w:vAlign w:val="bottom"/>
            <w:vMerge w:val="restart"/>
          </w:tcPr>
          <w:p>
            <w:pPr>
              <w:ind w:left="180"/>
              <w:spacing w:after="0"/>
              <w:rPr>
                <w:sz w:val="20"/>
                <w:szCs w:val="20"/>
                <w:color w:val="auto"/>
              </w:rPr>
            </w:pPr>
            <w:r>
              <w:rPr>
                <w:rFonts w:ascii="Arial" w:cs="Arial" w:eastAsia="Arial" w:hAnsi="Arial"/>
                <w:sz w:val="22"/>
                <w:szCs w:val="22"/>
                <w:color w:val="auto"/>
              </w:rPr>
              <w:t>6. SHARED VOTING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1,833,168</w:t>
            </w:r>
          </w:p>
        </w:tc>
        <w:tc>
          <w:tcPr>
            <w:tcW w:w="0" w:type="dxa"/>
            <w:vAlign w:val="bottom"/>
          </w:tcPr>
          <w:p>
            <w:pPr>
              <w:spacing w:after="0"/>
              <w:rPr>
                <w:sz w:val="1"/>
                <w:szCs w:val="1"/>
                <w:color w:val="auto"/>
              </w:rPr>
            </w:pPr>
          </w:p>
        </w:tc>
      </w:tr>
      <w:tr>
        <w:trPr>
          <w:trHeight w:val="166"/>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480" w:type="dxa"/>
            <w:vAlign w:val="bottom"/>
          </w:tcPr>
          <w:p>
            <w:pPr>
              <w:spacing w:after="0"/>
              <w:rPr>
                <w:sz w:val="14"/>
                <w:szCs w:val="14"/>
                <w:color w:val="auto"/>
              </w:rPr>
            </w:pPr>
          </w:p>
        </w:tc>
        <w:tc>
          <w:tcPr>
            <w:tcW w:w="6340" w:type="dxa"/>
            <w:vAlign w:val="bottom"/>
            <w:vMerge w:val="continue"/>
          </w:tcPr>
          <w:p>
            <w:pPr>
              <w:spacing w:after="0"/>
              <w:rPr>
                <w:sz w:val="14"/>
                <w:szCs w:val="14"/>
                <w:color w:val="auto"/>
              </w:rPr>
            </w:pPr>
          </w:p>
        </w:tc>
        <w:tc>
          <w:tcPr>
            <w:tcW w:w="2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2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6340" w:type="dxa"/>
            <w:vAlign w:val="bottom"/>
          </w:tcPr>
          <w:p>
            <w:pPr>
              <w:spacing w:after="0"/>
              <w:rPr>
                <w:sz w:val="6"/>
                <w:szCs w:val="6"/>
                <w:color w:val="auto"/>
              </w:rPr>
            </w:pPr>
          </w:p>
        </w:tc>
        <w:tc>
          <w:tcPr>
            <w:tcW w:w="2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20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340" w:type="dxa"/>
            <w:vAlign w:val="bottom"/>
            <w:vMerge w:val="restart"/>
          </w:tcPr>
          <w:p>
            <w:pPr>
              <w:ind w:left="180"/>
              <w:spacing w:after="0"/>
              <w:rPr>
                <w:sz w:val="20"/>
                <w:szCs w:val="20"/>
                <w:color w:val="auto"/>
              </w:rPr>
            </w:pPr>
            <w:r>
              <w:rPr>
                <w:rFonts w:ascii="Arial" w:cs="Arial" w:eastAsia="Arial" w:hAnsi="Arial"/>
                <w:sz w:val="22"/>
                <w:szCs w:val="22"/>
                <w:color w:val="auto"/>
              </w:rPr>
              <w:t>7. SOLE DISPOSITIVE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480" w:type="dxa"/>
            <w:vAlign w:val="bottom"/>
          </w:tcPr>
          <w:p>
            <w:pPr>
              <w:spacing w:after="0"/>
              <w:rPr>
                <w:sz w:val="12"/>
                <w:szCs w:val="12"/>
                <w:color w:val="auto"/>
              </w:rPr>
            </w:pPr>
          </w:p>
        </w:tc>
        <w:tc>
          <w:tcPr>
            <w:tcW w:w="634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6340" w:type="dxa"/>
            <w:vAlign w:val="bottom"/>
          </w:tcPr>
          <w:p>
            <w:pPr>
              <w:spacing w:after="0"/>
              <w:rPr>
                <w:sz w:val="9"/>
                <w:szCs w:val="9"/>
                <w:color w:val="auto"/>
              </w:rPr>
            </w:pPr>
          </w:p>
        </w:tc>
        <w:tc>
          <w:tcPr>
            <w:tcW w:w="2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480" w:type="dxa"/>
            <w:vAlign w:val="bottom"/>
          </w:tcPr>
          <w:p>
            <w:pPr>
              <w:spacing w:after="0"/>
              <w:rPr>
                <w:sz w:val="23"/>
                <w:szCs w:val="23"/>
                <w:color w:val="auto"/>
              </w:rPr>
            </w:pPr>
          </w:p>
        </w:tc>
        <w:tc>
          <w:tcPr>
            <w:tcW w:w="6340" w:type="dxa"/>
            <w:vAlign w:val="bottom"/>
            <w:vMerge w:val="restart"/>
          </w:tcPr>
          <w:p>
            <w:pPr>
              <w:ind w:left="180"/>
              <w:spacing w:after="0"/>
              <w:rPr>
                <w:sz w:val="20"/>
                <w:szCs w:val="20"/>
                <w:color w:val="auto"/>
              </w:rPr>
            </w:pPr>
            <w:r>
              <w:rPr>
                <w:rFonts w:ascii="Arial" w:cs="Arial" w:eastAsia="Arial" w:hAnsi="Arial"/>
                <w:sz w:val="22"/>
                <w:szCs w:val="22"/>
                <w:color w:val="auto"/>
              </w:rPr>
              <w:t>8. SHARED DISPOSITIVE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2,123,469</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34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2,123,469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Arial" w:cs="Arial" w:eastAsia="Arial" w:hAnsi="Arial"/>
                <w:sz w:val="22"/>
                <w:szCs w:val="22"/>
                <w:color w:val="auto"/>
              </w:rPr>
              <w:t>[ ]</w:t>
            </w:r>
          </w:p>
        </w:tc>
        <w:tc>
          <w:tcPr>
            <w:tcW w:w="63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5.10%</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Arial" w:cs="Arial" w:eastAsia="Arial" w:hAnsi="Arial"/>
                <w:sz w:val="22"/>
                <w:szCs w:val="22"/>
                <w:color w:val="auto"/>
              </w:rPr>
              <w:t>IA</w:t>
            </w:r>
          </w:p>
        </w:tc>
        <w:tc>
          <w:tcPr>
            <w:tcW w:w="63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634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5" w:name="page6"/>
    <w:bookmarkEnd w:id="5"/>
    <w:p>
      <w:pPr>
        <w:spacing w:after="0" w:line="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w:t>
      </w:r>
    </w:p>
    <w:p>
      <w:pPr>
        <w:spacing w:after="0" w:line="125" w:lineRule="exact"/>
        <w:rPr>
          <w:sz w:val="20"/>
          <w:szCs w:val="20"/>
          <w:color w:val="auto"/>
        </w:rPr>
      </w:pPr>
    </w:p>
    <w:p>
      <w:pPr>
        <w:ind w:left="1760" w:hanging="401"/>
        <w:spacing w:after="0"/>
        <w:tabs>
          <w:tab w:leader="none" w:pos="176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Name of Issuer</w:t>
      </w:r>
    </w:p>
    <w:p>
      <w:pPr>
        <w:spacing w:after="0" w:line="14" w:lineRule="exact"/>
        <w:rPr>
          <w:rFonts w:ascii="Arial" w:cs="Arial" w:eastAsia="Arial" w:hAnsi="Arial"/>
          <w:sz w:val="22"/>
          <w:szCs w:val="22"/>
          <w:b w:val="1"/>
          <w:bCs w:val="1"/>
          <w:color w:val="auto"/>
        </w:rPr>
      </w:pPr>
    </w:p>
    <w:p>
      <w:pPr>
        <w:ind w:left="1760"/>
        <w:spacing w:after="0"/>
        <w:rPr>
          <w:rFonts w:ascii="Arial" w:cs="Arial" w:eastAsia="Arial" w:hAnsi="Arial"/>
          <w:sz w:val="22"/>
          <w:szCs w:val="22"/>
          <w:b w:val="1"/>
          <w:bCs w:val="1"/>
          <w:color w:val="auto"/>
        </w:rPr>
      </w:pPr>
      <w:r>
        <w:rPr>
          <w:rFonts w:ascii="Arial" w:cs="Arial" w:eastAsia="Arial" w:hAnsi="Arial"/>
          <w:sz w:val="22"/>
          <w:szCs w:val="22"/>
          <w:color w:val="auto"/>
        </w:rPr>
        <w:t>Perella Weinberg Partners</w:t>
      </w:r>
    </w:p>
    <w:p>
      <w:pPr>
        <w:spacing w:after="0" w:line="101" w:lineRule="exact"/>
        <w:rPr>
          <w:rFonts w:ascii="Arial" w:cs="Arial" w:eastAsia="Arial" w:hAnsi="Arial"/>
          <w:sz w:val="22"/>
          <w:szCs w:val="22"/>
          <w:b w:val="1"/>
          <w:bCs w:val="1"/>
          <w:color w:val="auto"/>
        </w:rPr>
      </w:pPr>
    </w:p>
    <w:p>
      <w:pPr>
        <w:ind w:left="1760" w:right="4960" w:hanging="401"/>
        <w:spacing w:after="0" w:line="241" w:lineRule="auto"/>
        <w:tabs>
          <w:tab w:leader="none" w:pos="176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Issuer's Principal Executive Offices </w:t>
      </w:r>
      <w:r>
        <w:rPr>
          <w:rFonts w:ascii="Arial" w:cs="Arial" w:eastAsia="Arial" w:hAnsi="Arial"/>
          <w:sz w:val="22"/>
          <w:szCs w:val="22"/>
          <w:color w:val="auto"/>
        </w:rPr>
        <w:t>767 Fifth Avenue</w:t>
      </w:r>
    </w:p>
    <w:p>
      <w:pPr>
        <w:spacing w:after="0" w:line="1" w:lineRule="exact"/>
        <w:rPr>
          <w:rFonts w:ascii="Arial" w:cs="Arial" w:eastAsia="Arial" w:hAnsi="Arial"/>
          <w:sz w:val="22"/>
          <w:szCs w:val="22"/>
          <w:b w:val="1"/>
          <w:bCs w:val="1"/>
          <w:color w:val="auto"/>
        </w:rPr>
      </w:pPr>
    </w:p>
    <w:p>
      <w:pPr>
        <w:ind w:left="1760"/>
        <w:spacing w:after="0"/>
        <w:rPr>
          <w:rFonts w:ascii="Arial" w:cs="Arial" w:eastAsia="Arial" w:hAnsi="Arial"/>
          <w:sz w:val="22"/>
          <w:szCs w:val="22"/>
          <w:b w:val="1"/>
          <w:bCs w:val="1"/>
          <w:color w:val="auto"/>
        </w:rPr>
      </w:pPr>
      <w:r>
        <w:rPr>
          <w:rFonts w:ascii="Arial" w:cs="Arial" w:eastAsia="Arial" w:hAnsi="Arial"/>
          <w:sz w:val="22"/>
          <w:szCs w:val="22"/>
          <w:color w:val="auto"/>
        </w:rPr>
        <w:t>New York, NY 10153</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760" w:hanging="401"/>
        <w:spacing w:after="0"/>
        <w:tabs>
          <w:tab w:leader="none" w:pos="176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14" w:lineRule="exact"/>
        <w:rPr>
          <w:rFonts w:ascii="Arial" w:cs="Arial" w:eastAsia="Arial" w:hAnsi="Arial"/>
          <w:sz w:val="22"/>
          <w:szCs w:val="22"/>
          <w:b w:val="1"/>
          <w:bCs w:val="1"/>
          <w:color w:val="auto"/>
        </w:rPr>
      </w:pPr>
    </w:p>
    <w:p>
      <w:pPr>
        <w:ind w:left="1760" w:right="5180"/>
        <w:spacing w:after="0" w:line="246" w:lineRule="auto"/>
        <w:rPr>
          <w:rFonts w:ascii="Arial" w:cs="Arial" w:eastAsia="Arial" w:hAnsi="Arial"/>
          <w:sz w:val="22"/>
          <w:szCs w:val="22"/>
          <w:b w:val="1"/>
          <w:bCs w:val="1"/>
          <w:color w:val="auto"/>
        </w:rPr>
      </w:pPr>
      <w:r>
        <w:rPr>
          <w:rFonts w:ascii="Arial" w:cs="Arial" w:eastAsia="Arial" w:hAnsi="Arial"/>
          <w:sz w:val="21"/>
          <w:szCs w:val="21"/>
          <w:color w:val="auto"/>
        </w:rPr>
        <w:t>Wellington Management Group LLP Wellington Group Holdings LLP Wellington Investment Advisors Holdings LLP Wellington Management Company LLP</w:t>
      </w:r>
    </w:p>
    <w:p>
      <w:pPr>
        <w:spacing w:after="0" w:line="92" w:lineRule="exact"/>
        <w:rPr>
          <w:rFonts w:ascii="Arial" w:cs="Arial" w:eastAsia="Arial" w:hAnsi="Arial"/>
          <w:sz w:val="22"/>
          <w:szCs w:val="22"/>
          <w:b w:val="1"/>
          <w:bCs w:val="1"/>
          <w:color w:val="auto"/>
        </w:rPr>
      </w:pPr>
    </w:p>
    <w:p>
      <w:pPr>
        <w:ind w:left="1760" w:right="3880" w:hanging="401"/>
        <w:spacing w:after="0" w:line="241" w:lineRule="auto"/>
        <w:tabs>
          <w:tab w:leader="none" w:pos="176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Principal Business Office or, if None, Residence </w:t>
      </w:r>
      <w:r>
        <w:rPr>
          <w:rFonts w:ascii="Arial" w:cs="Arial" w:eastAsia="Arial" w:hAnsi="Arial"/>
          <w:sz w:val="22"/>
          <w:szCs w:val="22"/>
          <w:color w:val="auto"/>
        </w:rPr>
        <w:t>c/o Wellington Management Company LLP</w:t>
      </w:r>
    </w:p>
    <w:p>
      <w:pPr>
        <w:spacing w:after="0" w:line="1" w:lineRule="exact"/>
        <w:rPr>
          <w:rFonts w:ascii="Arial" w:cs="Arial" w:eastAsia="Arial" w:hAnsi="Arial"/>
          <w:sz w:val="22"/>
          <w:szCs w:val="22"/>
          <w:b w:val="1"/>
          <w:bCs w:val="1"/>
          <w:color w:val="auto"/>
        </w:rPr>
      </w:pPr>
    </w:p>
    <w:p>
      <w:pPr>
        <w:ind w:left="1760" w:right="7540"/>
        <w:spacing w:after="0" w:line="339" w:lineRule="auto"/>
        <w:rPr>
          <w:rFonts w:ascii="Arial" w:cs="Arial" w:eastAsia="Arial" w:hAnsi="Arial"/>
          <w:sz w:val="22"/>
          <w:szCs w:val="22"/>
          <w:b w:val="1"/>
          <w:bCs w:val="1"/>
          <w:color w:val="auto"/>
        </w:rPr>
      </w:pPr>
      <w:r>
        <w:rPr>
          <w:rFonts w:ascii="Arial" w:cs="Arial" w:eastAsia="Arial" w:hAnsi="Arial"/>
          <w:sz w:val="18"/>
          <w:szCs w:val="18"/>
          <w:color w:val="auto"/>
        </w:rPr>
        <w:t>280 Congress Street Boston, MA 02210</w:t>
      </w:r>
    </w:p>
    <w:p>
      <w:pPr>
        <w:spacing w:after="0" w:line="12" w:lineRule="exact"/>
        <w:rPr>
          <w:rFonts w:ascii="Arial" w:cs="Arial" w:eastAsia="Arial" w:hAnsi="Arial"/>
          <w:sz w:val="22"/>
          <w:szCs w:val="22"/>
          <w:b w:val="1"/>
          <w:bCs w:val="1"/>
          <w:color w:val="auto"/>
        </w:rPr>
      </w:pPr>
    </w:p>
    <w:p>
      <w:pPr>
        <w:ind w:left="1760" w:hanging="401"/>
        <w:spacing w:after="0"/>
        <w:tabs>
          <w:tab w:leader="none" w:pos="176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Citizenship</w:t>
      </w:r>
    </w:p>
    <w:p>
      <w:pPr>
        <w:spacing w:after="0" w:line="14" w:lineRule="exact"/>
        <w:rPr>
          <w:rFonts w:ascii="Arial" w:cs="Arial" w:eastAsia="Arial" w:hAnsi="Arial"/>
          <w:sz w:val="22"/>
          <w:szCs w:val="22"/>
          <w:b w:val="1"/>
          <w:bCs w:val="1"/>
          <w:color w:val="auto"/>
        </w:rPr>
      </w:pPr>
    </w:p>
    <w:p>
      <w:pPr>
        <w:ind w:left="1760" w:right="4180"/>
        <w:spacing w:after="0" w:line="246" w:lineRule="auto"/>
        <w:rPr>
          <w:rFonts w:ascii="Arial" w:cs="Arial" w:eastAsia="Arial" w:hAnsi="Arial"/>
          <w:sz w:val="22"/>
          <w:szCs w:val="22"/>
          <w:b w:val="1"/>
          <w:bCs w:val="1"/>
          <w:color w:val="auto"/>
        </w:rPr>
      </w:pPr>
      <w:r>
        <w:rPr>
          <w:rFonts w:ascii="Arial" w:cs="Arial" w:eastAsia="Arial" w:hAnsi="Arial"/>
          <w:sz w:val="21"/>
          <w:szCs w:val="21"/>
          <w:color w:val="auto"/>
        </w:rPr>
        <w:t>Wellington Management Group LLP - Massachusetts Wellington Group Holdings LLP - Delaware Wellington Investment Advisors Holdings LLP - Delaware Wellington Management Company LLP - Delaware</w:t>
      </w:r>
    </w:p>
    <w:p>
      <w:pPr>
        <w:spacing w:after="0" w:line="92" w:lineRule="exact"/>
        <w:rPr>
          <w:rFonts w:ascii="Arial" w:cs="Arial" w:eastAsia="Arial" w:hAnsi="Arial"/>
          <w:sz w:val="22"/>
          <w:szCs w:val="22"/>
          <w:b w:val="1"/>
          <w:bCs w:val="1"/>
          <w:color w:val="auto"/>
        </w:rPr>
      </w:pPr>
    </w:p>
    <w:p>
      <w:pPr>
        <w:ind w:left="1760" w:right="6880" w:hanging="401"/>
        <w:spacing w:after="0" w:line="334" w:lineRule="auto"/>
        <w:tabs>
          <w:tab w:leader="none" w:pos="176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2" w:lineRule="exact"/>
        <w:rPr>
          <w:rFonts w:ascii="Arial" w:cs="Arial" w:eastAsia="Arial" w:hAnsi="Arial"/>
          <w:sz w:val="19"/>
          <w:szCs w:val="19"/>
          <w:b w:val="1"/>
          <w:bCs w:val="1"/>
          <w:color w:val="auto"/>
        </w:rPr>
      </w:pPr>
    </w:p>
    <w:p>
      <w:pPr>
        <w:ind w:left="1760" w:right="7800" w:hanging="401"/>
        <w:spacing w:after="0" w:line="334" w:lineRule="auto"/>
        <w:tabs>
          <w:tab w:leader="none" w:pos="176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71367G102</w:t>
      </w:r>
    </w:p>
    <w:p>
      <w:pPr>
        <w:spacing w:after="0" w:line="13" w:lineRule="exact"/>
        <w:rPr>
          <w:sz w:val="20"/>
          <w:szCs w:val="20"/>
          <w:color w:val="auto"/>
        </w:rPr>
      </w:pPr>
    </w:p>
    <w:p>
      <w:pPr>
        <w:ind w:left="1360" w:hanging="1349"/>
        <w:spacing w:after="0" w:line="256" w:lineRule="auto"/>
        <w:tabs>
          <w:tab w:leader="none" w:pos="134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2"/>
          <w:szCs w:val="22"/>
          <w:b w:val="1"/>
          <w:bCs w:val="1"/>
          <w:color w:val="auto"/>
        </w:rPr>
        <w:t>If This Statement is Filed Pursuant to Rule 13d-1(b), or 13d-2(b) or (c), Check Whether the Person Filing is a:</w:t>
      </w:r>
    </w:p>
    <w:p>
      <w:pPr>
        <w:spacing w:after="0" w:line="87" w:lineRule="exact"/>
        <w:rPr>
          <w:sz w:val="20"/>
          <w:szCs w:val="20"/>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78o).</w:t>
      </w:r>
    </w:p>
    <w:p>
      <w:pPr>
        <w:spacing w:after="0" w:line="125" w:lineRule="exact"/>
        <w:rPr>
          <w:rFonts w:ascii="Arial" w:cs="Arial" w:eastAsia="Arial" w:hAnsi="Arial"/>
          <w:sz w:val="22"/>
          <w:szCs w:val="22"/>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125" w:lineRule="exact"/>
        <w:rPr>
          <w:rFonts w:ascii="Arial" w:cs="Arial" w:eastAsia="Arial" w:hAnsi="Arial"/>
          <w:sz w:val="22"/>
          <w:szCs w:val="22"/>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125" w:lineRule="exact"/>
        <w:rPr>
          <w:rFonts w:ascii="Arial" w:cs="Arial" w:eastAsia="Arial" w:hAnsi="Arial"/>
          <w:sz w:val="22"/>
          <w:szCs w:val="22"/>
          <w:color w:val="auto"/>
        </w:rPr>
      </w:pPr>
    </w:p>
    <w:p>
      <w:pPr>
        <w:ind w:left="2220" w:right="120" w:hanging="861"/>
        <w:spacing w:after="0" w:line="250" w:lineRule="auto"/>
        <w:tabs>
          <w:tab w:leader="none" w:pos="176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93" w:lineRule="exact"/>
        <w:rPr>
          <w:rFonts w:ascii="Arial" w:cs="Arial" w:eastAsia="Arial" w:hAnsi="Arial"/>
          <w:sz w:val="22"/>
          <w:szCs w:val="22"/>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[X]  An investment adviser in accordance with Rule 240.13d-1(b)(1)(ii)(E); *</w:t>
      </w:r>
    </w:p>
    <w:p>
      <w:pPr>
        <w:spacing w:after="0" w:line="125" w:lineRule="exact"/>
        <w:rPr>
          <w:rFonts w:ascii="Arial" w:cs="Arial" w:eastAsia="Arial" w:hAnsi="Arial"/>
          <w:sz w:val="22"/>
          <w:szCs w:val="22"/>
          <w:color w:val="auto"/>
        </w:rPr>
      </w:pPr>
    </w:p>
    <w:p>
      <w:pPr>
        <w:ind w:left="1760" w:hanging="401"/>
        <w:spacing w:after="0"/>
        <w:tabs>
          <w:tab w:leader="none" w:pos="1760" w:val="left"/>
        </w:tabs>
        <w:numPr>
          <w:ilvl w:val="0"/>
          <w:numId w:val="4"/>
        </w:numPr>
        <w:rPr>
          <w:rFonts w:ascii="Arial" w:cs="Arial" w:eastAsia="Arial" w:hAnsi="Arial"/>
          <w:sz w:val="21"/>
          <w:szCs w:val="21"/>
          <w:color w:val="auto"/>
        </w:rPr>
      </w:pPr>
      <w:r>
        <w:rPr>
          <w:rFonts w:ascii="Arial" w:cs="Arial" w:eastAsia="Arial" w:hAnsi="Arial"/>
          <w:sz w:val="21"/>
          <w:szCs w:val="21"/>
          <w:color w:val="auto"/>
        </w:rPr>
        <w:t>[ ]   An employee benefit plan or endowment fund in accordance with Rule 240.13d-1(b)(1)(ii)(F);</w:t>
      </w:r>
    </w:p>
    <w:p>
      <w:pPr>
        <w:spacing w:after="0" w:line="136" w:lineRule="exact"/>
        <w:rPr>
          <w:rFonts w:ascii="Arial" w:cs="Arial" w:eastAsia="Arial" w:hAnsi="Arial"/>
          <w:sz w:val="21"/>
          <w:szCs w:val="21"/>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[X]  A parent holding company or control person in accordance with Rule 240.13d-1(b)(1)(ii)(G);</w:t>
      </w:r>
    </w:p>
    <w:p>
      <w:pPr>
        <w:spacing w:after="0" w:line="125" w:lineRule="exact"/>
        <w:rPr>
          <w:rFonts w:ascii="Arial" w:cs="Arial" w:eastAsia="Arial" w:hAnsi="Arial"/>
          <w:sz w:val="22"/>
          <w:szCs w:val="22"/>
          <w:color w:val="auto"/>
        </w:rPr>
      </w:pPr>
    </w:p>
    <w:p>
      <w:pPr>
        <w:ind w:left="2220" w:right="460" w:hanging="861"/>
        <w:spacing w:after="0" w:line="250" w:lineRule="auto"/>
        <w:tabs>
          <w:tab w:leader="none" w:pos="176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savings association as defined in Section 3(b) of the Federal Deposit Insurance Act (12 U.S.C. 1813);</w:t>
      </w:r>
    </w:p>
    <w:p>
      <w:pPr>
        <w:spacing w:after="0" w:line="93" w:lineRule="exact"/>
        <w:rPr>
          <w:rFonts w:ascii="Arial" w:cs="Arial" w:eastAsia="Arial" w:hAnsi="Arial"/>
          <w:sz w:val="22"/>
          <w:szCs w:val="22"/>
          <w:color w:val="auto"/>
        </w:rPr>
      </w:pPr>
    </w:p>
    <w:p>
      <w:pPr>
        <w:ind w:left="2220" w:right="140" w:hanging="861"/>
        <w:spacing w:after="0" w:line="250" w:lineRule="auto"/>
        <w:tabs>
          <w:tab w:leader="none" w:pos="176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 3(c)(14) of the Investment Company Act of 1940 (15 U.S.C. 80a-3);</w:t>
      </w:r>
    </w:p>
    <w:p>
      <w:pPr>
        <w:spacing w:after="0" w:line="93" w:lineRule="exact"/>
        <w:rPr>
          <w:rFonts w:ascii="Arial" w:cs="Arial" w:eastAsia="Arial" w:hAnsi="Arial"/>
          <w:sz w:val="22"/>
          <w:szCs w:val="22"/>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Group, in accordance with Rule 240.13d-1(b)(1)(ii)(J).</w:t>
      </w:r>
    </w:p>
    <w:p>
      <w:pPr>
        <w:spacing w:after="0" w:line="125" w:lineRule="exact"/>
        <w:rPr>
          <w:rFonts w:ascii="Arial" w:cs="Arial" w:eastAsia="Arial" w:hAnsi="Arial"/>
          <w:sz w:val="22"/>
          <w:szCs w:val="22"/>
          <w:color w:val="auto"/>
        </w:rPr>
      </w:pPr>
    </w:p>
    <w:p>
      <w:pPr>
        <w:ind w:left="1760"/>
        <w:spacing w:after="0"/>
        <w:rPr>
          <w:rFonts w:ascii="Arial" w:cs="Arial" w:eastAsia="Arial" w:hAnsi="Arial"/>
          <w:sz w:val="22"/>
          <w:szCs w:val="22"/>
          <w:color w:val="auto"/>
        </w:rPr>
      </w:pPr>
      <w:r>
        <w:rPr>
          <w:rFonts w:ascii="Arial" w:cs="Arial" w:eastAsia="Arial" w:hAnsi="Arial"/>
          <w:sz w:val="22"/>
          <w:szCs w:val="22"/>
          <w:color w:val="auto"/>
        </w:rPr>
        <w:t>If this statement is filed pursuant to Rule 13d-1(c), check this box [ ]</w:t>
      </w:r>
    </w:p>
    <w:p>
      <w:pPr>
        <w:spacing w:after="0" w:line="125" w:lineRule="exact"/>
        <w:rPr>
          <w:sz w:val="20"/>
          <w:szCs w:val="20"/>
          <w:color w:val="auto"/>
        </w:rPr>
      </w:pPr>
    </w:p>
    <w:p>
      <w:pPr>
        <w:ind w:left="1360"/>
        <w:spacing w:after="0"/>
        <w:rPr>
          <w:sz w:val="20"/>
          <w:szCs w:val="20"/>
          <w:color w:val="auto"/>
        </w:rPr>
      </w:pPr>
      <w:r>
        <w:rPr>
          <w:rFonts w:ascii="Arial" w:cs="Arial" w:eastAsia="Arial" w:hAnsi="Arial"/>
          <w:sz w:val="22"/>
          <w:szCs w:val="22"/>
          <w:color w:val="auto"/>
        </w:rPr>
        <w:t>Wellington Management Group LLP - HC</w:t>
      </w:r>
    </w:p>
    <w:p>
      <w:pPr>
        <w:ind w:left="1360"/>
        <w:spacing w:after="0" w:line="238" w:lineRule="auto"/>
        <w:rPr>
          <w:sz w:val="20"/>
          <w:szCs w:val="20"/>
          <w:color w:val="auto"/>
        </w:rPr>
      </w:pPr>
      <w:r>
        <w:rPr>
          <w:rFonts w:ascii="Arial" w:cs="Arial" w:eastAsia="Arial" w:hAnsi="Arial"/>
          <w:sz w:val="22"/>
          <w:szCs w:val="22"/>
          <w:color w:val="auto"/>
        </w:rPr>
        <w:t>Wellington Group Holdings LLP - HC</w:t>
      </w:r>
    </w:p>
    <w:p>
      <w:pPr>
        <w:ind w:left="1360"/>
        <w:spacing w:after="0" w:line="230" w:lineRule="auto"/>
        <w:rPr>
          <w:sz w:val="20"/>
          <w:szCs w:val="20"/>
          <w:color w:val="auto"/>
        </w:rPr>
      </w:pPr>
      <w:r>
        <w:rPr>
          <w:rFonts w:ascii="Arial" w:cs="Arial" w:eastAsia="Arial" w:hAnsi="Arial"/>
          <w:sz w:val="22"/>
          <w:szCs w:val="22"/>
          <w:color w:val="auto"/>
        </w:rPr>
        <w:t>Wellington Investment Advisors Holdings LLP - HC</w:t>
      </w:r>
    </w:p>
    <w:p>
      <w:pPr>
        <w:spacing w:after="0" w:line="1" w:lineRule="exact"/>
        <w:rPr>
          <w:sz w:val="20"/>
          <w:szCs w:val="20"/>
          <w:color w:val="auto"/>
        </w:rPr>
      </w:pPr>
    </w:p>
    <w:p>
      <w:pPr>
        <w:ind w:left="1360"/>
        <w:spacing w:after="0"/>
        <w:rPr>
          <w:sz w:val="20"/>
          <w:szCs w:val="20"/>
          <w:color w:val="auto"/>
        </w:rPr>
      </w:pPr>
      <w:r>
        <w:rPr>
          <w:rFonts w:ascii="Arial" w:cs="Arial" w:eastAsia="Arial" w:hAnsi="Arial"/>
          <w:sz w:val="22"/>
          <w:szCs w:val="22"/>
          <w:color w:val="auto"/>
        </w:rPr>
        <w:t>Wellington Management Company LLP - IA</w:t>
      </w:r>
    </w:p>
    <w:p>
      <w:pPr>
        <w:spacing w:after="0" w:line="101"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sz w:val="20"/>
          <w:szCs w:val="20"/>
          <w:color w:val="auto"/>
        </w:rPr>
      </w:pPr>
    </w:p>
    <w:p>
      <w:pPr>
        <w:ind w:right="680"/>
        <w:spacing w:after="0" w:line="250"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4" w:lineRule="exact"/>
        <w:rPr>
          <w:sz w:val="20"/>
          <w:szCs w:val="20"/>
          <w:color w:val="auto"/>
        </w:rPr>
      </w:pPr>
    </w:p>
    <w:p>
      <w:pPr>
        <w:ind w:left="1760" w:hanging="401"/>
        <w:spacing w:after="0"/>
        <w:tabs>
          <w:tab w:leader="none" w:pos="176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760"/>
        <w:spacing w:after="0"/>
        <w:rPr>
          <w:rFonts w:ascii="Arial" w:cs="Arial" w:eastAsia="Arial" w:hAnsi="Arial"/>
          <w:sz w:val="22"/>
          <w:szCs w:val="22"/>
          <w:color w:val="auto"/>
        </w:rPr>
      </w:pPr>
      <w:r>
        <w:rPr>
          <w:rFonts w:ascii="Arial" w:cs="Arial" w:eastAsia="Arial" w:hAnsi="Arial"/>
          <w:sz w:val="22"/>
          <w:szCs w:val="22"/>
          <w:color w:val="auto"/>
        </w:rPr>
        <w:t>See the responses to Item 9 on the attached cover pages.</w:t>
      </w:r>
    </w:p>
    <w:p>
      <w:pPr>
        <w:spacing w:after="0" w:line="125" w:lineRule="exact"/>
        <w:rPr>
          <w:rFonts w:ascii="Arial" w:cs="Arial" w:eastAsia="Arial" w:hAnsi="Arial"/>
          <w:sz w:val="22"/>
          <w:szCs w:val="22"/>
          <w:color w:val="auto"/>
        </w:rPr>
      </w:pPr>
    </w:p>
    <w:p>
      <w:pPr>
        <w:ind w:left="1760" w:hanging="401"/>
        <w:spacing w:after="0"/>
        <w:tabs>
          <w:tab w:leader="none" w:pos="176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760"/>
        <w:spacing w:after="0"/>
        <w:rPr>
          <w:rFonts w:ascii="Arial" w:cs="Arial" w:eastAsia="Arial" w:hAnsi="Arial"/>
          <w:sz w:val="22"/>
          <w:szCs w:val="22"/>
          <w:color w:val="auto"/>
        </w:rPr>
      </w:pPr>
      <w:r>
        <w:rPr>
          <w:rFonts w:ascii="Arial" w:cs="Arial" w:eastAsia="Arial" w:hAnsi="Arial"/>
          <w:sz w:val="22"/>
          <w:szCs w:val="22"/>
          <w:color w:val="auto"/>
        </w:rPr>
        <w:t>See the responses to Item 11 on the attached cover pages.</w:t>
      </w:r>
    </w:p>
    <w:p>
      <w:pPr>
        <w:sectPr>
          <w:pgSz w:w="11900" w:h="16907" w:orient="portrait"/>
          <w:cols w:equalWidth="0" w:num="1">
            <w:col w:w="11040"/>
          </w:cols>
          <w:pgMar w:left="400" w:top="409" w:right="459" w:bottom="0" w:gutter="0" w:footer="0" w:header="0"/>
        </w:sectPr>
      </w:pPr>
    </w:p>
    <w:bookmarkStart w:id="6" w:name="page7"/>
    <w:bookmarkEnd w:id="6"/>
    <w:p>
      <w:pPr>
        <w:spacing w:after="0" w:line="63" w:lineRule="exact"/>
        <w:rPr>
          <w:sz w:val="20"/>
          <w:szCs w:val="20"/>
          <w:color w:val="auto"/>
        </w:rPr>
      </w:pPr>
    </w:p>
    <w:p>
      <w:pPr>
        <w:ind w:left="1760" w:hanging="401"/>
        <w:spacing w:after="0"/>
        <w:tabs>
          <w:tab w:leader="none" w:pos="1760" w:val="left"/>
        </w:tabs>
        <w:numPr>
          <w:ilvl w:val="0"/>
          <w:numId w:val="6"/>
        </w:numPr>
        <w:rPr>
          <w:rFonts w:ascii="Arial" w:cs="Arial" w:eastAsia="Arial" w:hAnsi="Arial"/>
          <w:sz w:val="19"/>
          <w:szCs w:val="19"/>
          <w:color w:val="auto"/>
        </w:rPr>
      </w:pPr>
      <w:r>
        <w:rPr>
          <w:rFonts w:ascii="Arial" w:cs="Arial" w:eastAsia="Arial" w:hAnsi="Arial"/>
          <w:sz w:val="19"/>
          <w:szCs w:val="19"/>
          <w:color w:val="auto"/>
        </w:rPr>
        <w:t>Number of shares as to which such person has:</w:t>
      </w:r>
    </w:p>
    <w:p>
      <w:pPr>
        <w:spacing w:after="0" w:line="159" w:lineRule="exact"/>
        <w:rPr>
          <w:rFonts w:ascii="Arial" w:cs="Arial" w:eastAsia="Arial" w:hAnsi="Arial"/>
          <w:sz w:val="19"/>
          <w:szCs w:val="19"/>
          <w:color w:val="auto"/>
        </w:rPr>
      </w:pPr>
    </w:p>
    <w:p>
      <w:pPr>
        <w:ind w:left="2220" w:hanging="456"/>
        <w:spacing w:after="0"/>
        <w:tabs>
          <w:tab w:leader="none" w:pos="2220" w:val="left"/>
        </w:tabs>
        <w:numPr>
          <w:ilvl w:val="1"/>
          <w:numId w:val="6"/>
        </w:numPr>
        <w:rPr>
          <w:rFonts w:ascii="Arial" w:cs="Arial" w:eastAsia="Arial" w:hAnsi="Arial"/>
          <w:sz w:val="21"/>
          <w:szCs w:val="21"/>
          <w:color w:val="auto"/>
        </w:rPr>
      </w:pPr>
      <w:r>
        <w:rPr>
          <w:rFonts w:ascii="Arial" w:cs="Arial" w:eastAsia="Arial" w:hAnsi="Arial"/>
          <w:sz w:val="21"/>
          <w:szCs w:val="21"/>
          <w:color w:val="auto"/>
        </w:rPr>
        <w:t>sole power to vote or to direct the vote</w:t>
      </w:r>
    </w:p>
    <w:p>
      <w:pPr>
        <w:spacing w:after="0" w:line="258" w:lineRule="exact"/>
        <w:rPr>
          <w:rFonts w:ascii="Arial" w:cs="Arial" w:eastAsia="Arial" w:hAnsi="Arial"/>
          <w:sz w:val="21"/>
          <w:szCs w:val="21"/>
          <w:color w:val="auto"/>
        </w:rPr>
      </w:pPr>
    </w:p>
    <w:p>
      <w:pPr>
        <w:ind w:left="2220" w:hanging="456"/>
        <w:spacing w:after="0"/>
        <w:tabs>
          <w:tab w:leader="none" w:pos="2220" w:val="left"/>
        </w:tabs>
        <w:numPr>
          <w:ilvl w:val="1"/>
          <w:numId w:val="6"/>
        </w:numPr>
        <w:rPr>
          <w:rFonts w:ascii="Arial" w:cs="Arial" w:eastAsia="Arial" w:hAnsi="Arial"/>
          <w:sz w:val="19"/>
          <w:szCs w:val="19"/>
          <w:color w:val="auto"/>
        </w:rPr>
      </w:pPr>
      <w:r>
        <w:rPr>
          <w:rFonts w:ascii="Arial" w:cs="Arial" w:eastAsia="Arial" w:hAnsi="Arial"/>
          <w:sz w:val="19"/>
          <w:szCs w:val="19"/>
          <w:color w:val="auto"/>
        </w:rPr>
        <w:t>shared power to vote or to direct the vote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125" w:lineRule="exact"/>
        <w:rPr>
          <w:sz w:val="20"/>
          <w:szCs w:val="20"/>
          <w:color w:val="auto"/>
        </w:rPr>
      </w:pPr>
    </w:p>
    <w:p>
      <w:pPr>
        <w:ind w:right="80"/>
        <w:spacing w:after="0" w:line="245" w:lineRule="auto"/>
        <w:rPr>
          <w:sz w:val="20"/>
          <w:szCs w:val="20"/>
          <w:color w:val="auto"/>
        </w:rPr>
      </w:pPr>
      <w:r>
        <w:rPr>
          <w:rFonts w:ascii="Arial" w:cs="Arial" w:eastAsia="Arial" w:hAnsi="Arial"/>
          <w:sz w:val="22"/>
          <w:szCs w:val="22"/>
          <w:color w:val="auto"/>
        </w:rPr>
        <w:t>See the responses to Item 6 on the attached cover pages.</w:t>
      </w:r>
    </w:p>
    <w:p>
      <w:pPr>
        <w:spacing w:after="0" w:line="59" w:lineRule="exact"/>
        <w:rPr>
          <w:sz w:val="20"/>
          <w:szCs w:val="20"/>
          <w:color w:val="auto"/>
        </w:rPr>
      </w:pPr>
    </w:p>
    <w:p>
      <w:pPr>
        <w:sectPr>
          <w:pgSz w:w="11900" w:h="16901" w:orient="portrait"/>
          <w:cols w:equalWidth="0" w:num="2">
            <w:col w:w="5900" w:space="720"/>
            <w:col w:w="4320"/>
          </w:cols>
          <w:pgMar w:left="400" w:top="253" w:right="559" w:bottom="0" w:gutter="0" w:footer="0" w:header="0"/>
        </w:sectPr>
      </w:pPr>
    </w:p>
    <w:p>
      <w:pPr>
        <w:ind w:left="2220" w:hanging="456"/>
        <w:spacing w:after="0"/>
        <w:tabs>
          <w:tab w:leader="none" w:pos="2220" w:val="left"/>
        </w:tabs>
        <w:numPr>
          <w:ilvl w:val="0"/>
          <w:numId w:val="7"/>
        </w:numPr>
        <w:rPr>
          <w:rFonts w:ascii="Arial" w:cs="Arial" w:eastAsia="Arial" w:hAnsi="Arial"/>
          <w:sz w:val="34"/>
          <w:szCs w:val="34"/>
          <w:color w:val="auto"/>
          <w:vertAlign w:val="subscript"/>
        </w:rPr>
      </w:pPr>
      <w:r>
        <w:rPr>
          <w:rFonts w:ascii="Arial" w:cs="Arial" w:eastAsia="Arial" w:hAnsi="Arial"/>
          <w:sz w:val="18"/>
          <w:szCs w:val="18"/>
          <w:color w:val="auto"/>
        </w:rPr>
        <w:t>sole</w:t>
      </w:r>
      <w:r>
        <w:rPr>
          <w:rFonts w:ascii="Arial" w:cs="Arial" w:eastAsia="Arial" w:hAnsi="Arial"/>
          <w:sz w:val="34"/>
          <w:szCs w:val="34"/>
          <w:color w:val="auto"/>
          <w:vertAlign w:val="subscript"/>
        </w:rPr>
        <w:t>of</w:t>
      </w:r>
      <w:r>
        <w:rPr>
          <w:rFonts w:ascii="Arial" w:cs="Arial" w:eastAsia="Arial" w:hAnsi="Arial"/>
          <w:sz w:val="18"/>
          <w:szCs w:val="18"/>
          <w:color w:val="auto"/>
        </w:rPr>
        <w:t xml:space="preserve"> power to dispose or to direct the disposition</w:t>
      </w:r>
    </w:p>
    <w:p>
      <w:pPr>
        <w:spacing w:after="0" w:line="275" w:lineRule="exact"/>
        <w:rPr>
          <w:rFonts w:ascii="Arial" w:cs="Arial" w:eastAsia="Arial" w:hAnsi="Arial"/>
          <w:sz w:val="34"/>
          <w:szCs w:val="34"/>
          <w:color w:val="auto"/>
          <w:vertAlign w:val="subscript"/>
        </w:rPr>
      </w:pPr>
    </w:p>
    <w:p>
      <w:pPr>
        <w:ind w:left="2220" w:right="800" w:hanging="456"/>
        <w:spacing w:after="0" w:line="183" w:lineRule="auto"/>
        <w:tabs>
          <w:tab w:leader="none" w:pos="2220" w:val="left"/>
        </w:tabs>
        <w:numPr>
          <w:ilvl w:val="0"/>
          <w:numId w:val="7"/>
        </w:numPr>
        <w:rPr>
          <w:rFonts w:ascii="Arial" w:cs="Arial" w:eastAsia="Arial" w:hAnsi="Arial"/>
          <w:sz w:val="39"/>
          <w:szCs w:val="39"/>
          <w:color w:val="auto"/>
          <w:vertAlign w:val="subscript"/>
        </w:rPr>
      </w:pPr>
      <w:r>
        <w:rPr>
          <w:rFonts w:ascii="Arial" w:cs="Arial" w:eastAsia="Arial" w:hAnsi="Arial"/>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47" w:lineRule="exact"/>
        <w:rPr>
          <w:sz w:val="20"/>
          <w:szCs w:val="20"/>
          <w:color w:val="auto"/>
        </w:rPr>
      </w:pPr>
    </w:p>
    <w:p>
      <w:pPr>
        <w:ind w:right="80"/>
        <w:spacing w:after="0" w:line="250" w:lineRule="auto"/>
        <w:rPr>
          <w:sz w:val="20"/>
          <w:szCs w:val="20"/>
          <w:color w:val="auto"/>
        </w:rPr>
      </w:pPr>
      <w:r>
        <w:rPr>
          <w:rFonts w:ascii="Arial" w:cs="Arial" w:eastAsia="Arial" w:hAnsi="Arial"/>
          <w:sz w:val="22"/>
          <w:szCs w:val="22"/>
          <w:color w:val="auto"/>
        </w:rPr>
        <w:t>See the responses to Item 8 on the attached cover pages.</w:t>
      </w:r>
    </w:p>
    <w:p>
      <w:pPr>
        <w:spacing w:after="0" w:line="88" w:lineRule="exact"/>
        <w:rPr>
          <w:sz w:val="20"/>
          <w:szCs w:val="20"/>
          <w:color w:val="auto"/>
        </w:rPr>
      </w:pPr>
    </w:p>
    <w:p>
      <w:pPr>
        <w:sectPr>
          <w:pgSz w:w="11900" w:h="16901" w:orient="portrait"/>
          <w:cols w:equalWidth="0" w:num="2">
            <w:col w:w="6420" w:space="200"/>
            <w:col w:w="4320"/>
          </w:cols>
          <w:pgMar w:left="400" w:top="253" w:right="559" w:bottom="0" w:gutter="0" w:footer="0" w:header="0"/>
          <w:type w:val="continuous"/>
        </w:sectPr>
      </w:pPr>
    </w:p>
    <w:tbl>
      <w:tblPr>
        <w:tblLayout w:type="fixed"/>
        <w:tblInd w:w="0" w:type="dxa"/>
        <w:tblCellMar>
          <w:top w:w="0" w:type="dxa"/>
          <w:left w:w="0" w:type="dxa"/>
          <w:bottom w:w="0" w:type="dxa"/>
          <w:right w:w="0" w:type="dxa"/>
        </w:tblCellMar>
      </w:tblPr>
      <w:tr>
        <w:trPr>
          <w:trHeight w:val="280"/>
        </w:trPr>
        <w:tc>
          <w:tcPr>
            <w:tcW w:w="940" w:type="dxa"/>
            <w:vAlign w:val="bottom"/>
          </w:tcPr>
          <w:p>
            <w:pPr>
              <w:spacing w:after="0"/>
              <w:rPr>
                <w:sz w:val="20"/>
                <w:szCs w:val="20"/>
                <w:color w:val="auto"/>
              </w:rPr>
            </w:pPr>
            <w:r>
              <w:rPr>
                <w:rFonts w:ascii="Arial" w:cs="Arial" w:eastAsia="Arial" w:hAnsi="Arial"/>
                <w:sz w:val="22"/>
                <w:szCs w:val="22"/>
                <w:b w:val="1"/>
                <w:bCs w:val="1"/>
                <w:color w:val="auto"/>
              </w:rPr>
              <w:t>Item 5.</w:t>
            </w: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rPr>
              <w:t>Ownership of Five Percent or Less of Class.</w:t>
            </w:r>
          </w:p>
        </w:tc>
      </w:tr>
      <w:tr>
        <w:trPr>
          <w:trHeight w:val="347"/>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w w:val="88"/>
              </w:rPr>
              <w:t>If this statement is being filed to report the fact that as of the date hereof the reporting person has ceased to be</w:t>
            </w:r>
          </w:p>
        </w:tc>
      </w:tr>
      <w:tr>
        <w:trPr>
          <w:trHeight w:val="274"/>
        </w:trPr>
        <w:tc>
          <w:tcPr>
            <w:tcW w:w="940" w:type="dxa"/>
            <w:vAlign w:val="bottom"/>
          </w:tcPr>
          <w:p>
            <w:pPr>
              <w:spacing w:after="0"/>
              <w:rPr>
                <w:sz w:val="23"/>
                <w:szCs w:val="23"/>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rPr>
              <w:t>the beneficial owner of more than five percent of the class of securities, check the following: [ ]</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6.</w:t>
            </w: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rPr>
              <w:t>Ownership of More than Five Percent on Behalf of Another Person.</w:t>
            </w:r>
          </w:p>
        </w:tc>
      </w:tr>
      <w:tr>
        <w:trPr>
          <w:trHeight w:val="347"/>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w w:val="93"/>
              </w:rPr>
              <w:t>The securities as to which this Schedule is filed are owned of record by clients of one or more investment</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Arial" w:cs="Arial" w:eastAsia="Arial" w:hAnsi="Arial"/>
                <w:sz w:val="22"/>
                <w:szCs w:val="22"/>
                <w:color w:val="auto"/>
                <w:w w:val="94"/>
              </w:rPr>
              <w:t>advisers identified in Exhibit A directly or indirectly owned by Wellington Management Group LLP. Those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Arial" w:cs="Arial" w:eastAsia="Arial" w:hAnsi="Arial"/>
                <w:sz w:val="22"/>
                <w:szCs w:val="22"/>
                <w:color w:val="auto"/>
                <w:w w:val="89"/>
              </w:rPr>
              <w:t>clients have the right to receive, or the power to direct the receipt of, dividends from, or the proceeds from the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Arial" w:cs="Arial" w:eastAsia="Arial" w:hAnsi="Arial"/>
                <w:sz w:val="22"/>
                <w:szCs w:val="22"/>
                <w:color w:val="auto"/>
                <w:w w:val="92"/>
              </w:rPr>
              <w:t>sale of, such securities. No such client is known to have such right or power with respect to more than five</w:t>
            </w:r>
          </w:p>
        </w:tc>
      </w:tr>
      <w:tr>
        <w:trPr>
          <w:trHeight w:val="274"/>
        </w:trPr>
        <w:tc>
          <w:tcPr>
            <w:tcW w:w="940" w:type="dxa"/>
            <w:vAlign w:val="bottom"/>
          </w:tcPr>
          <w:p>
            <w:pPr>
              <w:spacing w:after="0"/>
              <w:rPr>
                <w:sz w:val="23"/>
                <w:szCs w:val="23"/>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rPr>
              <w:t>percent of this class of securities, except as follows:</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rPr>
              <w:t>Not Applicable.</w:t>
            </w:r>
          </w:p>
        </w:tc>
      </w:tr>
      <w:tr>
        <w:trPr>
          <w:trHeight w:val="341"/>
        </w:trPr>
        <w:tc>
          <w:tcPr>
            <w:tcW w:w="940" w:type="dxa"/>
            <w:vAlign w:val="bottom"/>
          </w:tcPr>
          <w:p>
            <w:pPr>
              <w:spacing w:after="0"/>
              <w:rPr>
                <w:sz w:val="20"/>
                <w:szCs w:val="20"/>
                <w:color w:val="auto"/>
              </w:rPr>
            </w:pPr>
            <w:r>
              <w:rPr>
                <w:rFonts w:ascii="Arial" w:cs="Arial" w:eastAsia="Arial" w:hAnsi="Arial"/>
                <w:sz w:val="22"/>
                <w:szCs w:val="22"/>
                <w:b w:val="1"/>
                <w:bCs w:val="1"/>
                <w:color w:val="auto"/>
              </w:rPr>
              <w:t>Item 7.</w:t>
            </w: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w w:val="90"/>
              </w:rPr>
              <w:t>Identification and Classification of the Subsidiary Which Acquired the Security Being Reported on by</w:t>
            </w:r>
          </w:p>
        </w:tc>
      </w:tr>
      <w:tr>
        <w:trPr>
          <w:trHeight w:val="280"/>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rPr>
              <w:t>the Parent Holding Company.</w:t>
            </w:r>
          </w:p>
        </w:tc>
      </w:tr>
      <w:tr>
        <w:trPr>
          <w:trHeight w:val="621"/>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rPr>
              <w:t>See attached Exhibit A.</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8.</w:t>
            </w: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rPr>
              <w:t>Identification and Classification of Members of the Group.</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rPr>
              <w:t>Not Applicable.</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9.</w:t>
            </w: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rPr>
              <w:t>Notice of Dissolution of Group.</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rPr>
              <w:t>Not Applicable.</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10.</w:t>
            </w: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rPr>
              <w:t>Certification.</w:t>
            </w:r>
          </w:p>
        </w:tc>
      </w:tr>
      <w:tr>
        <w:trPr>
          <w:trHeight w:val="455"/>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w w:val="91"/>
              </w:rPr>
              <w:t>By signing below I certify that, to the best of my knowledge and belief, the securities referred to above were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Arial" w:cs="Arial" w:eastAsia="Arial" w:hAnsi="Arial"/>
                <w:sz w:val="22"/>
                <w:szCs w:val="22"/>
                <w:color w:val="auto"/>
                <w:w w:val="87"/>
              </w:rPr>
              <w:t>acquired and are held in the ordinary course of business and were not acquired and are not held for the purpose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Arial" w:cs="Arial" w:eastAsia="Arial" w:hAnsi="Arial"/>
                <w:sz w:val="22"/>
                <w:szCs w:val="22"/>
                <w:color w:val="auto"/>
                <w:w w:val="90"/>
              </w:rPr>
              <w:t>of or with the effect of changing or influencing the control of the issuer of the securities and were not acquired</w:t>
            </w:r>
          </w:p>
        </w:tc>
      </w:tr>
      <w:tr>
        <w:trPr>
          <w:trHeight w:val="274"/>
        </w:trPr>
        <w:tc>
          <w:tcPr>
            <w:tcW w:w="940" w:type="dxa"/>
            <w:vAlign w:val="bottom"/>
          </w:tcPr>
          <w:p>
            <w:pPr>
              <w:spacing w:after="0"/>
              <w:rPr>
                <w:sz w:val="23"/>
                <w:szCs w:val="23"/>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w w:val="96"/>
              </w:rPr>
              <w:t>and are not held in connection with or as a participant in any transaction having that purpose or effect.</w:t>
            </w:r>
          </w:p>
        </w:tc>
      </w:tr>
      <w:tr>
        <w:trPr>
          <w:trHeight w:val="608"/>
        </w:trPr>
        <w:tc>
          <w:tcPr>
            <w:tcW w:w="9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6100" w:type="dxa"/>
            <w:vAlign w:val="bottom"/>
            <w:gridSpan w:val="2"/>
          </w:tcPr>
          <w:p>
            <w:pPr>
              <w:ind w:left="80"/>
              <w:spacing w:after="0"/>
              <w:rPr>
                <w:sz w:val="20"/>
                <w:szCs w:val="20"/>
                <w:color w:val="auto"/>
              </w:rPr>
            </w:pPr>
            <w:r>
              <w:rPr>
                <w:rFonts w:ascii="Arial" w:cs="Arial" w:eastAsia="Arial" w:hAnsi="Arial"/>
                <w:sz w:val="22"/>
                <w:szCs w:val="22"/>
                <w:b w:val="1"/>
                <w:bCs w:val="1"/>
                <w:color w:val="auto"/>
              </w:rPr>
              <w:t>SIGNATURE</w:t>
            </w:r>
          </w:p>
        </w:tc>
      </w:tr>
      <w:tr>
        <w:trPr>
          <w:trHeight w:val="549"/>
        </w:trPr>
        <w:tc>
          <w:tcPr>
            <w:tcW w:w="940" w:type="dxa"/>
            <w:vAlign w:val="bottom"/>
          </w:tcPr>
          <w:p>
            <w:pPr>
              <w:spacing w:after="0"/>
              <w:rPr>
                <w:sz w:val="24"/>
                <w:szCs w:val="24"/>
                <w:color w:val="auto"/>
              </w:rPr>
            </w:pPr>
          </w:p>
        </w:tc>
        <w:tc>
          <w:tcPr>
            <w:tcW w:w="10000" w:type="dxa"/>
            <w:vAlign w:val="bottom"/>
            <w:gridSpan w:val="3"/>
          </w:tcPr>
          <w:p>
            <w:pPr>
              <w:ind w:left="160"/>
              <w:spacing w:after="0"/>
              <w:rPr>
                <w:sz w:val="20"/>
                <w:szCs w:val="20"/>
                <w:color w:val="auto"/>
              </w:rPr>
            </w:pPr>
            <w:r>
              <w:rPr>
                <w:rFonts w:ascii="Arial" w:cs="Arial" w:eastAsia="Arial" w:hAnsi="Arial"/>
                <w:sz w:val="22"/>
                <w:szCs w:val="22"/>
                <w:color w:val="auto"/>
              </w:rPr>
              <w:t>After reasonable inquiry and to the best of my knowledge and belief, I certify that the information set</w:t>
            </w:r>
          </w:p>
        </w:tc>
      </w:tr>
      <w:tr>
        <w:trPr>
          <w:trHeight w:val="274"/>
        </w:trPr>
        <w:tc>
          <w:tcPr>
            <w:tcW w:w="940" w:type="dxa"/>
            <w:vAlign w:val="bottom"/>
          </w:tcPr>
          <w:p>
            <w:pPr>
              <w:spacing w:after="0"/>
              <w:rPr>
                <w:sz w:val="23"/>
                <w:szCs w:val="23"/>
                <w:color w:val="auto"/>
              </w:rPr>
            </w:pPr>
          </w:p>
        </w:tc>
        <w:tc>
          <w:tcPr>
            <w:tcW w:w="10000" w:type="dxa"/>
            <w:vAlign w:val="bottom"/>
            <w:gridSpan w:val="3"/>
          </w:tcPr>
          <w:p>
            <w:pPr>
              <w:ind w:left="160"/>
              <w:spacing w:after="0"/>
              <w:rPr>
                <w:sz w:val="20"/>
                <w:szCs w:val="20"/>
                <w:color w:val="auto"/>
              </w:rPr>
            </w:pPr>
            <w:r>
              <w:rPr>
                <w:rFonts w:ascii="Arial" w:cs="Arial" w:eastAsia="Arial" w:hAnsi="Arial"/>
                <w:sz w:val="22"/>
                <w:szCs w:val="22"/>
                <w:color w:val="auto"/>
              </w:rPr>
              <w:t>forth in this statement is true, complete and correct.</w:t>
            </w:r>
          </w:p>
        </w:tc>
      </w:tr>
      <w:tr>
        <w:trPr>
          <w:trHeight w:val="56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By: Wellington Management Group LLP</w:t>
            </w:r>
          </w:p>
        </w:tc>
      </w:tr>
      <w:tr>
        <w:trPr>
          <w:trHeight w:val="246"/>
        </w:trPr>
        <w:tc>
          <w:tcPr>
            <w:tcW w:w="940" w:type="dxa"/>
            <w:vAlign w:val="bottom"/>
          </w:tcPr>
          <w:p>
            <w:pPr>
              <w:spacing w:after="0"/>
              <w:rPr>
                <w:sz w:val="21"/>
                <w:szCs w:val="21"/>
                <w:color w:val="auto"/>
              </w:rPr>
            </w:pPr>
          </w:p>
        </w:tc>
        <w:tc>
          <w:tcPr>
            <w:tcW w:w="10000" w:type="dxa"/>
            <w:vAlign w:val="bottom"/>
            <w:gridSpan w:val="3"/>
          </w:tcPr>
          <w:p>
            <w:pPr>
              <w:ind w:left="3540"/>
              <w:spacing w:after="0" w:line="246" w:lineRule="exact"/>
              <w:rPr>
                <w:sz w:val="20"/>
                <w:szCs w:val="20"/>
                <w:color w:val="auto"/>
              </w:rPr>
            </w:pPr>
            <w:r>
              <w:rPr>
                <w:rFonts w:ascii="Arial" w:cs="Arial" w:eastAsia="Arial" w:hAnsi="Arial"/>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Borders>
              <w:left w:val="single" w:sz="8" w:color="auto"/>
            </w:tcBorders>
          </w:tcPr>
          <w:p>
            <w:pPr>
              <w:spacing w:after="0" w:line="20" w:lineRule="exact"/>
              <w:rPr>
                <w:sz w:val="1"/>
                <w:szCs w:val="1"/>
                <w:color w:val="auto"/>
              </w:rPr>
            </w:pPr>
          </w:p>
        </w:tc>
      </w:tr>
      <w:tr>
        <w:trPr>
          <w:trHeight w:val="328"/>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Name: Taisia Lowe</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Title: Regulatory Analyst</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Date: September 11, 2023</w:t>
            </w:r>
          </w:p>
        </w:tc>
      </w:tr>
      <w:tr>
        <w:trPr>
          <w:trHeight w:val="594"/>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By: Wellington Group Holdings LLP</w:t>
            </w:r>
          </w:p>
        </w:tc>
      </w:tr>
      <w:tr>
        <w:trPr>
          <w:trHeight w:val="246"/>
        </w:trPr>
        <w:tc>
          <w:tcPr>
            <w:tcW w:w="940" w:type="dxa"/>
            <w:vAlign w:val="bottom"/>
          </w:tcPr>
          <w:p>
            <w:pPr>
              <w:spacing w:after="0"/>
              <w:rPr>
                <w:sz w:val="21"/>
                <w:szCs w:val="21"/>
                <w:color w:val="auto"/>
              </w:rPr>
            </w:pPr>
          </w:p>
        </w:tc>
        <w:tc>
          <w:tcPr>
            <w:tcW w:w="10000" w:type="dxa"/>
            <w:vAlign w:val="bottom"/>
            <w:gridSpan w:val="3"/>
          </w:tcPr>
          <w:p>
            <w:pPr>
              <w:ind w:left="3540"/>
              <w:spacing w:after="0" w:line="246" w:lineRule="exact"/>
              <w:rPr>
                <w:sz w:val="20"/>
                <w:szCs w:val="20"/>
                <w:color w:val="auto"/>
              </w:rPr>
            </w:pPr>
            <w:r>
              <w:rPr>
                <w:rFonts w:ascii="Arial" w:cs="Arial" w:eastAsia="Arial" w:hAnsi="Arial"/>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32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Name: Taisia Lowe</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Title: Regulatory Analyst</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Date: September 11, 2023</w:t>
            </w:r>
          </w:p>
        </w:tc>
      </w:tr>
      <w:tr>
        <w:trPr>
          <w:trHeight w:val="594"/>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By: Wellington Investment Advisors Holdings LLP</w:t>
            </w:r>
          </w:p>
        </w:tc>
      </w:tr>
      <w:tr>
        <w:trPr>
          <w:trHeight w:val="246"/>
        </w:trPr>
        <w:tc>
          <w:tcPr>
            <w:tcW w:w="940" w:type="dxa"/>
            <w:vAlign w:val="bottom"/>
          </w:tcPr>
          <w:p>
            <w:pPr>
              <w:spacing w:after="0"/>
              <w:rPr>
                <w:sz w:val="21"/>
                <w:szCs w:val="21"/>
                <w:color w:val="auto"/>
              </w:rPr>
            </w:pPr>
          </w:p>
        </w:tc>
        <w:tc>
          <w:tcPr>
            <w:tcW w:w="10000" w:type="dxa"/>
            <w:vAlign w:val="bottom"/>
            <w:gridSpan w:val="3"/>
          </w:tcPr>
          <w:p>
            <w:pPr>
              <w:ind w:left="3540"/>
              <w:spacing w:after="0" w:line="246" w:lineRule="exact"/>
              <w:rPr>
                <w:sz w:val="20"/>
                <w:szCs w:val="20"/>
                <w:color w:val="auto"/>
              </w:rPr>
            </w:pPr>
            <w:r>
              <w:rPr>
                <w:rFonts w:ascii="Arial" w:cs="Arial" w:eastAsia="Arial" w:hAnsi="Arial"/>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328"/>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Name: Taisia Lowe</w:t>
            </w:r>
          </w:p>
        </w:tc>
      </w:tr>
    </w:tbl>
    <w:p>
      <w:pPr>
        <w:sectPr>
          <w:pgSz w:w="11900" w:h="16901" w:orient="portrait"/>
          <w:cols w:equalWidth="0" w:num="1">
            <w:col w:w="10940"/>
          </w:cols>
          <w:pgMar w:left="400" w:top="253" w:right="559" w:bottom="0" w:gutter="0" w:footer="0" w:header="0"/>
          <w:type w:val="continuous"/>
        </w:sectPr>
      </w:pPr>
    </w:p>
    <w:bookmarkStart w:id="7" w:name="page8"/>
    <w:bookmarkEnd w:id="7"/>
    <w:p>
      <w:pPr>
        <w:ind w:left="3440"/>
        <w:spacing w:after="0"/>
        <w:rPr>
          <w:sz w:val="20"/>
          <w:szCs w:val="20"/>
          <w:color w:val="auto"/>
        </w:rPr>
      </w:pPr>
      <w:r>
        <w:rPr>
          <w:rFonts w:ascii="Arial" w:cs="Arial" w:eastAsia="Arial" w:hAnsi="Arial"/>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Date: September 11, 2023</w:t>
      </w:r>
    </w:p>
    <w:p>
      <w:pPr>
        <w:spacing w:after="0" w:line="341"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By: Wellington Management Company LLP</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Date: September 11,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356870</wp:posOffset>
            </wp:positionV>
            <wp:extent cx="5730240"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Exhibit A</w:t>
      </w:r>
    </w:p>
    <w:p>
      <w:pPr>
        <w:spacing w:after="0" w:line="320" w:lineRule="exact"/>
        <w:rPr>
          <w:sz w:val="20"/>
          <w:szCs w:val="20"/>
          <w:color w:val="auto"/>
        </w:rPr>
      </w:pPr>
    </w:p>
    <w:p>
      <w:pPr>
        <w:ind w:left="60" w:right="219"/>
        <w:spacing w:after="0"/>
        <w:rPr>
          <w:sz w:val="20"/>
          <w:szCs w:val="20"/>
          <w:color w:val="auto"/>
        </w:rPr>
      </w:pPr>
      <w:r>
        <w:rPr>
          <w:rFonts w:ascii="Arial" w:cs="Arial" w:eastAsia="Arial" w:hAnsi="Arial"/>
          <w:sz w:val="22"/>
          <w:szCs w:val="22"/>
          <w:color w:val="auto"/>
        </w:rPr>
        <w:t>Pursuant to the instructions in Item 7 of Schedule 13G, the following lists the identity and Item 3 classification of each relevant entity that beneficially owns shares of the security class being reported on this Schedule 13G.</w:t>
      </w:r>
    </w:p>
    <w:p>
      <w:pPr>
        <w:spacing w:after="0" w:line="267" w:lineRule="exact"/>
        <w:rPr>
          <w:sz w:val="20"/>
          <w:szCs w:val="20"/>
          <w:color w:val="auto"/>
        </w:rPr>
      </w:pPr>
    </w:p>
    <w:p>
      <w:pPr>
        <w:ind w:left="60" w:right="4399"/>
        <w:spacing w:after="0" w:line="311" w:lineRule="auto"/>
        <w:rPr>
          <w:sz w:val="20"/>
          <w:szCs w:val="20"/>
          <w:color w:val="auto"/>
        </w:rPr>
      </w:pPr>
      <w:r>
        <w:rPr>
          <w:rFonts w:ascii="Arial" w:cs="Arial" w:eastAsia="Arial" w:hAnsi="Arial"/>
          <w:sz w:val="21"/>
          <w:szCs w:val="21"/>
          <w:color w:val="auto"/>
        </w:rPr>
        <w:t>Wellington Group Holdings LLP – HC Wellington Investment Advisors LLP – HC Wellington Management Global Holdings, Ltd. - HC</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22"/>
          <w:szCs w:val="22"/>
          <w:color w:val="auto"/>
        </w:rPr>
        <w:t>One or more of the following investment advisers (the “Wellington Investment Advisers”):</w:t>
      </w:r>
    </w:p>
    <w:p>
      <w:pPr>
        <w:spacing w:after="0" w:line="287"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Company LLP – IA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Canada LLC – IA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Singapore Pte Ltd – IA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Hong Kong Ltd – IA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International Ltd – IA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Japan Pte Ltd – IA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Australia Pty Ltd - IA</w:t>
      </w:r>
    </w:p>
    <w:p>
      <w:pPr>
        <w:spacing w:after="0" w:line="287" w:lineRule="exact"/>
        <w:rPr>
          <w:sz w:val="20"/>
          <w:szCs w:val="20"/>
          <w:color w:val="auto"/>
        </w:rPr>
      </w:pPr>
    </w:p>
    <w:p>
      <w:pPr>
        <w:ind w:left="60" w:right="119"/>
        <w:spacing w:after="0" w:line="234" w:lineRule="auto"/>
        <w:rPr>
          <w:sz w:val="20"/>
          <w:szCs w:val="20"/>
          <w:color w:val="auto"/>
        </w:rPr>
      </w:pPr>
      <w:r>
        <w:rPr>
          <w:rFonts w:ascii="Arial" w:cs="Arial" w:eastAsia="Arial" w:hAnsi="Arial"/>
          <w:sz w:val="22"/>
          <w:szCs w:val="22"/>
          <w:color w:val="auto"/>
        </w:rPr>
        <w:t>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158115</wp:posOffset>
            </wp:positionV>
            <wp:extent cx="5730240"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EXHIBIT B</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JOINT FILING AGREEMENT</w:t>
      </w:r>
    </w:p>
    <w:p>
      <w:pPr>
        <w:spacing w:after="0" w:line="320" w:lineRule="exact"/>
        <w:rPr>
          <w:sz w:val="20"/>
          <w:szCs w:val="20"/>
          <w:color w:val="auto"/>
        </w:rPr>
      </w:pPr>
    </w:p>
    <w:p>
      <w:pPr>
        <w:ind w:left="60" w:right="79"/>
        <w:spacing w:after="0" w:line="272" w:lineRule="auto"/>
        <w:rPr>
          <w:sz w:val="20"/>
          <w:szCs w:val="20"/>
          <w:color w:val="auto"/>
        </w:rPr>
      </w:pPr>
      <w:r>
        <w:rPr>
          <w:rFonts w:ascii="Arial" w:cs="Arial" w:eastAsia="Arial" w:hAnsi="Arial"/>
          <w:sz w:val="19"/>
          <w:szCs w:val="19"/>
          <w:color w:val="auto"/>
        </w:rPr>
        <w:t>The undersigned hereby agree that this Schedule 13G (the “Schedule 13G”) with respect to the common stock of Perella Weinberg Partners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w:t>
      </w:r>
    </w:p>
    <w:p>
      <w:pPr>
        <w:spacing w:after="0" w:line="200" w:lineRule="exact"/>
        <w:rPr>
          <w:sz w:val="20"/>
          <w:szCs w:val="20"/>
          <w:color w:val="auto"/>
        </w:rPr>
      </w:pPr>
    </w:p>
    <w:p>
      <w:pPr>
        <w:spacing w:after="0" w:line="307"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By: Wellington Management Group LLP</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Taisia Lowe</w:t>
      </w:r>
    </w:p>
    <w:p>
      <w:pPr>
        <w:sectPr>
          <w:pgSz w:w="11900" w:h="16838" w:orient="portrait"/>
          <w:cols w:equalWidth="0" w:num="1">
            <w:col w:w="9019"/>
          </w:cols>
          <w:pgMar w:left="1440" w:top="145" w:right="1440" w:bottom="0" w:gutter="0" w:footer="0" w:header="0"/>
        </w:sectPr>
      </w:pPr>
    </w:p>
    <w:bookmarkStart w:id="8" w:name="page9"/>
    <w:bookmarkEnd w:id="8"/>
    <w:p>
      <w:pPr>
        <w:ind w:left="3440"/>
        <w:spacing w:after="0"/>
        <w:rPr>
          <w:sz w:val="20"/>
          <w:szCs w:val="20"/>
          <w:color w:val="auto"/>
        </w:rPr>
      </w:pPr>
      <w:r>
        <w:rPr>
          <w:rFonts w:ascii="Arial" w:cs="Arial" w:eastAsia="Arial" w:hAnsi="Arial"/>
          <w:sz w:val="22"/>
          <w:szCs w:val="22"/>
          <w:color w:val="auto"/>
        </w:rPr>
        <w:t>Name: Taisia Lowe</w:t>
      </w:r>
    </w:p>
    <w:p>
      <w:pPr>
        <w:spacing w:after="0" w:line="45"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Date: September 11, 2023</w:t>
      </w:r>
    </w:p>
    <w:p>
      <w:pPr>
        <w:spacing w:after="0" w:line="341"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By: Wellington Group Holdings LLP</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Date: September 11, 2023</w:t>
      </w:r>
    </w:p>
    <w:p>
      <w:pPr>
        <w:spacing w:after="0" w:line="341" w:lineRule="exact"/>
        <w:rPr>
          <w:sz w:val="20"/>
          <w:szCs w:val="20"/>
          <w:color w:val="auto"/>
        </w:rPr>
      </w:pPr>
    </w:p>
    <w:p>
      <w:pPr>
        <w:ind w:left="3440"/>
        <w:spacing w:after="0"/>
        <w:rPr>
          <w:sz w:val="20"/>
          <w:szCs w:val="20"/>
          <w:color w:val="auto"/>
        </w:rPr>
      </w:pPr>
      <w:r>
        <w:rPr>
          <w:rFonts w:ascii="Arial" w:cs="Arial" w:eastAsia="Arial" w:hAnsi="Arial"/>
          <w:sz w:val="19"/>
          <w:szCs w:val="19"/>
          <w:color w:val="auto"/>
        </w:rPr>
        <w:t>By: Wellington Investment Advisors Holdings LLP</w:t>
      </w:r>
    </w:p>
    <w:p>
      <w:pPr>
        <w:spacing w:after="0" w:line="79"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Date: September 11, 2023</w:t>
      </w:r>
    </w:p>
    <w:p>
      <w:pPr>
        <w:spacing w:after="0" w:line="341"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By: Wellington Management Company LLP</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Date: September 11, 2023</w:t>
      </w:r>
    </w:p>
    <w:sectPr>
      <w:pgSz w:w="11900" w:h="16838" w:orient="portrait"/>
      <w:cols w:equalWidth="0" w:num="1">
        <w:col w:w="9019"/>
      </w:cols>
      <w:pgMar w:left="144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lvl w:ilvl="1">
      <w:lvlJc w:val="left"/>
      <w:lvlText w:val="[%2]"/>
      <w:numFmt w:val="upperLetter"/>
      <w:start w:val="24"/>
    </w:lvl>
  </w:abstractNum>
  <w:abstractNum w:abstractNumId="1">
    <w:nsid w:val="238E1F29"/>
    <w:multiLevelType w:val="hybridMultilevel"/>
    <w:lvl w:ilvl="0">
      <w:lvlJc w:val="left"/>
      <w:lvlText w:val="(%1)"/>
      <w:numFmt w:val="lowerLetter"/>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3"/>
    </w:lvl>
    <w:lvl w:ilvl="1">
      <w:lvlJc w:val="left"/>
      <w:lvlText w:val="(%2)"/>
      <w:numFmt w:val="lowerRoman"/>
      <w:start w:val="1"/>
    </w:lvl>
  </w:abstractNum>
  <w:abstractNum w:abstractNumId="6">
    <w:nsid w:val="41B71EFB"/>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2023-09-08T09:37:22Z</dcterms:created>
  <dcterms:modified xsi:type="dcterms:W3CDTF">2023-09-08T09:37:22Z</dcterms:modified>
</cp:coreProperties>
</file>