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FinTech Acquisition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0"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533,601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533,601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533,601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Riverview Group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1,308,580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1,308,580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1,308,580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40,096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40,096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40,096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0.1%</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800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40,896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40,896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40,896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0.1%</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1,883,077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1,883,077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1,883,077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1,883,077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1,883,077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1,883,077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4.3%</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1,883,077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1,883,077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1,883,077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4.3%</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260" w:hanging="37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Perella Weinberg Partners</w:t>
      </w:r>
    </w:p>
    <w:p>
      <w:pPr>
        <w:spacing w:after="0" w:line="230" w:lineRule="exact"/>
        <w:rPr>
          <w:rFonts w:ascii="Arial" w:cs="Arial" w:eastAsia="Arial" w:hAnsi="Arial"/>
          <w:sz w:val="18"/>
          <w:szCs w:val="18"/>
          <w:color w:val="auto"/>
        </w:rPr>
      </w:pPr>
    </w:p>
    <w:p>
      <w:pPr>
        <w:ind w:left="1260" w:hanging="37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767 Fifth Avenue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10153</w:t>
      </w:r>
    </w:p>
    <w:p>
      <w:pPr>
        <w:spacing w:after="0" w:line="217" w:lineRule="exact"/>
        <w:rPr>
          <w:sz w:val="20"/>
          <w:szCs w:val="20"/>
          <w:color w:val="auto"/>
        </w:rPr>
      </w:pPr>
    </w:p>
    <w:p>
      <w:pPr>
        <w:spacing w:after="0"/>
        <w:tabs>
          <w:tab w:leader="none" w:pos="860" w:val="left"/>
          <w:tab w:leader="none" w:pos="124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260" w:right="738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Riverview Group LLC</w:t>
      </w:r>
    </w:p>
    <w:p>
      <w:pPr>
        <w:spacing w:after="0" w:line="15" w:lineRule="exact"/>
        <w:rPr>
          <w:rFonts w:ascii="Arial" w:cs="Arial" w:eastAsia="Arial" w:hAnsi="Arial"/>
          <w:sz w:val="18"/>
          <w:szCs w:val="18"/>
          <w:color w:val="auto"/>
        </w:rPr>
      </w:pPr>
    </w:p>
    <w:p>
      <w:pPr>
        <w:ind w:left="1260" w:right="756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Integrated Assets, Ltd.</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right="700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right="78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right="732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260" w:right="756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Class A common stock, par value $0.0001 per share ("Class A Common Stock")</w:t>
      </w:r>
    </w:p>
    <w:p>
      <w:pPr>
        <w:spacing w:after="0" w:line="252" w:lineRule="exact"/>
        <w:rPr>
          <w:rFonts w:ascii="Arial" w:cs="Arial" w:eastAsia="Arial" w:hAnsi="Arial"/>
          <w:sz w:val="18"/>
          <w:szCs w:val="18"/>
          <w:color w:val="auto"/>
        </w:rPr>
      </w:pPr>
    </w:p>
    <w:p>
      <w:pPr>
        <w:ind w:left="1260" w:right="8820" w:hanging="375"/>
        <w:spacing w:after="0" w:line="613"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71367G102</w:t>
      </w:r>
    </w:p>
    <w:p>
      <w:pPr>
        <w:sectPr>
          <w:pgSz w:w="11900" w:h="16838" w:orient="portrait"/>
          <w:cols w:equalWidth="0" w:num="1">
            <w:col w:w="11240"/>
          </w:cols>
          <w:pgMar w:left="320" w:top="332" w:right="339" w:bottom="838"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2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90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54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4"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response to Item 9 on each cover page.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85"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For each reporting person, the percent of the class reported herein as beneficially owned by such reporting person gives effect to shares deemed to be outstanding as provided in Rule 13d-3(d)(1)(i), if any, presuming that all those warrants to purchase shares of the class reported herein that are held or otherwise controlled by any reporting person are exercisable within sixty days of the date hereof.</w:t>
      </w:r>
    </w:p>
    <w:p>
      <w:pPr>
        <w:sectPr>
          <w:pgSz w:w="11900" w:h="16838" w:orient="portrait"/>
          <w:cols w:equalWidth="0" w:num="1">
            <w:col w:w="11240"/>
          </w:cols>
          <w:pgMar w:left="320" w:top="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544" w:lineRule="auto"/>
        <w:tabs>
          <w:tab w:leader="none" w:pos="758" w:val="left"/>
        </w:tabs>
        <w:numPr>
          <w:ilvl w:val="1"/>
          <w:numId w:val="22"/>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pacing w:after="0" w:line="1" w:lineRule="exact"/>
        <w:rPr>
          <w:rFonts w:ascii="Arial" w:cs="Arial" w:eastAsia="Arial" w:hAnsi="Arial"/>
          <w:sz w:val="15"/>
          <w:szCs w:val="15"/>
          <w:color w:val="auto"/>
        </w:rPr>
      </w:pPr>
    </w:p>
    <w:p>
      <w:pPr>
        <w:jc w:val="both"/>
        <w:ind w:left="680" w:right="7520" w:hanging="132"/>
        <w:spacing w:after="0" w:line="544" w:lineRule="auto"/>
        <w:tabs>
          <w:tab w:leader="none" w:pos="807" w:val="left"/>
        </w:tabs>
        <w:numPr>
          <w:ilvl w:val="1"/>
          <w:numId w:val="22"/>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spacing w:after="0" w:line="1" w:lineRule="exact"/>
        <w:rPr>
          <w:rFonts w:ascii="Arial" w:cs="Arial" w:eastAsia="Arial" w:hAnsi="Arial"/>
          <w:sz w:val="15"/>
          <w:szCs w:val="15"/>
          <w:color w:val="auto"/>
        </w:rPr>
      </w:pPr>
    </w:p>
    <w:p>
      <w:pPr>
        <w:ind w:left="680" w:right="6760" w:hanging="132"/>
        <w:spacing w:after="0" w:line="510" w:lineRule="auto"/>
        <w:tabs>
          <w:tab w:leader="none" w:pos="856" w:val="left"/>
        </w:tabs>
        <w:numPr>
          <w:ilvl w:val="1"/>
          <w:numId w:val="22"/>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840" w:hanging="292"/>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response to Item 8 on each cover page.</w:t>
      </w:r>
    </w:p>
    <w:p>
      <w:pPr>
        <w:spacing w:after="0" w:line="185" w:lineRule="exact"/>
        <w:rPr>
          <w:sz w:val="20"/>
          <w:szCs w:val="20"/>
          <w:color w:val="auto"/>
        </w:rPr>
      </w:pPr>
    </w:p>
    <w:p>
      <w:pPr>
        <w:jc w:val="both"/>
        <w:ind w:firstLine="134"/>
        <w:spacing w:after="0" w:line="294"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Exhibit I: Joint Filing Agreement, dated as of February 10, 2022, by and among Integrated Core Strategies (US) LLC, Riverview Group LLC, ICS Opportunities, Ltd., Integrated Assets, Ltd., Millennium International Management LP,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ectPr>
          <w:pgSz w:w="11900" w:h="16838" w:orient="portrait"/>
          <w:cols w:equalWidth="0" w:num="1">
            <w:col w:w="11240"/>
          </w:cols>
          <w:pgMar w:left="320" w:top="332" w:right="339" w:bottom="0" w:gutter="0" w:footer="0" w:header="0"/>
        </w:sectPr>
      </w:pPr>
    </w:p>
    <w:bookmarkStart w:id="15" w:name="page16"/>
    <w:bookmarkEnd w:id="15"/>
    <w:p>
      <w:pPr>
        <w:ind w:left="2220"/>
        <w:spacing w:after="0"/>
        <w:rPr>
          <w:sz w:val="20"/>
          <w:szCs w:val="20"/>
          <w:color w:val="auto"/>
        </w:rPr>
      </w:pPr>
      <w:r>
        <w:rPr>
          <w:rFonts w:ascii="Arial" w:cs="Arial" w:eastAsia="Arial" w:hAnsi="Arial"/>
          <w:sz w:val="16"/>
          <w:szCs w:val="16"/>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25400</wp:posOffset>
            </wp:positionV>
            <wp:extent cx="2143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9019"/>
          </w:cols>
          <w:pgMar w:left="1440" w:top="374"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71367G102</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$0.0001 per share, of Perella Weinberg Partners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ectPr>
          <w:pgSz w:w="11900" w:h="16838" w:orient="portrait"/>
          <w:cols w:equalWidth="0" w:num="1">
            <w:col w:w="11240"/>
          </w:cols>
          <w:pgMar w:left="320" w:top="332" w:right="339" w:bottom="147" w:gutter="0" w:footer="0" w:header="0"/>
        </w:sectPr>
      </w:pPr>
    </w:p>
    <w:bookmarkStart w:id="17" w:name="page18"/>
    <w:bookmarkEnd w:id="17"/>
    <w:p>
      <w:pPr>
        <w:ind w:left="2220"/>
        <w:spacing w:after="0"/>
        <w:rPr>
          <w:sz w:val="20"/>
          <w:szCs w:val="20"/>
          <w:color w:val="auto"/>
        </w:rPr>
      </w:pPr>
      <w:r>
        <w:rPr>
          <w:rFonts w:ascii="Arial" w:cs="Arial" w:eastAsia="Arial" w:hAnsi="Arial"/>
          <w:sz w:val="16"/>
          <w:szCs w:val="16"/>
          <w:color w:val="auto"/>
        </w:rPr>
        <w:t>MILLENNIUM GROUP MANAGEMENT LLC</w:t>
      </w:r>
    </w:p>
    <w:p>
      <w:pPr>
        <w:spacing w:after="0" w:line="248"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10795</wp:posOffset>
            </wp:positionV>
            <wp:extent cx="2143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10795</wp:posOffset>
            </wp:positionV>
            <wp:extent cx="2143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2"/>
      <w:numFmt w:val="bullet"/>
      <w:start w:val="1"/>
    </w:lvl>
    <w:lvl w:ilvl="1">
      <w:lvlJc w:val="left"/>
      <w:lvlText w:val="(%2)"/>
      <w:numFmt w:val="lowerLetter"/>
      <w:start w:val="2"/>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2"/>
      <w:numFmt w:val="bullet"/>
      <w:start w:val="1"/>
    </w:lvl>
    <w:lvl w:ilvl="1">
      <w:lvlJc w:val="left"/>
      <w:lvlText w:val="(%2)"/>
      <w:numFmt w:val="lowerLetter"/>
      <w:start w:val="2"/>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2"/>
      <w:numFmt w:val="bullet"/>
      <w:start w:val="1"/>
    </w:lvl>
    <w:lvl w:ilvl="1">
      <w:lvlJc w:val="left"/>
      <w:lvlText w:val="(%2)"/>
      <w:numFmt w:val="lowerLetter"/>
      <w:start w:val="2"/>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2"/>
      <w:numFmt w:val="bullet"/>
      <w:start w:val="1"/>
    </w:lvl>
    <w:lvl w:ilvl="1">
      <w:lvlJc w:val="left"/>
      <w:lvlText w:val="(%2)"/>
      <w:numFmt w:val="lowerLetter"/>
      <w:start w:val="2"/>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2"/>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lvl w:ilvl="1">
      <w:lvlJc w:val="left"/>
      <w:lvlText w:val="(%2)"/>
      <w:numFmt w:val="lowerLetter"/>
      <w:start w:val="2"/>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2"/>
      <w:numFmt w:val="bullet"/>
      <w:start w:val="1"/>
    </w:lvl>
    <w:lvl w:ilvl="1">
      <w:lvlJc w:val="left"/>
      <w:lvlText w:val="(%2)"/>
      <w:numFmt w:val="lowerLetter"/>
      <w:start w:val="2"/>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2"/>
      <w:numFmt w:val="bullet"/>
      <w:start w:val="1"/>
    </w:lvl>
    <w:lvl w:ilvl="1">
      <w:lvlJc w:val="left"/>
      <w:lvlText w:val="(%2)"/>
      <w:numFmt w:val="lowerLetter"/>
      <w:start w:val="2"/>
    </w:lvl>
  </w:abstractNum>
  <w:abstractNum w:abstractNumId="16">
    <w:nsid w:val="257130A3"/>
    <w:multiLevelType w:val="hybridMultilevel"/>
    <w:lvl w:ilvl="0">
      <w:lvlJc w:val="left"/>
      <w:lvlText w:val="3"/>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7"/>
    </w:lvl>
  </w:abstractNum>
  <w:abstractNum w:abstractNumId="21">
    <w:nsid w:val="721DA31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2022-02-12T03:02:56Z</dcterms:created>
  <dcterms:modified xsi:type="dcterms:W3CDTF">2022-02-12T03:02:56Z</dcterms:modified>
</cp:coreProperties>
</file>