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4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001-39558</w:t>
      </w:r>
    </w:p>
    <w:p>
      <w:pPr>
        <w:pStyle w:val="TextBody"/>
        <w:bidi w:val="0"/>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PERELLA WEINBERG PARTNERS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p>
      <w:pPr>
        <w:pStyle w:val="TextBody"/>
        <w:bidi w:val="0"/>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84-1770732</w:t>
            </w:r>
          </w:p>
        </w:tc>
      </w:tr>
      <w:tr>
        <w:trPr/>
        <w:tc>
          <w:tcPr>
            <w:tcW w:w="2430" w:type="dxa"/>
            <w:gridSpan w:val="3"/>
            <w:tcBorders/>
            <w:tcMar>
              <w:top w:w="0" w:type="dxa"/>
              <w:left w:w="0" w:type="dxa"/>
              <w:bottom w:w="0" w:type="dxa"/>
              <w:right w:w="0" w:type="dxa"/>
            </w:tcMar>
            <w:vAlign w:val="center"/>
          </w:tcPr>
          <w:p>
            <w:pPr>
              <w:pStyle w:val="TableContents"/>
              <w:bidi w:val="0"/>
              <w:spacing w:lineRule="auto" w:line="362" w:before="75" w:after="283"/>
              <w:jc w:val="center"/>
              <w:rPr>
                <w:rFonts w:ascii="Times New Roman;sans-serif" w:hAnsi="Times New Roman;sans-serif"/>
                <w:b/>
                <w:color w:val="000000"/>
                <w:sz w:val="14"/>
              </w:rPr>
            </w:pPr>
            <w:r>
              <w:rPr>
                <w:rFonts w:ascii="Times New Roman;sans-serif" w:hAnsi="Times New Roman;sans-serif"/>
                <w:b/>
                <w:color w:val="000000"/>
                <w:sz w:val="14"/>
              </w:rPr>
              <w:t>( State or other jurisdiction of</w:t>
            </w:r>
          </w:p>
          <w:p>
            <w:pPr>
              <w:pStyle w:val="TableContents"/>
              <w:bidi w:val="0"/>
              <w:spacing w:lineRule="auto" w:line="362" w:before="14" w:after="30"/>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362" w:before="75" w:after="283"/>
              <w:jc w:val="center"/>
              <w:rPr>
                <w:rFonts w:ascii="Times New Roman;sans-serif" w:hAnsi="Times New Roman;sans-serif"/>
                <w:b/>
                <w:color w:val="000000"/>
                <w:sz w:val="14"/>
              </w:rPr>
            </w:pPr>
            <w:r>
              <w:rPr>
                <w:rFonts w:ascii="Times New Roman;sans-serif" w:hAnsi="Times New Roman;sans-serif"/>
                <w:b/>
                <w:color w:val="000000"/>
                <w:sz w:val="14"/>
              </w:rPr>
              <w:t>(I.R.S. Employer</w:t>
            </w:r>
          </w:p>
          <w:p>
            <w:pPr>
              <w:pStyle w:val="TableContents"/>
              <w:bidi w:val="0"/>
              <w:spacing w:lineRule="auto" w:line="362" w:before="14" w:after="30"/>
              <w:jc w:val="center"/>
              <w:rPr>
                <w:rFonts w:ascii="Times New Roman;sans-serif" w:hAnsi="Times New Roman;sans-serif"/>
                <w:b/>
                <w:color w:val="000000"/>
                <w:sz w:val="14"/>
              </w:rPr>
            </w:pPr>
            <w:r>
              <w:rPr>
                <w:rFonts w:ascii="Times New Roman;sans-serif" w:hAnsi="Times New Roman;sans-serif"/>
                <w:b/>
                <w:color w:val="000000"/>
                <w:sz w:val="14"/>
              </w:rP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767 Fifth Avenue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10153</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(212) 287-3200</w:t>
      </w:r>
    </w:p>
    <w:p>
      <w:pPr>
        <w:pStyle w:val="TextBody"/>
        <w:bidi w:val="0"/>
        <w:spacing w:lineRule="auto" w:line="288" w:before="6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4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9321" w:type="dxa"/>
        <w:jc w:val="left"/>
        <w:tblInd w:w="0" w:type="dxa"/>
        <w:tblLayout w:type="fixed"/>
        <w:tblCellMar>
          <w:top w:w="28" w:type="dxa"/>
          <w:left w:w="28" w:type="dxa"/>
          <w:bottom w:w="28" w:type="dxa"/>
          <w:right w:w="28" w:type="dxa"/>
        </w:tblCellMar>
      </w:tblPr>
      <w:tblGrid>
        <w:gridCol w:w="1410"/>
        <w:gridCol w:w="1236"/>
        <w:gridCol w:w="1253"/>
        <w:gridCol w:w="109"/>
        <w:gridCol w:w="109"/>
        <w:gridCol w:w="109"/>
        <w:gridCol w:w="484"/>
        <w:gridCol w:w="484"/>
        <w:gridCol w:w="486"/>
        <w:gridCol w:w="109"/>
        <w:gridCol w:w="109"/>
        <w:gridCol w:w="109"/>
        <w:gridCol w:w="970"/>
        <w:gridCol w:w="970"/>
        <w:gridCol w:w="1374"/>
      </w:tblGrid>
      <w:tr>
        <w:trPr/>
        <w:tc>
          <w:tcPr>
            <w:tcW w:w="14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8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80" w:after="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8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 xml:space="preserve">o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r>
        <w:rPr>
          <w:color w:val="000000"/>
        </w:rPr>
        <w:t xml:space="preserve"> </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2, 2023, the registrant had 43,268,614 shares of Class A common stock, par value $0.0001 per share, and 42,880,015 shares of Class B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7"/>
        <w:gridCol w:w="260"/>
        <w:gridCol w:w="262"/>
        <w:gridCol w:w="2935"/>
        <w:gridCol w:w="2935"/>
        <w:gridCol w:w="2941"/>
        <w:gridCol w:w="167"/>
        <w:gridCol w:w="167"/>
        <w:gridCol w:w="241"/>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3">
              <w:r>
                <w:rPr>
                  <w:rStyle w:val="InternetLink"/>
                  <w:rFonts w:ascii="Times New Roman;sans-serif" w:hAnsi="Times New Roman;sans-serif"/>
                  <w:b/>
                  <w:color w:val="0000FF"/>
                  <w:sz w:val="20"/>
                  <w:u w:val="single"/>
                </w:rPr>
                <w:t>PART I.</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3">
              <w:r>
                <w:rPr>
                  <w:rStyle w:val="InternetLink"/>
                  <w:rFonts w:ascii="Times New Roman;sans-serif" w:hAnsi="Times New Roman;sans-serif"/>
                  <w:b/>
                  <w:color w:val="0000FF"/>
                  <w:sz w:val="20"/>
                  <w:u w:val="single"/>
                </w:rPr>
                <w:t>FINANCIAL INFORMATION</w:t>
              </w:r>
            </w:hyperlink>
          </w:p>
        </w:tc>
        <w:tc>
          <w:tcPr>
            <w:tcW w:w="5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
              <w:r>
                <w:rPr>
                  <w:rStyle w:val="InternetLink"/>
                  <w:rFonts w:ascii="Times New Roman;sans-serif" w:hAnsi="Times New Roman;sans-serif"/>
                  <w:b w:val="false"/>
                  <w:color w:val="0000FF"/>
                  <w:sz w:val="20"/>
                  <w:u w:val="single"/>
                </w:rPr>
                <w:t>Item 1.</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
              <w:r>
                <w:rPr>
                  <w:rStyle w:val="InternetLink"/>
                  <w:rFonts w:ascii="Times New Roman;sans-serif" w:hAnsi="Times New Roman;sans-serif"/>
                  <w:b w:val="false"/>
                  <w:color w:val="0000FF"/>
                  <w:sz w:val="20"/>
                  <w:u w:val="single"/>
                </w:rPr>
                <w:t>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6">
              <w:r>
                <w:rPr>
                  <w:rStyle w:val="InternetLink"/>
                  <w:rFonts w:ascii="Times New Roman;sans-serif" w:hAnsi="Times New Roman;sans-serif"/>
                  <w:b w:val="false"/>
                  <w:color w:val="0000FF"/>
                  <w:sz w:val="20"/>
                  <w:u w:val="single"/>
                </w:rPr>
                <w:t>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9">
              <w:r>
                <w:rPr>
                  <w:rStyle w:val="InternetLink"/>
                  <w:rFonts w:ascii="Times New Roman;sans-serif" w:hAnsi="Times New Roman;sans-serif"/>
                  <w:b w:val="false"/>
                  <w:color w:val="0000FF"/>
                  <w:sz w:val="20"/>
                  <w:u w:val="single"/>
                </w:rPr>
                <w:t>Condensed Consolidated Statements of Financial Condition as of September 30, 2023 and December 31, 2022</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9">
              <w:r>
                <w:rPr>
                  <w:rStyle w:val="InternetLink"/>
                  <w:rFonts w:ascii="Times New Roman;sans-serif" w:hAnsi="Times New Roman;sans-serif"/>
                  <w:b w:val="false"/>
                  <w:color w:val="0000FF"/>
                  <w:sz w:val="20"/>
                  <w:u w:val="single"/>
                </w:rPr>
                <w:t>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22">
              <w:r>
                <w:rPr>
                  <w:rStyle w:val="InternetLink"/>
                  <w:rFonts w:ascii="Times New Roman;sans-serif" w:hAnsi="Times New Roman;sans-serif"/>
                  <w:b w:val="false"/>
                  <w:color w:val="0000FF"/>
                  <w:sz w:val="20"/>
                  <w:u w:val="single"/>
                </w:rPr>
                <w:t>Condensed Consolidated Statements of Operations for the Three and Nine Months Ended September 30, 2023 and 2022</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22">
              <w:r>
                <w:rPr>
                  <w:rStyle w:val="InternetLink"/>
                  <w:rFonts w:ascii="Times New Roman;sans-serif" w:hAnsi="Times New Roman;sans-serif"/>
                  <w:b w:val="false"/>
                  <w:color w:val="0000FF"/>
                  <w:sz w:val="20"/>
                  <w:u w:val="single"/>
                </w:rPr>
                <w:t>4</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25">
              <w:r>
                <w:rPr>
                  <w:rStyle w:val="InternetLink"/>
                  <w:rFonts w:ascii="Times New Roman;sans-serif" w:hAnsi="Times New Roman;sans-serif"/>
                  <w:b w:val="false"/>
                  <w:color w:val="0000FF"/>
                  <w:sz w:val="20"/>
                  <w:u w:val="single"/>
                </w:rPr>
                <w:t>Condensed Consolidated Statements of Comprehensive Income (Loss) for the Three and Nine Months Ended September 30, 2023 and 2022</w:t>
              </w:r>
            </w:hyperlink>
            <w:r>
              <w:rPr>
                <w:color w:val="000000"/>
              </w:rPr>
              <w:t xml:space="preserve"> </w:t>
            </w:r>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25">
              <w:r>
                <w:rPr>
                  <w:rStyle w:val="InternetLink"/>
                  <w:rFonts w:ascii="Times New Roman;sans-serif" w:hAnsi="Times New Roman;sans-serif"/>
                  <w:b w:val="false"/>
                  <w:color w:val="0000FF"/>
                  <w:sz w:val="20"/>
                  <w:u w:val="single"/>
                </w:rPr>
                <w:t>5</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613">
              <w:r>
                <w:rPr>
                  <w:rStyle w:val="InternetLink"/>
                  <w:rFonts w:ascii="Times New Roman;sans-serif" w:hAnsi="Times New Roman;sans-serif"/>
                  <w:b w:val="false"/>
                  <w:color w:val="000080"/>
                  <w:sz w:val="20"/>
                  <w:u w:val="single"/>
                </w:rPr>
                <w:t>Condensed Consolidated Statements of Changes in Equity for the Three and Nine Months Ended</w:t>
              </w:r>
            </w:hyperlink>
            <w:hyperlink w:anchor="i77ccce35546344a3a1cd6e9f7118cafe_613">
              <w:r>
                <w:rPr>
                  <w:rStyle w:val="InternetLink"/>
                  <w:rFonts w:ascii="Times New Roman;sans-serif" w:hAnsi="Times New Roman;sans-serif"/>
                  <w:b w:val="false"/>
                  <w:color w:val="000080"/>
                  <w:sz w:val="20"/>
                  <w:u w:val="single"/>
                </w:rPr>
                <w:t xml:space="preserve"> September 30, 2023 and 2022</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28">
              <w:r>
                <w:rPr>
                  <w:rStyle w:val="InternetLink"/>
                  <w:rFonts w:ascii="Times New Roman;sans-serif" w:hAnsi="Times New Roman;sans-serif"/>
                  <w:b w:val="false"/>
                  <w:color w:val="0000FF"/>
                  <w:sz w:val="20"/>
                  <w:u w:val="single"/>
                </w:rPr>
                <w:t>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31">
              <w:r>
                <w:rPr>
                  <w:rStyle w:val="InternetLink"/>
                  <w:rFonts w:ascii="Times New Roman;sans-serif" w:hAnsi="Times New Roman;sans-serif"/>
                  <w:b w:val="false"/>
                  <w:color w:val="000080"/>
                  <w:sz w:val="20"/>
                  <w:u w:val="single"/>
                </w:rPr>
                <w:t>Condensed Consolidated Statements of Cash Flows for the</w:t>
              </w:r>
            </w:hyperlink>
            <w:hyperlink w:anchor="i77ccce35546344a3a1cd6e9f7118cafe_31">
              <w:r>
                <w:rPr>
                  <w:rStyle w:val="InternetLink"/>
                  <w:rFonts w:ascii="Times New Roman;sans-serif" w:hAnsi="Times New Roman;sans-serif"/>
                  <w:b w:val="false"/>
                  <w:color w:val="000080"/>
                  <w:sz w:val="20"/>
                  <w:u w:val="single"/>
                </w:rPr>
                <w:t xml:space="preserve"> Nine</w:t>
              </w:r>
            </w:hyperlink>
            <w:hyperlink w:anchor="i77ccce35546344a3a1cd6e9f7118cafe_31">
              <w:r>
                <w:rPr>
                  <w:rStyle w:val="InternetLink"/>
                  <w:rFonts w:ascii="Times New Roman;sans-serif" w:hAnsi="Times New Roman;sans-serif"/>
                  <w:b w:val="false"/>
                  <w:color w:val="000080"/>
                  <w:sz w:val="20"/>
                  <w:u w:val="single"/>
                </w:rPr>
                <w:t xml:space="preserve"> Months Ended</w:t>
              </w:r>
            </w:hyperlink>
            <w:hyperlink w:anchor="i77ccce35546344a3a1cd6e9f7118cafe_31">
              <w:r>
                <w:rPr>
                  <w:rStyle w:val="InternetLink"/>
                  <w:rFonts w:ascii="Times New Roman;sans-serif" w:hAnsi="Times New Roman;sans-serif"/>
                  <w:b w:val="false"/>
                  <w:color w:val="000080"/>
                  <w:sz w:val="20"/>
                  <w:u w:val="single"/>
                </w:rPr>
                <w:t xml:space="preserve"> September 30, 2023</w:t>
              </w:r>
            </w:hyperlink>
            <w:hyperlink w:anchor="i77ccce35546344a3a1cd6e9f7118cafe_31">
              <w:r>
                <w:rPr>
                  <w:rStyle w:val="InternetLink"/>
                  <w:rFonts w:ascii="Times New Roman;sans-serif" w:hAnsi="Times New Roman;sans-serif"/>
                  <w:b w:val="false"/>
                  <w:color w:val="000080"/>
                  <w:sz w:val="20"/>
                  <w:u w:val="single"/>
                </w:rPr>
                <w:t xml:space="preserve"> and</w:t>
              </w:r>
            </w:hyperlink>
            <w:hyperlink w:anchor="i77ccce35546344a3a1cd6e9f7118cafe_31">
              <w:r>
                <w:rPr>
                  <w:rStyle w:val="InternetLink"/>
                  <w:rFonts w:ascii="Times New Roman;sans-serif" w:hAnsi="Times New Roman;sans-serif"/>
                  <w:b w:val="false"/>
                  <w:color w:val="000080"/>
                  <w:sz w:val="20"/>
                  <w:u w:val="single"/>
                </w:rPr>
                <w:t xml:space="preserve"> 2022</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31">
              <w:r>
                <w:rPr>
                  <w:rStyle w:val="InternetLink"/>
                  <w:rFonts w:ascii="Times New Roman;sans-serif" w:hAnsi="Times New Roman;sans-serif"/>
                  <w:b w:val="false"/>
                  <w:color w:val="0000FF"/>
                  <w:sz w:val="20"/>
                  <w:u w:val="single"/>
                </w:rPr>
                <w:t>8</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37">
              <w:r>
                <w:rPr>
                  <w:rStyle w:val="InternetLink"/>
                  <w:rFonts w:ascii="Times New Roman;sans-serif" w:hAnsi="Times New Roman;sans-serif"/>
                  <w:b w:val="false"/>
                  <w:color w:val="0000FF"/>
                  <w:sz w:val="20"/>
                  <w:u w:val="single"/>
                </w:rPr>
                <w:t>Notes to 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37">
              <w:r>
                <w:rPr>
                  <w:rStyle w:val="InternetLink"/>
                  <w:rFonts w:ascii="Times New Roman;sans-serif" w:hAnsi="Times New Roman;sans-serif"/>
                  <w:b w:val="false"/>
                  <w:color w:val="0000FF"/>
                  <w:sz w:val="20"/>
                  <w:u w:val="single"/>
                </w:rPr>
                <w:t>9</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12">
              <w:r>
                <w:rPr>
                  <w:rStyle w:val="InternetLink"/>
                  <w:rFonts w:ascii="Times New Roman;sans-serif" w:hAnsi="Times New Roman;sans-serif"/>
                  <w:b w:val="false"/>
                  <w:color w:val="0000FF"/>
                  <w:sz w:val="20"/>
                  <w:u w:val="single"/>
                </w:rPr>
                <w:t>Item 2.</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1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12">
              <w:r>
                <w:rPr>
                  <w:rStyle w:val="InternetLink"/>
                  <w:rFonts w:ascii="Times New Roman;sans-serif" w:hAnsi="Times New Roman;sans-serif"/>
                  <w:b w:val="false"/>
                  <w:color w:val="0000FF"/>
                  <w:sz w:val="20"/>
                  <w:u w:val="single"/>
                </w:rPr>
                <w:t>25</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39">
              <w:r>
                <w:rPr>
                  <w:rStyle w:val="InternetLink"/>
                  <w:rFonts w:ascii="Times New Roman;sans-serif" w:hAnsi="Times New Roman;sans-serif"/>
                  <w:b w:val="false"/>
                  <w:color w:val="0000FF"/>
                  <w:sz w:val="20"/>
                  <w:u w:val="single"/>
                </w:rPr>
                <w:t>Item 3.</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39">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39">
              <w:r>
                <w:rPr>
                  <w:rStyle w:val="InternetLink"/>
                  <w:rFonts w:ascii="Times New Roman;sans-serif" w:hAnsi="Times New Roman;sans-serif"/>
                  <w:b w:val="false"/>
                  <w:color w:val="0000FF"/>
                  <w:sz w:val="20"/>
                  <w:u w:val="single"/>
                </w:rPr>
                <w:t>33</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42">
              <w:r>
                <w:rPr>
                  <w:rStyle w:val="InternetLink"/>
                  <w:rFonts w:ascii="Times New Roman;sans-serif" w:hAnsi="Times New Roman;sans-serif"/>
                  <w:b w:val="false"/>
                  <w:color w:val="0000FF"/>
                  <w:sz w:val="20"/>
                  <w:u w:val="single"/>
                </w:rPr>
                <w:t>Item 4.</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42">
              <w:r>
                <w:rPr>
                  <w:rStyle w:val="InternetLink"/>
                  <w:rFonts w:ascii="Times New Roman;sans-serif" w:hAnsi="Times New Roman;sans-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42">
              <w:r>
                <w:rPr>
                  <w:rStyle w:val="InternetLink"/>
                  <w:rFonts w:ascii="Times New Roman;sans-serif" w:hAnsi="Times New Roman;sans-serif"/>
                  <w:b w:val="false"/>
                  <w:color w:val="0000FF"/>
                  <w:sz w:val="20"/>
                  <w:u w:val="single"/>
                </w:rPr>
                <w:t>33</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45">
              <w:r>
                <w:rPr>
                  <w:rStyle w:val="InternetLink"/>
                  <w:rFonts w:ascii="Times New Roman;sans-serif" w:hAnsi="Times New Roman;sans-serif"/>
                  <w:b/>
                  <w:color w:val="0000FF"/>
                  <w:sz w:val="20"/>
                  <w:u w:val="single"/>
                </w:rPr>
                <w:t>PART II.</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45">
              <w:r>
                <w:rPr>
                  <w:rStyle w:val="InternetLink"/>
                  <w:rFonts w:ascii="Times New Roman;sans-serif" w:hAnsi="Times New Roman;sans-serif"/>
                  <w:b/>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48">
              <w:r>
                <w:rPr>
                  <w:rStyle w:val="InternetLink"/>
                  <w:rFonts w:ascii="Times New Roman;sans-serif" w:hAnsi="Times New Roman;sans-serif"/>
                  <w:b w:val="false"/>
                  <w:color w:val="0000FF"/>
                  <w:sz w:val="20"/>
                  <w:u w:val="single"/>
                </w:rPr>
                <w:t>Item 1.</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48">
              <w:r>
                <w:rPr>
                  <w:rStyle w:val="InternetLink"/>
                  <w:rFonts w:ascii="Times New Roman;sans-serif" w:hAnsi="Times New Roman;sans-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48">
              <w:r>
                <w:rPr>
                  <w:rStyle w:val="InternetLink"/>
                  <w:rFonts w:ascii="Times New Roman;sans-serif" w:hAnsi="Times New Roman;sans-serif"/>
                  <w:b w:val="false"/>
                  <w:color w:val="0000FF"/>
                  <w:sz w:val="20"/>
                  <w:u w:val="single"/>
                </w:rPr>
                <w:t>35</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51">
              <w:r>
                <w:rPr>
                  <w:rStyle w:val="InternetLink"/>
                  <w:rFonts w:ascii="Times New Roman;sans-serif" w:hAnsi="Times New Roman;sans-serif"/>
                  <w:b w:val="false"/>
                  <w:color w:val="0000FF"/>
                  <w:sz w:val="20"/>
                  <w:u w:val="single"/>
                </w:rPr>
                <w:t>Item 1A.</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51">
              <w:r>
                <w:rPr>
                  <w:rStyle w:val="InternetLink"/>
                  <w:rFonts w:ascii="Times New Roman;sans-serif" w:hAnsi="Times New Roman;sans-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51">
              <w:r>
                <w:rPr>
                  <w:rStyle w:val="InternetLink"/>
                  <w:rFonts w:ascii="Times New Roman;sans-serif" w:hAnsi="Times New Roman;sans-serif"/>
                  <w:b w:val="false"/>
                  <w:color w:val="0000FF"/>
                  <w:sz w:val="20"/>
                  <w:u w:val="single"/>
                </w:rPr>
                <w:t>35</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54">
              <w:r>
                <w:rPr>
                  <w:rStyle w:val="InternetLink"/>
                  <w:rFonts w:ascii="Times New Roman;sans-serif" w:hAnsi="Times New Roman;sans-serif"/>
                  <w:b w:val="false"/>
                  <w:color w:val="0000FF"/>
                  <w:sz w:val="20"/>
                  <w:u w:val="single"/>
                </w:rPr>
                <w:t>Item 2.</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54">
              <w:r>
                <w:rPr>
                  <w:rStyle w:val="InternetLink"/>
                  <w:rFonts w:ascii="Times New Roman;sans-serif" w:hAnsi="Times New Roman;sans-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54">
              <w:r>
                <w:rPr>
                  <w:rStyle w:val="InternetLink"/>
                  <w:rFonts w:ascii="Times New Roman;sans-serif" w:hAnsi="Times New Roman;sans-serif"/>
                  <w:b w:val="false"/>
                  <w:color w:val="0000FF"/>
                  <w:sz w:val="20"/>
                  <w:u w:val="single"/>
                </w:rPr>
                <w:t>35</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0">
              <w:r>
                <w:rPr>
                  <w:rStyle w:val="InternetLink"/>
                  <w:rFonts w:ascii="Times New Roman;sans-serif" w:hAnsi="Times New Roman;sans-serif"/>
                  <w:b w:val="false"/>
                  <w:color w:val="0000FF"/>
                  <w:sz w:val="20"/>
                  <w:u w:val="single"/>
                </w:rPr>
                <w:t>Item 3.</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0">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60">
              <w:r>
                <w:rPr>
                  <w:rStyle w:val="InternetLink"/>
                  <w:rFonts w:ascii="Times New Roman;sans-serif" w:hAnsi="Times New Roman;sans-serif"/>
                  <w:b w:val="false"/>
                  <w:color w:val="0000FF"/>
                  <w:sz w:val="20"/>
                  <w:u w:val="single"/>
                </w:rPr>
                <w:t>35</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3">
              <w:r>
                <w:rPr>
                  <w:rStyle w:val="InternetLink"/>
                  <w:rFonts w:ascii="Times New Roman;sans-serif" w:hAnsi="Times New Roman;sans-serif"/>
                  <w:b w:val="false"/>
                  <w:color w:val="0000FF"/>
                  <w:sz w:val="20"/>
                  <w:u w:val="single"/>
                </w:rPr>
                <w:t>Item 4.</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3">
              <w:r>
                <w:rPr>
                  <w:rStyle w:val="InternetLink"/>
                  <w:rFonts w:ascii="Times New Roman;sans-serif" w:hAnsi="Times New Roman;sans-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63">
              <w:r>
                <w:rPr>
                  <w:rStyle w:val="InternetLink"/>
                  <w:rFonts w:ascii="Times New Roman;sans-serif" w:hAnsi="Times New Roman;sans-serif"/>
                  <w:b w:val="false"/>
                  <w:color w:val="0000FF"/>
                  <w:sz w:val="20"/>
                  <w:u w:val="single"/>
                </w:rPr>
                <w:t>35</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6">
              <w:r>
                <w:rPr>
                  <w:rStyle w:val="InternetLink"/>
                  <w:rFonts w:ascii="Times New Roman;sans-serif" w:hAnsi="Times New Roman;sans-serif"/>
                  <w:b w:val="false"/>
                  <w:color w:val="0000FF"/>
                  <w:sz w:val="20"/>
                  <w:u w:val="single"/>
                </w:rPr>
                <w:t>Item 5.</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6">
              <w:r>
                <w:rPr>
                  <w:rStyle w:val="InternetLink"/>
                  <w:rFonts w:ascii="Times New Roman;sans-serif" w:hAnsi="Times New Roman;sans-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66">
              <w:r>
                <w:rPr>
                  <w:rStyle w:val="InternetLink"/>
                  <w:rFonts w:ascii="Times New Roman;sans-serif" w:hAnsi="Times New Roman;sans-serif"/>
                  <w:b w:val="false"/>
                  <w:color w:val="0000FF"/>
                  <w:sz w:val="20"/>
                  <w:u w:val="single"/>
                </w:rPr>
                <w:t>35</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9">
              <w:r>
                <w:rPr>
                  <w:rStyle w:val="InternetLink"/>
                  <w:rFonts w:ascii="Times New Roman;sans-serif" w:hAnsi="Times New Roman;sans-serif"/>
                  <w:b w:val="false"/>
                  <w:color w:val="0000FF"/>
                  <w:sz w:val="20"/>
                  <w:u w:val="single"/>
                </w:rPr>
                <w:t>Item 6.</w:t>
              </w:r>
            </w:hyperlink>
          </w:p>
        </w:tc>
        <w:tc>
          <w:tcPr>
            <w:tcW w:w="88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69">
              <w:r>
                <w:rPr>
                  <w:rStyle w:val="InternetLink"/>
                  <w:rFonts w:ascii="Times New Roman;sans-serif" w:hAnsi="Times New Roman;sans-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69">
              <w:r>
                <w:rPr>
                  <w:rStyle w:val="InternetLink"/>
                  <w:rFonts w:ascii="Times New Roman;sans-serif" w:hAnsi="Times New Roman;sans-serif"/>
                  <w:b w:val="false"/>
                  <w:color w:val="0000FF"/>
                  <w:sz w:val="20"/>
                  <w:u w:val="single"/>
                </w:rPr>
                <w:t>36</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7ccce35546344a3a1cd6e9f7118cafe_172">
              <w:r>
                <w:rPr>
                  <w:rStyle w:val="InternetLink"/>
                  <w:rFonts w:ascii="Times New Roman;sans-serif" w:hAnsi="Times New Roman;sans-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7ccce35546344a3a1cd6e9f7118cafe_172">
              <w:r>
                <w:rPr>
                  <w:rStyle w:val="InternetLink"/>
                  <w:rFonts w:ascii="Times New Roman;sans-serif" w:hAnsi="Times New Roman;sans-serif"/>
                  <w:b w:val="false"/>
                  <w:color w:val="0000FF"/>
                  <w:sz w:val="20"/>
                  <w:u w:val="single"/>
                </w:rPr>
                <w:t>37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24, 2021 (the “Closing Date” or the “Closing”), Perella Weinberg Partners consummated a business combination pursuant to that certain Business Combination Agreement, dated as of December 29, 2020 (the “Business Combination Agreement”). As contemplated by the Business Combination Agreement, (i) Perella Weinberg Partners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 </w:t>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made in this Quarterly Report on Form 10-Q are “forward-looking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Important factors, among others, that may affect actual results or outcomes include (but are not limited to): global economic, business, and market conditions; the Company’s dependence on and ability to retain key employees; the Company’s ability to successfully identify, recruit and develop talent; conditions impacting the corporate advisory industry;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other risks and uncertainties described under the section entitled “Risk Factors” included in our Annual Report on Form 10-K.</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Perella Weinberg Partners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2769"/>
        <w:gridCol w:w="2202"/>
        <w:gridCol w:w="2221"/>
        <w:gridCol w:w="244"/>
        <w:gridCol w:w="956"/>
        <w:gridCol w:w="126"/>
        <w:gridCol w:w="109"/>
        <w:gridCol w:w="109"/>
        <w:gridCol w:w="109"/>
        <w:gridCol w:w="240"/>
        <w:gridCol w:w="942"/>
        <w:gridCol w:w="178"/>
      </w:tblGrid>
      <w:tr>
        <w:trPr/>
        <w:tc>
          <w:tcPr>
            <w:tcW w:w="2769"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687" w:type="dxa"/>
            <w:gridSpan w:val="6"/>
            <w:tcBorders/>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19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marketable debt securities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 of accumulated depreciation and amortization</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634,171 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717,093 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24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due pursuant to tax receivable agreement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369,359 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456,953 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17)</w:t>
            </w:r>
          </w:p>
        </w:tc>
        <w:tc>
          <w:tcPr>
            <w:tcW w:w="13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 (1,500,000,000 shares authorized, 55,980,547 issued and 43,257,849 outstanding at September 30, 2023; 1,500,000,000 shares authorized, 52,237,247 issued and 41,744,961 outstanding at December 31, 2022)</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par value $0.0001 per share (600,000,000 shares authorized, 42,880,015 issued and outstanding at September 30, 2023; 600,000,000 shares authorized, 44,563,877 issued and outstanding at December 31, 2022)</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$0.0001 per share (100,000,000 shares authorized, no shares issued and outstanding at September 30, 2023 and December 31, 2022)</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(12,722,698 and 10,492,286 shares of Class A common stock at September 30, 2023 and December 31, 2022, respectively)</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Perella Weinberg Partners equity</w:t>
            </w:r>
          </w:p>
        </w:tc>
        <w:tc>
          <w:tcPr>
            <w:tcW w:w="12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144,252 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137,462 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2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264,812 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260,140 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634,171 </w:t>
            </w:r>
          </w:p>
        </w:tc>
        <w:tc>
          <w:tcPr>
            <w:tcW w:w="1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717,093 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95"/>
        <w:gridCol w:w="1353"/>
        <w:gridCol w:w="136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69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417"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448,359 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378,408 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infrastructure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occupancy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and related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476,549 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(28,190)</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(expenses)</w:t>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Perella Weinberg Partners</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Class A common shareholders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of Class A common stock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44,241,794 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90,535,232 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1881"/>
        <w:gridCol w:w="1474"/>
        <w:gridCol w:w="1486"/>
        <w:gridCol w:w="211"/>
        <w:gridCol w:w="778"/>
        <w:gridCol w:w="109"/>
        <w:gridCol w:w="109"/>
        <w:gridCol w:w="109"/>
        <w:gridCol w:w="109"/>
        <w:gridCol w:w="211"/>
        <w:gridCol w:w="778"/>
        <w:gridCol w:w="109"/>
        <w:gridCol w:w="109"/>
        <w:gridCol w:w="109"/>
        <w:gridCol w:w="109"/>
        <w:gridCol w:w="211"/>
        <w:gridCol w:w="778"/>
        <w:gridCol w:w="109"/>
        <w:gridCol w:w="109"/>
        <w:gridCol w:w="109"/>
        <w:gridCol w:w="109"/>
        <w:gridCol w:w="211"/>
        <w:gridCol w:w="721"/>
        <w:gridCol w:w="157"/>
      </w:tblGrid>
      <w:tr>
        <w:trPr/>
        <w:tc>
          <w:tcPr>
            <w:tcW w:w="188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84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 net of tax</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(22,549)</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Perella Weinberg Partners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pStyle w:val="TextBody"/>
        <w:bidi w:val="0"/>
        <w:spacing w:before="24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p>
      <w:pPr>
        <w:pStyle w:val="TextBody"/>
        <w:bidi w:val="0"/>
        <w:spacing w:before="0" w:after="0"/>
        <w:jc w:val="center"/>
        <w:rPr/>
      </w:pPr>
      <w:r>
        <w:rPr/>
      </w:r>
    </w:p>
    <w:tbl>
      <w:tblPr>
        <w:tblW w:w="12920" w:type="dxa"/>
        <w:jc w:val="center"/>
        <w:tblInd w:w="0" w:type="dxa"/>
        <w:tblLayout w:type="fixed"/>
        <w:tblCellMar>
          <w:top w:w="28" w:type="dxa"/>
          <w:left w:w="28" w:type="dxa"/>
          <w:bottom w:w="28" w:type="dxa"/>
          <w:right w:w="28" w:type="dxa"/>
        </w:tblCellMar>
      </w:tblPr>
      <w:tblGrid>
        <w:gridCol w:w="395"/>
        <w:gridCol w:w="215"/>
        <w:gridCol w:w="216"/>
        <w:gridCol w:w="338"/>
        <w:gridCol w:w="338"/>
        <w:gridCol w:w="196"/>
        <w:gridCol w:w="109"/>
        <w:gridCol w:w="109"/>
        <w:gridCol w:w="109"/>
        <w:gridCol w:w="338"/>
        <w:gridCol w:w="338"/>
        <w:gridCol w:w="196"/>
        <w:gridCol w:w="109"/>
        <w:gridCol w:w="109"/>
        <w:gridCol w:w="109"/>
        <w:gridCol w:w="345"/>
        <w:gridCol w:w="346"/>
        <w:gridCol w:w="196"/>
        <w:gridCol w:w="109"/>
        <w:gridCol w:w="109"/>
        <w:gridCol w:w="109"/>
        <w:gridCol w:w="206"/>
        <w:gridCol w:w="243"/>
        <w:gridCol w:w="137"/>
        <w:gridCol w:w="109"/>
        <w:gridCol w:w="109"/>
        <w:gridCol w:w="109"/>
        <w:gridCol w:w="206"/>
        <w:gridCol w:w="243"/>
        <w:gridCol w:w="137"/>
        <w:gridCol w:w="109"/>
        <w:gridCol w:w="109"/>
        <w:gridCol w:w="109"/>
        <w:gridCol w:w="166"/>
        <w:gridCol w:w="541"/>
        <w:gridCol w:w="109"/>
        <w:gridCol w:w="109"/>
        <w:gridCol w:w="109"/>
        <w:gridCol w:w="109"/>
        <w:gridCol w:w="166"/>
        <w:gridCol w:w="526"/>
        <w:gridCol w:w="109"/>
        <w:gridCol w:w="109"/>
        <w:gridCol w:w="109"/>
        <w:gridCol w:w="109"/>
        <w:gridCol w:w="184"/>
        <w:gridCol w:w="535"/>
        <w:gridCol w:w="122"/>
        <w:gridCol w:w="109"/>
        <w:gridCol w:w="109"/>
        <w:gridCol w:w="109"/>
        <w:gridCol w:w="218"/>
        <w:gridCol w:w="554"/>
        <w:gridCol w:w="144"/>
        <w:gridCol w:w="109"/>
        <w:gridCol w:w="109"/>
        <w:gridCol w:w="109"/>
        <w:gridCol w:w="166"/>
        <w:gridCol w:w="526"/>
        <w:gridCol w:w="109"/>
        <w:gridCol w:w="109"/>
        <w:gridCol w:w="109"/>
        <w:gridCol w:w="109"/>
        <w:gridCol w:w="166"/>
        <w:gridCol w:w="526"/>
        <w:gridCol w:w="154"/>
      </w:tblGrid>
      <w:tr>
        <w:trPr/>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Common</w:t>
              <w:br/>
              <w:t>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Common</w:t>
              <w:br/>
              <w:t>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w:t>
              <w:b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w:t>
              <w:br/>
              <w:t>Controlling</w:t>
              <w:br/>
              <w:t xml:space="preserve">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 xml:space="preserve">Equity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December 31, 2022</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52,237,247 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44,563,877 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(10,492,286)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(18,071)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(6,538)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260,140 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to partners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for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1,250,162 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99,057 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Withholding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gain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PWP OpCo Units and corresponding Class B common stock for Class A common stock (Note 9—Stockholders’ Equity)</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786,644 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(785,862)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(1,457,304)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ownership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March 31, 2023</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54,274,053 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43,778,015 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(11,850,533)</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(93,632)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260,806 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(28,119)</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(5,752)</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115,700 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249,012 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to partners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for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97,163 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24,386 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Withholding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gain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(919,379)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June 30, 2023</w:t>
            </w:r>
          </w:p>
        </w:tc>
        <w:tc>
          <w:tcPr>
            <w:tcW w:w="6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54,371,216 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43,778,015 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(12,745,526)</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(101,074)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279,317 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(32,616)</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(4,822)</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117,454 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258,268 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to partners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710,433 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Withholding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(1,383)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PWP OpCo Units and corresponding Class B common stock for Class A common stock (Note 9—Stockholders’ Equity)</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898,898 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(898,000)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ownership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September 30, 2023</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55,980,547 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42,880,015 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(12,722,698)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(100,800)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290,755 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(39,508)</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(6,205)</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264,812 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p>
      <w:pPr>
        <w:pStyle w:val="TextBody"/>
        <w:bidi w:val="0"/>
        <w:spacing w:before="0" w:after="0"/>
        <w:jc w:val="left"/>
        <w:rPr/>
      </w:pPr>
      <w:r>
        <w:rPr/>
      </w:r>
    </w:p>
    <w:tbl>
      <w:tblPr>
        <w:tblW w:w="12800" w:type="dxa"/>
        <w:jc w:val="left"/>
        <w:tblInd w:w="0" w:type="dxa"/>
        <w:tblLayout w:type="fixed"/>
        <w:tblCellMar>
          <w:top w:w="28" w:type="dxa"/>
          <w:left w:w="28" w:type="dxa"/>
          <w:bottom w:w="28" w:type="dxa"/>
          <w:right w:w="28" w:type="dxa"/>
        </w:tblCellMar>
      </w:tblPr>
      <w:tblGrid>
        <w:gridCol w:w="395"/>
        <w:gridCol w:w="215"/>
        <w:gridCol w:w="216"/>
        <w:gridCol w:w="338"/>
        <w:gridCol w:w="338"/>
        <w:gridCol w:w="196"/>
        <w:gridCol w:w="109"/>
        <w:gridCol w:w="109"/>
        <w:gridCol w:w="109"/>
        <w:gridCol w:w="338"/>
        <w:gridCol w:w="338"/>
        <w:gridCol w:w="196"/>
        <w:gridCol w:w="109"/>
        <w:gridCol w:w="109"/>
        <w:gridCol w:w="109"/>
        <w:gridCol w:w="315"/>
        <w:gridCol w:w="316"/>
        <w:gridCol w:w="196"/>
        <w:gridCol w:w="109"/>
        <w:gridCol w:w="109"/>
        <w:gridCol w:w="109"/>
        <w:gridCol w:w="206"/>
        <w:gridCol w:w="243"/>
        <w:gridCol w:w="137"/>
        <w:gridCol w:w="109"/>
        <w:gridCol w:w="109"/>
        <w:gridCol w:w="109"/>
        <w:gridCol w:w="206"/>
        <w:gridCol w:w="243"/>
        <w:gridCol w:w="137"/>
        <w:gridCol w:w="109"/>
        <w:gridCol w:w="109"/>
        <w:gridCol w:w="109"/>
        <w:gridCol w:w="166"/>
        <w:gridCol w:w="481"/>
        <w:gridCol w:w="109"/>
        <w:gridCol w:w="109"/>
        <w:gridCol w:w="109"/>
        <w:gridCol w:w="109"/>
        <w:gridCol w:w="166"/>
        <w:gridCol w:w="526"/>
        <w:gridCol w:w="109"/>
        <w:gridCol w:w="109"/>
        <w:gridCol w:w="109"/>
        <w:gridCol w:w="109"/>
        <w:gridCol w:w="184"/>
        <w:gridCol w:w="535"/>
        <w:gridCol w:w="122"/>
        <w:gridCol w:w="109"/>
        <w:gridCol w:w="109"/>
        <w:gridCol w:w="109"/>
        <w:gridCol w:w="218"/>
        <w:gridCol w:w="554"/>
        <w:gridCol w:w="144"/>
        <w:gridCol w:w="109"/>
        <w:gridCol w:w="109"/>
        <w:gridCol w:w="109"/>
        <w:gridCol w:w="166"/>
        <w:gridCol w:w="526"/>
        <w:gridCol w:w="109"/>
        <w:gridCol w:w="109"/>
        <w:gridCol w:w="109"/>
        <w:gridCol w:w="109"/>
        <w:gridCol w:w="166"/>
        <w:gridCol w:w="526"/>
        <w:gridCol w:w="154"/>
      </w:tblGrid>
      <w:tr>
        <w:trPr/>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Common</w:t>
              <w:br/>
              <w:t>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Common</w:t>
              <w:br/>
              <w:t>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w:t>
              <w:b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w:t>
              <w:br/>
              <w:t>Controlling</w:t>
              <w:br/>
              <w:t xml:space="preserve">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 xml:space="preserve">Equity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December 31, 2021</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43,649,319 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50,154,199 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(1,000,000)</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(12,000)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158,131 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(18,075)</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(1,746)</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145,033 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271,352 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to partners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for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601,098 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Withholding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gain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and exchange of PWP OpCo Units with corresponding Class B common stock for cash using Offering proceeds (Note 9—Stockholders’ Equity)</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3,502,033 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(3,498,534)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PWP OpCo Units and corresponding Class B common stock for Class A common stock (Note 9—Stockholders’ Equity)</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337,048 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(336,712)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(172,303)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March 31, 2022</w:t>
            </w:r>
          </w:p>
        </w:tc>
        <w:tc>
          <w:tcPr>
            <w:tcW w:w="6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48,089,498 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46,318,953 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(1,172,303)</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(13,598)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179,745 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(13,410)</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(2,786)</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135,616 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285,577 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to partners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66,116 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Withholding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PWP OpCo Units and corresponding Class B common stock for Class A common stock (Note 9—Stockholders’ Equity)</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629,591 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(628,965)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(6,267,904)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June 30, 2022</w:t>
            </w:r>
          </w:p>
        </w:tc>
        <w:tc>
          <w:tcPr>
            <w:tcW w:w="6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48,785,205 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45,689,988 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(7,440,207)</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(57,287)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203,861 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(8,834)</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(5,334)</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136,397 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268,813 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(2,959)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to partners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for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694,128 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28,111 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Withholding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PWP OpCo Units and corresponding Class B common stock for Class A common stock (Note 9—Stockholders’ Equity)</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764,873 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(764,111)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Warrant exchange for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1,565,948 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(1,289,459)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ownership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2"/>
              </w:rPr>
            </w:pPr>
            <w:r>
              <w:rPr>
                <w:rFonts w:ascii="Times New Roman;sans-serif" w:hAnsi="Times New Roman;sans-serif"/>
                <w:b/>
                <w:color w:val="000000"/>
                <w:sz w:val="12"/>
              </w:rPr>
              <w:t>Balance at September 30, 2022</w:t>
            </w:r>
          </w:p>
        </w:tc>
        <w:tc>
          <w:tcPr>
            <w:tcW w:w="6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51,810,154 </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44,925,877 </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(8,701,555)</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(65,488)</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225,978 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(12,209)</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(8,293)</w:t>
            </w:r>
          </w:p>
        </w:tc>
        <w:tc>
          <w:tcPr>
            <w:tcW w:w="1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134,185 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274,182 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774"/>
        <w:gridCol w:w="2404"/>
        <w:gridCol w:w="2413"/>
        <w:gridCol w:w="208"/>
        <w:gridCol w:w="784"/>
        <w:gridCol w:w="115"/>
        <w:gridCol w:w="115"/>
        <w:gridCol w:w="115"/>
        <w:gridCol w:w="115"/>
        <w:gridCol w:w="208"/>
        <w:gridCol w:w="784"/>
        <w:gridCol w:w="170"/>
      </w:tblGrid>
      <w:tr>
        <w:trPr/>
        <w:tc>
          <w:tcPr>
            <w:tcW w:w="2774"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9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08"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awards vesting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revaluation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operating assets: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related parties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operating liabilities: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(176,244)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(12,482)</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(98,692)</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fixed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 in short-term marketable debt securities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(139,180)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investments in short-term marketable debt securities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26,274 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(147,406)</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Offering, net of underwriting discount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PWP OpCo Units and corresponding Class B common stock for cash using Offering proceeds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(36,526)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offering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partners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Class A and Class B common stock</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Withholding payments for vested PWP Incentive Plan Awards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purchases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(53,580)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Payments pursuant to tax receivable agreement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(59,981)</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(102,641)</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(10,523)</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(44,965)</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(359,262)</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504,775 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145,513 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activities</w:t>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arising from obtaining right-of-use lease assets</w:t>
            </w:r>
          </w:p>
        </w:tc>
        <w:tc>
          <w:tcPr>
            <w:tcW w:w="208"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capital expenditures</w:t>
            </w:r>
          </w:p>
        </w:tc>
        <w:tc>
          <w:tcPr>
            <w:tcW w:w="2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dividends and dividend equivalent units on unvested PWP Incentive Plan Awards</w:t>
            </w:r>
          </w:p>
        </w:tc>
        <w:tc>
          <w:tcPr>
            <w:tcW w:w="208"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paydown of Partner promissory notes</w:t>
            </w:r>
          </w:p>
        </w:tc>
        <w:tc>
          <w:tcPr>
            <w:tcW w:w="2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effect resulting from exchanges of PWP OpCo Units, net of amounts payable under tax receivable agreement</w:t>
            </w:r>
          </w:p>
        </w:tc>
        <w:tc>
          <w:tcPr>
            <w:tcW w:w="208"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treasury stock purchases</w:t>
            </w:r>
          </w:p>
        </w:tc>
        <w:tc>
          <w:tcPr>
            <w:tcW w:w="2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2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 (unaudited)</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1—Organization and Nature of Business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including advice related to mission-critical strategic and financial decisions, mergers and acquisitions (“M&amp;A”) execution, shareholder and defense advisory, financing and capital solutions advice with resources focused on restructuring and liability management, capital markets advisory, private capital placement, as well as specialized underwriting and research services primarily for the energy and related industries.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 (formerly known as FinTech Acquisition Corp. IV (“FTIV”)) was incorporated in Delaware on November 20, 2018 as a special purpose acquisition company for the purpose of acquiring businesses or assets through a business combination. On June 24, 2021, the Company consummated a business combination pursuant to a Business Combination Agreement among various parties, resulting in FTIV acquiring partnership interests in PWP OpCo, and PWP OpCo becoming jointly-owned by Perella Weinberg Partners, PWP Professional Partners LP (“Professional Partners”) and existing partners, as part of an umbrella limited partnership C-corporation (Up-C) structure (the “Business Combination”).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PWP OpCo are conducted through a wholly-owned subsidiary, Perella Weinberg Partners Group LP,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9—Stockholders’ Equity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condensed consolidated financial statements.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2022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Consolidation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September 30, 2023 and December 31, 2022, the net assets of PWP OpCo were $245.8 million and $237.9 million, respectively. As of September 30, 2023 and December 31, 2022, the Company did not consolidate any VIEs other than PWP OpCo. </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condensed consolidated financial statements, management makes estimates regarding the measurement of the amount due pursuant to the tax receivable agreement, measurement and timing of revenue recognition, assumptions used in the provision for income taxes, measurement of equity-based compensation, evaluation of goodwill and intangible assets, fair value measurement of financial instruments, and other matters that affect the reported amounts and disclosures of contingencies in the condensed consolidated financial statements.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both cash and interest-bearing money market accounts and cash equivalents are defined as highly liquid investments with original maturities of three months or less from the date of purchase. As of September 30, 2023 and December 31, 2022, the Company had no cash equivalents. The Company maintains cash with banks and brokerage firms, which from time to time may exceed federally insured limits.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represents cash that is not readily available for general purpose cash needs. As of September 30, 2023 and December 31, 2022, the Company had restricted cash of $2.6 million maintained as collateral for letters of credit related to certain office leases.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Company’s cash, cash equivalents and restricted cash as of September 30, 2023 and September 30, 2022 is presented below:</w:t>
      </w:r>
    </w:p>
    <w:tbl>
      <w:tblPr>
        <w:tblW w:w="9204" w:type="dxa"/>
        <w:jc w:val="left"/>
        <w:tblInd w:w="0" w:type="dxa"/>
        <w:tblLayout w:type="fixed"/>
        <w:tblCellMar>
          <w:top w:w="28" w:type="dxa"/>
          <w:left w:w="28" w:type="dxa"/>
          <w:bottom w:w="28" w:type="dxa"/>
          <w:right w:w="28" w:type="dxa"/>
        </w:tblCellMar>
      </w:tblPr>
      <w:tblGrid>
        <w:gridCol w:w="2363"/>
        <w:gridCol w:w="2073"/>
        <w:gridCol w:w="2104"/>
        <w:gridCol w:w="211"/>
        <w:gridCol w:w="826"/>
        <w:gridCol w:w="109"/>
        <w:gridCol w:w="109"/>
        <w:gridCol w:w="109"/>
        <w:gridCol w:w="109"/>
        <w:gridCol w:w="211"/>
        <w:gridCol w:w="826"/>
        <w:gridCol w:w="154"/>
      </w:tblGrid>
      <w:tr>
        <w:trPr/>
        <w:tc>
          <w:tcPr>
            <w:tcW w:w="236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shown on statements of cash flows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129,201 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Currencies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and its subsidiaries may enter into transactions denominated in a non-functional currency. The Company recognized net foreign exchange gains (losses) arising from such transactions of $1.9 million and $(0.3) million during the three and nine months ended September 30, 2023, respectively, and $5.6 million and $10.8 million for the three and nine months ended September 30, 2022, respectively, which are included in Other income (expense) in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income, expenses, gains and losses are generally translated using the average exchange rate throughout the period. Cumulative translation adjustments arising from the translation of non-U.S. dollar denominated operations are included as a component of Accumulated other comprehensive income (loss) in the Condensed Consolidated Statements of Changes in Equity.</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recently adopted accounting pronouncements that had a material effect on the Company’s condensed consolidated financial statements.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Future Adoption of Accounting Pronouncements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changes to U.S. GAAP that are not yet effective are expected to have a material effect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3—Revenue and Receivables from Contracts with Customers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Company’s revenue between over time and point in time recognition:</w:t>
      </w:r>
    </w:p>
    <w:tbl>
      <w:tblPr>
        <w:tblW w:w="6929" w:type="dxa"/>
        <w:jc w:val="left"/>
        <w:tblInd w:w="0" w:type="dxa"/>
        <w:tblLayout w:type="fixed"/>
        <w:tblCellMar>
          <w:top w:w="28" w:type="dxa"/>
          <w:left w:w="28" w:type="dxa"/>
          <w:bottom w:w="28" w:type="dxa"/>
          <w:right w:w="28" w:type="dxa"/>
        </w:tblCellMar>
      </w:tblPr>
      <w:tblGrid>
        <w:gridCol w:w="478"/>
        <w:gridCol w:w="418"/>
        <w:gridCol w:w="42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440,325 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 in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435,974 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448,359 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Reimbursable expenses billed to clients were $1.3 million and $3.7 million for the three and nine months ended September 30, 2023, respectively, and $0.4 million and $1.7 million for the three and nine months ended September 30, 2022, respectively.</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 and Revenue Recognized from Past Performance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aggregate amount of the transaction price, as defined in the Accounting Standards Codification (“ASC”), allocated to performance obligations yet to be satisfied was $1.0 million, and the Company generally expects to recognize this revenue within the next 12 months. Such amounts primarily relate to the Company’s performance obligations of providing transaction-related advisory services.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of $30.0 million and $211.0 million during the three and nine months ended September 30, 2023, respectively, and $40.0 million and $263.6 million during the three and nine months ended September 30, 2022, respectively, related to performance obligations that were satisfied or partially satisfied in prior periods. These amounts were recognized upon the resolution of revenue constraints and uncertainties in the respective periods and were generally related to transaction-related advisory services.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recorded $1.4 million and $5.0 million, respectively, for contract liabilities which are presented as Deferred revenue on the Condensed Consolidated Statements of Financial Condition. The Company recognized previously deferred revenue of $1.0 million and $4.0 million for the three and nine months ended September 30, 2023, respectively, and $1.7 million and $5.8 million for the three and nine months ended September 30, 2022, respectively, which was primarily related to transaction-related advisory services that are recognized over time. </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$6.5 million and $5.1 million, respectively, of accrued revenue was included in Accounts receivable, net of allowance on the Condensed Consolidated Statements of Financial Condition. These amounts represent amounts due from clients and are recognized as revenue in accordance with the Company’s revenue recognition policies but unbilled at the end of the period.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certain accounts receivable in the aggregate amount of $34.1 million were individually greater than 10% of the Company’s gross accounts receivable and were concentrated with one client. Of that amount, all was subsequently received after September 30, 2023. As of December 31, 2022, certain accounts receivable in the aggregate amount of $28.4 million, were greater than 10% of the Company’s gross accounts receivable and were concentrated with two clients. Of that amount, all was subsequently received after year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activity for the three and nine months ended September 30, 2023 and 2022 was as follows:</w:t>
      </w:r>
    </w:p>
    <w:tbl>
      <w:tblPr>
        <w:tblW w:w="9014" w:type="dxa"/>
        <w:jc w:val="left"/>
        <w:tblInd w:w="0" w:type="dxa"/>
        <w:tblLayout w:type="fixed"/>
        <w:tblCellMar>
          <w:top w:w="28" w:type="dxa"/>
          <w:left w:w="28" w:type="dxa"/>
          <w:bottom w:w="28" w:type="dxa"/>
          <w:right w:w="28" w:type="dxa"/>
        </w:tblCellMar>
      </w:tblPr>
      <w:tblGrid>
        <w:gridCol w:w="1538"/>
        <w:gridCol w:w="1349"/>
        <w:gridCol w:w="135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4—Leases</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The Company</w:t>
      </w:r>
      <w:r>
        <w:rPr>
          <w:color w:val="000000"/>
        </w:rPr>
        <w:t xml:space="preserve"> </w:t>
      </w:r>
      <w:r>
        <w:rPr>
          <w:rFonts w:ascii="Times New Roman;sans-serif" w:hAnsi="Times New Roman;sans-serif"/>
          <w:b w:val="false"/>
          <w:color w:val="000000"/>
          <w:sz w:val="20"/>
        </w:rPr>
        <w:t>leases office space and equipment under operating lease agreements. See the summary below of significant new leases and lease modifications.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2022, the Company entered into amendments to its New York and Los Angeles office leases, as well as a new 12-year lease agreement related to the relocation of the Company’s United Kingdom (“U.K.”) office in London. The New York lease amendment extended the term of the lease by approximately 16 years with an expiration of December 31, 2039. The amended term of the Los Angeles lease is scheduled to expire on December 31, 2032. In the second quarter of 2022, the Company’s amended Los Angeles lease commenced, and the amended New York lease partially commenced resulting in an increase to Lease liabilities and a corresponding increase to Right-of-use lease assets of $66.3 million. In the third quarter of 2022, the New York lease became fully commenced and the London lease also commenced, which resulted in an additional $62.3 million increase to Lease liabilities and a corresponding increase to Right-of-use lease assets.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as it relates to the Company’s operating leases was as follows:</w:t>
      </w:r>
    </w:p>
    <w:tbl>
      <w:tblPr>
        <w:tblW w:w="8649" w:type="dxa"/>
        <w:jc w:val="left"/>
        <w:tblInd w:w="0" w:type="dxa"/>
        <w:tblLayout w:type="fixed"/>
        <w:tblCellMar>
          <w:top w:w="28" w:type="dxa"/>
          <w:left w:w="28" w:type="dxa"/>
          <w:bottom w:w="28" w:type="dxa"/>
          <w:right w:w="28" w:type="dxa"/>
        </w:tblCellMar>
      </w:tblPr>
      <w:tblGrid>
        <w:gridCol w:w="1734"/>
        <w:gridCol w:w="1522"/>
        <w:gridCol w:w="1528"/>
        <w:gridCol w:w="589"/>
        <w:gridCol w:w="589"/>
        <w:gridCol w:w="591"/>
        <w:gridCol w:w="109"/>
        <w:gridCol w:w="109"/>
        <w:gridCol w:w="109"/>
        <w:gridCol w:w="517"/>
        <w:gridCol w:w="517"/>
        <w:gridCol w:w="735"/>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r>
              <w:rPr>
                <w:rFonts w:ascii="Times New Roman;sans-serif" w:hAnsi="Times New Roman;sans-serif"/>
                <w:b w:val="false"/>
                <w:color w:val="000000"/>
                <w:sz w:val="20"/>
              </w:rPr>
              <w:t xml:space="preserve">14.5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 years</w:t>
            </w:r>
          </w:p>
        </w:tc>
      </w:tr>
    </w:tbl>
    <w:tbl>
      <w:tblPr>
        <w:tblW w:w="9149" w:type="dxa"/>
        <w:jc w:val="left"/>
        <w:tblInd w:w="0" w:type="dxa"/>
        <w:tblLayout w:type="fixed"/>
        <w:tblCellMar>
          <w:top w:w="28" w:type="dxa"/>
          <w:left w:w="28" w:type="dxa"/>
          <w:bottom w:w="28" w:type="dxa"/>
          <w:right w:w="28" w:type="dxa"/>
        </w:tblCellMar>
      </w:tblPr>
      <w:tblGrid>
        <w:gridCol w:w="1482"/>
        <w:gridCol w:w="1302"/>
        <w:gridCol w:w="1310"/>
        <w:gridCol w:w="211"/>
        <w:gridCol w:w="69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 - operating leases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lease cost</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ans-serif" w:hAnsi="Times New Roman;sans-serif"/>
                <w:b w:val="false"/>
                <w:color w:val="000000"/>
                <w:sz w:val="20"/>
              </w:rPr>
              <w:t>Net cash outflows (inflows) on operating leases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40" w:before="60" w:after="283"/>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(1)Presented net of lease incentives received, including landlord contributions to tenant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maturities of undiscounted operating lease liabilities of the Company are as follows:</w:t>
      </w:r>
    </w:p>
    <w:tbl>
      <w:tblPr>
        <w:tblW w:w="7004" w:type="dxa"/>
        <w:jc w:val="left"/>
        <w:tblInd w:w="0" w:type="dxa"/>
        <w:tblLayout w:type="fixed"/>
        <w:tblCellMar>
          <w:top w:w="28" w:type="dxa"/>
          <w:left w:w="28" w:type="dxa"/>
          <w:bottom w:w="28" w:type="dxa"/>
          <w:right w:w="28" w:type="dxa"/>
        </w:tblCellMar>
      </w:tblPr>
      <w:tblGrid>
        <w:gridCol w:w="721"/>
        <w:gridCol w:w="634"/>
        <w:gridCol w:w="640"/>
        <w:gridCol w:w="303"/>
        <w:gridCol w:w="1189"/>
        <w:gridCol w:w="157"/>
        <w:gridCol w:w="109"/>
        <w:gridCol w:w="109"/>
        <w:gridCol w:w="109"/>
        <w:gridCol w:w="468"/>
        <w:gridCol w:w="802"/>
        <w:gridCol w:w="245"/>
        <w:gridCol w:w="109"/>
        <w:gridCol w:w="109"/>
        <w:gridCol w:w="109"/>
        <w:gridCol w:w="211"/>
        <w:gridCol w:w="82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Years Ending:</w:t>
            </w:r>
          </w:p>
        </w:tc>
        <w:tc>
          <w:tcPr>
            <w:tcW w:w="164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ans-serif" w:hAnsi="Times New Roman;sans-serif"/>
                <w:b/>
                <w:color w:val="000000"/>
                <w:sz w:val="20"/>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Sublease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br/>
              <w:t>Payments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ans-serif" w:hAnsi="Times New Roman;sans-serif"/>
                <w:b w:val="false"/>
                <w:color w:val="000000"/>
                <w:sz w:val="20"/>
              </w:rPr>
              <w:t>Total lease payments</w:t>
            </w:r>
            <w:r>
              <w:rPr>
                <w:rFonts w:ascii="Times New Roman;sans-serif" w:hAnsi="Times New Roman;sans-serif"/>
                <w:b w:val="false"/>
                <w:color w:val="000000"/>
                <w:sz w:val="13"/>
              </w:rPr>
              <w:t>(1)</w:t>
            </w:r>
          </w:p>
        </w:tc>
        <w:tc>
          <w:tcPr>
            <w:tcW w:w="14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251,792 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175,301 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40"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(1)Future lease payments are presented net of expected lease incentives, including landlord contributions to tenant improvements.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16—Related Party Transactions for information regarding the Company’s subleasing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5—Intangible Assets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detail of the intangible assets:</w:t>
      </w:r>
    </w:p>
    <w:tbl>
      <w:tblPr>
        <w:tblW w:w="7932" w:type="dxa"/>
        <w:jc w:val="left"/>
        <w:tblInd w:w="0" w:type="dxa"/>
        <w:tblLayout w:type="fixed"/>
        <w:tblCellMar>
          <w:top w:w="28" w:type="dxa"/>
          <w:left w:w="28" w:type="dxa"/>
          <w:bottom w:w="28" w:type="dxa"/>
          <w:right w:w="28" w:type="dxa"/>
        </w:tblCellMar>
      </w:tblPr>
      <w:tblGrid>
        <w:gridCol w:w="874"/>
        <w:gridCol w:w="769"/>
        <w:gridCol w:w="771"/>
        <w:gridCol w:w="267"/>
        <w:gridCol w:w="914"/>
        <w:gridCol w:w="138"/>
        <w:gridCol w:w="109"/>
        <w:gridCol w:w="109"/>
        <w:gridCol w:w="109"/>
        <w:gridCol w:w="489"/>
        <w:gridCol w:w="1714"/>
        <w:gridCol w:w="256"/>
        <w:gridCol w:w="109"/>
        <w:gridCol w:w="109"/>
        <w:gridCol w:w="109"/>
        <w:gridCol w:w="211"/>
        <w:gridCol w:w="72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518"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414"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pPr>
            <w:r>
              <w:rPr>
                <w:rFonts w:ascii="Times New Roman;sans-serif" w:hAnsi="Times New Roman;sans-serif"/>
                <w:b/>
                <w:color w:val="000000"/>
                <w:sz w:val="20"/>
              </w:rPr>
              <w:t>Accumulated Amortization</w:t>
            </w:r>
            <w:r>
              <w:rPr>
                <w:color w:val="000000"/>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(32,390)</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(44,963)</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32" w:type="dxa"/>
        <w:jc w:val="left"/>
        <w:tblInd w:w="0" w:type="dxa"/>
        <w:tblLayout w:type="fixed"/>
        <w:tblCellMar>
          <w:top w:w="28" w:type="dxa"/>
          <w:left w:w="28" w:type="dxa"/>
          <w:bottom w:w="28" w:type="dxa"/>
          <w:right w:w="28" w:type="dxa"/>
        </w:tblCellMar>
      </w:tblPr>
      <w:tblGrid>
        <w:gridCol w:w="874"/>
        <w:gridCol w:w="769"/>
        <w:gridCol w:w="771"/>
        <w:gridCol w:w="267"/>
        <w:gridCol w:w="914"/>
        <w:gridCol w:w="138"/>
        <w:gridCol w:w="109"/>
        <w:gridCol w:w="109"/>
        <w:gridCol w:w="109"/>
        <w:gridCol w:w="489"/>
        <w:gridCol w:w="1714"/>
        <w:gridCol w:w="256"/>
        <w:gridCol w:w="109"/>
        <w:gridCol w:w="109"/>
        <w:gridCol w:w="109"/>
        <w:gridCol w:w="211"/>
        <w:gridCol w:w="72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14"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pPr>
            <w:r>
              <w:rPr>
                <w:rFonts w:ascii="Times New Roman;sans-serif" w:hAnsi="Times New Roman;sans-serif"/>
                <w:b/>
                <w:color w:val="000000"/>
                <w:sz w:val="20"/>
              </w:rPr>
              <w:t>Accumulated Amortization</w:t>
            </w:r>
            <w:r>
              <w:rPr>
                <w:color w:val="000000"/>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(28,835)</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(40,028)</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intangible assets, amortized over an average useful life of ten years, resulted in amortization expense of $1.6 million for the three months ended September 30, 2023 and 2022 and $4.9 million for the nine months ended September 30, 2023 and 2022, all of which is included in Depreciation and amortization in the Condensed Consolidated Statements of Operations. Amortization of intangible assets held at September 30, 2023 is expected to be $6.6 million for each of the years ending December 31, 2023, 2024, and 2025, and $6.0 million for the year ending December 31, 2026. These intangible assets will be fully amortized by November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Note 6—Regulatory Requirements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number of consolidated subsidiaries registered as broker-dealers with regulatory agencies in their respective countries, including the SEC, the Financial Industry Regulatory Authority (“FINRA”), the Canadian Investment Regulatory Organization (“CIRO,” formerly the Investment Industry Regulatory Organization of Canada or “IIROC”), the Financial Conduct Authority (“FCA”) of the U.K. and the Autorité de contrôle prudentiel et de resolution (“ACPR”) of France. None of the SEC regulated subsidiaries hold funds or securities for, or owe money or securities to clients or carry accounts of or for clients, and as such are all exempt from the SEC Customer Protection Rule (Rule 15c3-3). As of September 30, 2023 and December 31, 2022, all regulated subsidiaries were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7—Fixed Assets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Fixed assets are recorded at cost less accumulated depreciation and amortization and consist of the following as of September 30, 2023 and December 31, 2022:</w:t>
      </w:r>
    </w:p>
    <w:tbl>
      <w:tblPr>
        <w:tblW w:w="8021" w:type="dxa"/>
        <w:jc w:val="left"/>
        <w:tblInd w:w="0" w:type="dxa"/>
        <w:tblLayout w:type="fixed"/>
        <w:tblCellMar>
          <w:top w:w="28" w:type="dxa"/>
          <w:left w:w="28" w:type="dxa"/>
          <w:bottom w:w="28" w:type="dxa"/>
          <w:right w:w="28" w:type="dxa"/>
        </w:tblCellMar>
      </w:tblPr>
      <w:tblGrid>
        <w:gridCol w:w="1505"/>
        <w:gridCol w:w="1322"/>
        <w:gridCol w:w="1328"/>
        <w:gridCol w:w="358"/>
        <w:gridCol w:w="1226"/>
        <w:gridCol w:w="185"/>
        <w:gridCol w:w="109"/>
        <w:gridCol w:w="109"/>
        <w:gridCol w:w="109"/>
        <w:gridCol w:w="344"/>
        <w:gridCol w:w="1175"/>
        <w:gridCol w:w="251"/>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77,625 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76,389 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117,344 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120,029 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3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82,433 </w:t>
            </w:r>
          </w:p>
        </w:tc>
        <w:tc>
          <w:tcPr>
            <w:tcW w:w="1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48,390 </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fixed assets was $2.0 million and $5.0 million for the three and nine months ended September 30, 2023, respectively, and $0.6 million and $2.4 million for the three and nine months ended September 30, 2022, respectively. Amortization expense related to software costs was $0.1 million and $0.3 million for the three and nine months ended September 30, 2023, respectively, and $0.3 million and $0.8 million for the three and nine months ended September 30, 2022, respectively.</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disposed of certain assets, substantially all of which were fully depreciated and related to the renovations and relocation of the New York and London office space. Leasehold improvement assets capitalized during the nine months ended September 30, 2023 were largely related to build-out projects associated with new or amended office leases in New York and London. Refer to Note 4—Leases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8—Income Taxes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tax position for the periods presented: </w:t>
      </w:r>
    </w:p>
    <w:tbl>
      <w:tblPr>
        <w:tblW w:w="8823" w:type="dxa"/>
        <w:jc w:val="left"/>
        <w:tblInd w:w="0" w:type="dxa"/>
        <w:tblLayout w:type="fixed"/>
        <w:tblCellMar>
          <w:top w:w="28" w:type="dxa"/>
          <w:left w:w="28" w:type="dxa"/>
          <w:bottom w:w="28" w:type="dxa"/>
          <w:right w:w="28" w:type="dxa"/>
        </w:tblCellMar>
      </w:tblPr>
      <w:tblGrid>
        <w:gridCol w:w="1037"/>
        <w:gridCol w:w="910"/>
        <w:gridCol w:w="918"/>
        <w:gridCol w:w="211"/>
        <w:gridCol w:w="796"/>
        <w:gridCol w:w="271"/>
        <w:gridCol w:w="109"/>
        <w:gridCol w:w="109"/>
        <w:gridCol w:w="109"/>
        <w:gridCol w:w="211"/>
        <w:gridCol w:w="691"/>
        <w:gridCol w:w="271"/>
        <w:gridCol w:w="109"/>
        <w:gridCol w:w="109"/>
        <w:gridCol w:w="109"/>
        <w:gridCol w:w="211"/>
        <w:gridCol w:w="796"/>
        <w:gridCol w:w="271"/>
        <w:gridCol w:w="109"/>
        <w:gridCol w:w="109"/>
        <w:gridCol w:w="109"/>
        <w:gridCol w:w="211"/>
        <w:gridCol w:w="721"/>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86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12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(23,929)</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(68,876)</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3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overall effective tax rate in each of the periods presented above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(ii) a portion of the Company’s compensation expense is non-deductible for tax purposes, and (iii) during the nine months ended September 30, 2023, the Company recognized a previously unrecognized tax benefit at one of its foreign subsidiaries, as referenced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recorded a liability for unrecognized tax benefits of $3.6 million and $5.6 million, respectively, related to potential double taxation at certain of its foreign subsidiaries. During the nine months ended September 30, 2023, the Company favorably resolved an inquiry from a taxing authority, which caused the Company to change its assessment of the technical merits of this tax position at one of its foreign subsidiaries. The Company does not expect there to be any material changes to uncertain tax positions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9—Stockholders’ Equity</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approved a stock repurchase program on February 16, 2022 under which the Company is authorized to repurchase up to $100.0 million of the Company’s Class A common stock, and on February 8, 2023, the Board approved an incremental $100.0 million, in each case with no requirement to purchase any minimum number of shares. The manner, timing, pricing and amount of any transactions will be subject to the Company’s discretion. During the nine months ended September 30, 2023, the Company purchased 2,376,683 shares resulting in an increase of $22.5 million, at cost, to Treasury stock on the Company’s Condensed Consolidated Statement of Financial Condition. No shares were purchased during the three months ended September 30, 2023. During the three and nine months ended September 30, 2022, the Company purchased 1,289,459 and 7,729,666 shares, respectively, resulting in an increase of $8.5 million and $53.8 million, respectively, at cost, to Treasury stock on the Company’s Condensed Consolidated Statement of Financial Condition. The 11,920,699 shares purchased since inception of the share repurchase program through September 30, 2023 were purchased at an average price per share of $7.65.</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 owns less than 100% of the economic interests in PWP OpCo with the remaining interests held by non-controlling interests. As of September 30, 2023, PWP held a 50.2% ownership interest in PWP OpCo. Professional Partners and the ILPs owned 42,880,015 PWP OpCo Units as of September 30, 2023, which represented a 49.8% non-controlling ownership interest in PWP OpCo. These PWP OpCo Units are exchangeable into PWP Class A common stock on a one-for-one basis. Class B-1 and Class B-2 common stock have de minimis economic rights.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PWP OpCo Limited Partnership Agreement</w:t>
      </w:r>
    </w:p>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Exchange Rights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Amended and Restated Agreement of Limited Partnership of PWP OpCo, dated as of June 24, 2021 (as amended, restated, modified or supplemented from time to time, the “PWP OpCo LPA”), holders of PWP OpCo Units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the Company’s option) which will be delivered to such PWP OpCo Unitholder at a conversion rate of 0.001.</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21, 2022, the Company closed a follow-on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settle an exchange of certain PWP OpCo Units and certain shares of Class B common stock. Under the terms of the underwriting agreement, directors, officers and certain significant shareholders signed customary lockup agreements with respect to their ownership of Class A common stock. Total deferred offering costs of $1.3 million for the Offering were netted against the proceeds of the offering in Additional paid-in-capital on the Condensed Consolidated Statements of Financial Condition.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settled exchanges of certain PWP OpCo Units and certain shares of Class B common stock for 898,898 and 1,685,542 shares, respectively, during the three and nine months ended September 30, 2023, and 764,873 and 1,731,512 shares, respectively, during the three and nine months ended September 30, 2022, of Class A common stock. The exchanges created a step-up in tax basis for which the Company recorded on the Condensed Consolidated Statements of Financial Condition an increase in Deferred tax assets, net, as well as a related increase in Amounts due pursuant to the tax receivable agreement resulting in a net increase to Additional paid-in-capital.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10—Debt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no outstanding debt. The Company has a revolving credit facility (the “Revolving Credit Facility”) through a credit agreement with Cadence Bank, N.A. (“Cadence Bank”), dated November 30, 2016 (as amended, the “Credit Agreement”), with an available line of credit of $50 million with up to $20 million of available incremental revolving commitments. The Company incurred $1.8 million in issuance costs related to the Credit Agreement, which were amortized as interest expense using the effective interest method over the life of the Revolving Credit Facility. Interest expense related to the Revolving Credit Facility was immaterial during the three and nine months ended September 30, 2023 and September 30, 2022 and is included within Other income (expense) on the Condensed Consolidated Statements of Operations. Unamortized debt issuance costs of $0.3 million and $0.4 million, as of September 30, 2023 and December 31, 2022, respectively are reported within Prepaid expenses and other assets on the Condensed Consolidated Statements of Financial Position. On June 30, 2023, the Credit Agreement was amended to provide for Term SOFR as the replacement benchmark rate for LIBOR, such that future SOFR-based loans will accrue interest at Term SOFR plus (i) a 0.10%-0.25% per annum spread based on interest payment frequency (with an adjusted Term SOFR floor of 0.25%) and (ii) a fixed rate of 2.00%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11—Warrants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Warrant Exchange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had no warrants outstanding. On August 23, 2022, the Company concluded an offer to holders of its outstanding warrants which provided such holders the opportunity to receive 0.20 shares of the Company’s Class A common stock in exchange for each warrant tendered by such holders. This offer coincided with a solicitation of consents from holders of the public warrants to amend the warrant agreement (together, the “Warrant Exchange Offer”). Further information regarding the Company’s warrants is described in Note 12—Warrants in the Notes to Consolidated Financial Statements in “Part II. Item 8. Financial Statements and Supplementary Data” in the Company’s Annual Report on Form 10-K for the year ended December 31, 2022. </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Prior to Warrant Exchange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Warrant Exchange Offer, each warrant entitled the registered holder to purchase one share of Class A common stock at an exercise price of $11.50 per share. The warrants met the definition of a derivative under ASC Topic 815, Derivatives and Hedging, and as such, the Company recorded these warrants as liabilities at fair value upon the closing of the Business Combination in accordance with ASC Topic 820, Fair Value Measurement, with subsequent changes in their respective fair values recorded in Change in fair value of warrant liabilities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12—Equity-Based Compensation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regarding the Company’s equity-based compensation awards is described in Note 13—Equity-Based Compensation in the Notes to Consolidated Financial Statements in “Part II. Item 8. Financial Statements and Supplementary Data” in the Company’s Annual Report on Form 10-K for the year ended December 31, 2022.</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Business Combination, the Company adopted the Perella Weinberg Partners 2021 Omnibus Incentive Plan (the “PWP Incentive Plan”), which establishes a plan for the granting of incentive compensation awards measured by reference to PWP Class A common stock (“PWP Incentive Plan Awards”). Under the PWP Incentive Plan, the Company may grant options, stock appreciation rights, restricted stock, restricted stock units (“RSUs”), performance restricted stock units (“PSUs”), stock bonuses, other stock-based awards, cash awards or any combination of the foregoing. The PWP Incentive Plan established a reserve for a one-time grant of awards that occurred in connection with the Business Combination (the “Transaction Pool Reserve”) as well as a reserve for general purpose grants (the “General Share Reserve”).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2021, in connection with the Business Combination, the Company granted awards (the “Business Combination Awards”) in the form of (i) restricted stock units out of the Transaction Pool Reserve consisting of (a) PSUs that only vest upon the achievement of both service and market conditions and (b) RSUs that vest upon the achievement of service conditions as well as (ii) PSUs out of the General Share Reserve to certain executives and a small number of other partners that vest upon the achievement of both service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RSU awards out of the General Share Reserve from time to time, which vest upon the achievement of service conditions. Additionally, during the nine months ended September 30, 2023, the Company granted PSUs from the General Share Reserve that vest upon the achievement of both service and market conditions. During the nine months ended September 30, 2023 and 2022, the Company granted 8,971,251 and 6,724,820 awards, respectively, from the General Share Reserve at a weighted average grant date fair value of $9.75 and $9.83 per award, respectively.</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Professional Partners granted certain equity-based awards to partners providing services to PWP OpCo (the “Legacy Awards”). In connection with the Business Combination, existing Legacy Awards were canceled and replaced by converting each limited partner’s capital interests in Professional Partners attributable to PWP OpCo into various capital units (“Professional Partners Awards”).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amended the vesting conditions of certain equity-based awards. The amendment resulted in a modification of the awards under ASC Topic 718, Compensation—Stock Compensation, which will result in net incremental compensation cost of $10.2 million to be recognized over the remaining requisite service period.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total unrecognized compensation expense related to all unvested equity-based awards was $322.2 million, which is expected to be recognized over a weighted average period of 2.3 years.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expense related to awards that were recorded in Professional fees and components of Equity-based compensation included on the Condensed Consolidated Statements of Operations:</w:t>
      </w:r>
    </w:p>
    <w:tbl>
      <w:tblPr>
        <w:tblW w:w="8939" w:type="dxa"/>
        <w:jc w:val="left"/>
        <w:tblInd w:w="0" w:type="dxa"/>
        <w:tblLayout w:type="fixed"/>
        <w:tblCellMar>
          <w:top w:w="28" w:type="dxa"/>
          <w:left w:w="28" w:type="dxa"/>
          <w:bottom w:w="28" w:type="dxa"/>
          <w:right w:w="28" w:type="dxa"/>
        </w:tblCellMar>
      </w:tblPr>
      <w:tblGrid>
        <w:gridCol w:w="1284"/>
        <w:gridCol w:w="1127"/>
        <w:gridCol w:w="112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Professional fees</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PWP Incentive Plan Awards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Professional fees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Equity-based compensation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PWP Incentive Plan Awards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ans-serif" w:hAnsi="Times New Roman;sans-serif"/>
                <w:b w:val="false"/>
                <w:color w:val="000000"/>
                <w:sz w:val="20"/>
              </w:rPr>
              <w:t>Legacy Awards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ans-serif" w:hAnsi="Times New Roman;sans-serif"/>
                <w:b w:val="false"/>
                <w:color w:val="000000"/>
                <w:sz w:val="20"/>
              </w:rPr>
              <w:t>Professional Partners Awards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Equity-based compensation</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of equity-based awards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40" w:before="60" w:after="283"/>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(1)The vesting of these awards does not dilute Perella Weinberg Partners shareholders relative to Professional Partners. As such the related equity-based compensation expense is fully attributed to non-controlling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13—Other Compensation and Benefits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 includes, but is not limited to, salaries, bonuses (discretionary awards and guaranteed amounts), severance, deferred compensation, benefits and payroll taxes. In all instances, compensation expense is accrued over the requisite service period.</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Benefit Plans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 Expenses related to the Company’s employee benefit plans were $1.7 million and $5.1 million for the three and nine months ended September 30, 2023, respectively, and $1.5 million and $4.4 million for the three and nine months ended September 30, 2022, respectively, and are included in Compensation and benefits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Realignment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the Company began a review of the business, which is resulting in employee reductions in order to improve compensation alignment and to provide greater flexibility to advance strategic opportunities (the “Business Realignment”).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Business Realignment and for the three and nine months ended September 30, 2023, the Company incurred expenses related to separation and transition benefits of $3.6 million and $7.5 million, respectively, and the acceleration of equity-based compensation amortization (net of forfeitures) of $2.8 million and $4.0 million, respectively. Such amounts are presented in Compensation and benefits and Equity-based compensation on the Condensed Consolidated Statements of Operations. Approximately $18 million of additional expense is expected to be incurred during the remainder of 2023. This estimate is based on certain assumptions, and actual results may differ materially if unanticipated costs are incurred related to the Business Realignment.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Accrued compensation and benefits on the Condensed Consolidated Statements of Financial Condition included $4.0 million related to the Business Realignment. Payments of $3.0 million were made during the nine months ended September 30, 2023 related to the Business Realignment.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Note 14—Net Income (Loss) Per Share Attributable to Class A Common Shareholders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calculations of basic and diluted net income (loss) per share attributable to Class A common shareholders are presented below:</w:t>
      </w:r>
    </w:p>
    <w:tbl>
      <w:tblPr>
        <w:tblW w:w="10205" w:type="dxa"/>
        <w:jc w:val="left"/>
        <w:tblInd w:w="0" w:type="dxa"/>
        <w:tblLayout w:type="fixed"/>
        <w:tblCellMar>
          <w:top w:w="28" w:type="dxa"/>
          <w:left w:w="28" w:type="dxa"/>
          <w:bottom w:w="28" w:type="dxa"/>
          <w:right w:w="28" w:type="dxa"/>
        </w:tblCellMar>
      </w:tblPr>
      <w:tblGrid>
        <w:gridCol w:w="1659"/>
        <w:gridCol w:w="1375"/>
        <w:gridCol w:w="1383"/>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65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1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Perella Weinberg Partners – basic</w:t>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from assumed exchange of PWP OpCo Units,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Perella Weinberg Partners – diluted</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(17,271)</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44,241,794 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incremental shares from assumed exchange of PWP OpCo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46,293,438 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 – diluted</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86,647,697 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87,745,776 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86,593,581 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90,535,232 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Class A common shareholders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share attributable to Class B common shareholders has not been presented as these shares are entitled to an insignificant amount of economic participation.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treasury stock method to determine the potential dilutive effect of unvested PWP Incentive Plan Awards and outstanding warrants (prior to the Warrant Exchange Offer)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tbl>
      <w:tblPr>
        <w:tblW w:w="8383" w:type="dxa"/>
        <w:jc w:val="left"/>
        <w:tblInd w:w="0" w:type="dxa"/>
        <w:tblLayout w:type="fixed"/>
        <w:tblCellMar>
          <w:top w:w="28" w:type="dxa"/>
          <w:left w:w="28" w:type="dxa"/>
          <w:bottom w:w="28" w:type="dxa"/>
          <w:right w:w="28" w:type="dxa"/>
        </w:tblCellMar>
      </w:tblPr>
      <w:tblGrid>
        <w:gridCol w:w="858"/>
        <w:gridCol w:w="754"/>
        <w:gridCol w:w="757"/>
        <w:gridCol w:w="488"/>
        <w:gridCol w:w="488"/>
        <w:gridCol w:w="206"/>
        <w:gridCol w:w="206"/>
        <w:gridCol w:w="206"/>
        <w:gridCol w:w="206"/>
        <w:gridCol w:w="417"/>
        <w:gridCol w:w="409"/>
        <w:gridCol w:w="220"/>
        <w:gridCol w:w="109"/>
        <w:gridCol w:w="109"/>
        <w:gridCol w:w="109"/>
        <w:gridCol w:w="488"/>
        <w:gridCol w:w="488"/>
        <w:gridCol w:w="190"/>
        <w:gridCol w:w="190"/>
        <w:gridCol w:w="190"/>
        <w:gridCol w:w="190"/>
        <w:gridCol w:w="413"/>
        <w:gridCol w:w="413"/>
        <w:gridCol w:w="279"/>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846"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ans-serif" w:hAnsi="Times New Roman;sans-serif"/>
                <w:b w:val="false"/>
                <w:color w:val="000000"/>
                <w:sz w:val="20"/>
              </w:rPr>
              <w:t>Warrants</w:t>
            </w:r>
            <w:r>
              <w:rPr>
                <w:rFonts w:ascii="Times New Roman;sans-serif" w:hAnsi="Times New Roman;sans-serif"/>
                <w:b w:val="false"/>
                <w:color w:val="000000"/>
                <w:sz w:val="13"/>
              </w:rPr>
              <w:t>(1)</w:t>
            </w:r>
          </w:p>
        </w:tc>
        <w:tc>
          <w:tcPr>
            <w:tcW w:w="11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PWP Incentive Plan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2,682,303 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1,561,627 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155,527 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2,682,303 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129,712 </w:t>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1,561,627 </w:t>
            </w:r>
          </w:p>
        </w:tc>
        <w:tc>
          <w:tcPr>
            <w:tcW w:w="1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155,527 </w:t>
            </w:r>
          </w:p>
        </w:tc>
        <w:tc>
          <w:tcPr>
            <w:tcW w:w="2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40" w:before="60" w:after="283"/>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(1)Prior to the Warrant Exchange Offer on August 23, 2022, the warrants were out-of-the-money which resulted in no potentially dilutive shares under the treasury stock method. For the three and nine months ended September 30, 2023, the warrants were not outstanding, and thus, they are not applicable. Refer to Note 11—Warrants for further information regarding the Warrant Exchange Offer.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15—Fair Value Measurements and Investments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measured and reported at fair value are classified and disclosed in one of the following categories (from highest to lowest) based on inputs:</w:t>
      </w:r>
    </w:p>
    <w:p>
      <w:pPr>
        <w:pStyle w:val="TextBody"/>
        <w:bidi w:val="0"/>
        <w:spacing w:lineRule="auto" w:line="240"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Unadjusted quoted prices are available in active markets for identical financial instruments as of the reporting date. </w:t>
      </w:r>
    </w:p>
    <w:p>
      <w:pPr>
        <w:pStyle w:val="TextBody"/>
        <w:bidi w:val="0"/>
        <w:spacing w:lineRule="auto" w:line="240"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Pricing inputs are observable inputs other than quoted prices included in Level 1, such as quoted prices for similar assets or liabilities in active markets or quoted prices for identical assets or liabilities in inactive markets. </w:t>
      </w:r>
    </w:p>
    <w:p>
      <w:pPr>
        <w:pStyle w:val="TextBody"/>
        <w:bidi w:val="0"/>
        <w:spacing w:lineRule="auto" w:line="240"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fair values of cash, restricted cash, accounts receivable, due from related parties, accounts payable and certain accrued liabilities approximate their carrying amounts due to the short-term nature of these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categorization and fair value estimate of the Company’s financial instruments that are measured on a recurring basis pursuant to the above fair value hierarchy levels as of September 30, 2023 and December 31, 2022:</w:t>
      </w:r>
    </w:p>
    <w:tbl>
      <w:tblPr>
        <w:tblW w:w="6750" w:type="dxa"/>
        <w:jc w:val="left"/>
        <w:tblInd w:w="0" w:type="dxa"/>
        <w:tblLayout w:type="fixed"/>
        <w:tblCellMar>
          <w:top w:w="28" w:type="dxa"/>
          <w:left w:w="28" w:type="dxa"/>
          <w:bottom w:w="28" w:type="dxa"/>
          <w:right w:w="28" w:type="dxa"/>
        </w:tblCellMar>
      </w:tblPr>
      <w:tblGrid>
        <w:gridCol w:w="786"/>
        <w:gridCol w:w="692"/>
        <w:gridCol w:w="696"/>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576"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174"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7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346" w:type="dxa"/>
        <w:jc w:val="left"/>
        <w:tblInd w:w="0" w:type="dxa"/>
        <w:tblLayout w:type="fixed"/>
        <w:tblCellMar>
          <w:top w:w="28" w:type="dxa"/>
          <w:left w:w="28" w:type="dxa"/>
          <w:bottom w:w="28" w:type="dxa"/>
          <w:right w:w="28" w:type="dxa"/>
        </w:tblCellMar>
      </w:tblPr>
      <w:tblGrid>
        <w:gridCol w:w="1653"/>
        <w:gridCol w:w="1447"/>
        <w:gridCol w:w="1460"/>
        <w:gridCol w:w="213"/>
        <w:gridCol w:w="411"/>
        <w:gridCol w:w="110"/>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786"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560"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 </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5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(2)</w:t>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surrender value of company-owned life insurance</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40" w:before="60" w:after="283"/>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(1)Consists of U.S. Treasury bills and notes that mature on various dates in January 2024.</w:t>
      </w:r>
    </w:p>
    <w:p>
      <w:pPr>
        <w:pStyle w:val="TextBody"/>
        <w:bidi w:val="0"/>
        <w:spacing w:lineRule="auto" w:line="240" w:before="60" w:after="283"/>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(2)Consists of U.S. Treasury notes that matured on January 31, 2023.</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transfers between fair value levels during the three and nine months ended September 30, 2023 and 2022.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in U.S. Treasury securities is presented within Investments in short-term marketable debt securities on the Condensed Consolidated Statements of Financial Condition, and the aggregate cost basis of the investment was $69.1 million and $139.2 million as of September 30, 2023 and December 31, 2022, respectively. The Company had net realized and unrealized gains (losses) on these investments of $0.8 million and $1.5 million for the three and nine months ended September 30, 2023, respectively, and $0.3 million and $0.1 million for the three and nine months ended September 30, 2022.</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cash surrender value of company-owned life insurance was included in Prepaid expenses and other assets on the Condensed Consolidated Statements of Financial Condition at the amount that could be realized under the contract as of December 31, 2022, which approximated fair value.</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Equity Method Investments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applied the equity method of accounting to its investment in PFAC Holdings I LLC (“PFAC Holdings”), an indirect parent of PWP Forward Acquisition Corp. I (“PFAC”), a special purpose acquisition company. On December 13, 2022, PFAC was dissolved and as a result the Company wrote off its investment in PFAC Holdings. Prior to dissolution, the Company recorded its share of earnings of PFAC Holdings in Other income (expense)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Note 16—Related Party Transactions </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PWP Capital Holdings LP</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w:t>
      </w:r>
    </w:p>
    <w:p>
      <w:pPr>
        <w:pStyle w:val="TextBody"/>
        <w:bidi w:val="0"/>
        <w:spacing w:lineRule="auto" w:line="240" w:before="240" w:after="240"/>
        <w:ind w:left="0" w:right="0" w:firstLine="720"/>
        <w:jc w:val="both"/>
        <w:rPr/>
      </w:pPr>
      <w:r>
        <w:rPr>
          <w:rFonts w:ascii="Times New Roman;sans-serif" w:hAnsi="Times New Roman;sans-serif"/>
          <w:b w:val="false"/>
          <w:i/>
          <w:color w:val="000000"/>
          <w:sz w:val="20"/>
        </w:rPr>
        <w:t>TSA Agreement</w:t>
      </w:r>
      <w:r>
        <w:rPr>
          <w:color w:val="000000"/>
        </w:rPr>
        <w:t xml:space="preserve"> – </w:t>
      </w:r>
      <w:r>
        <w:rPr>
          <w:rFonts w:ascii="Times New Roman;sans-serif" w:hAnsi="Times New Roman;sans-serif"/>
          <w:b w:val="false"/>
          <w:color w:val="000000"/>
          <w:sz w:val="20"/>
        </w:rPr>
        <w:t>In connection with the Separation, the Company entered into a transition services agreement (the “TSA”) with PWP Capital Holdings LP under which the Company agreed to provide certain administrative services to PWP Capital Holdings LP.</w:t>
      </w:r>
    </w:p>
    <w:p>
      <w:pPr>
        <w:pStyle w:val="TextBody"/>
        <w:bidi w:val="0"/>
        <w:spacing w:lineRule="auto" w:line="240" w:before="240" w:after="240"/>
        <w:ind w:left="0" w:right="0" w:firstLine="720"/>
        <w:jc w:val="both"/>
        <w:rPr/>
      </w:pPr>
      <w:r>
        <w:rPr>
          <w:rFonts w:ascii="Times New Roman;sans-serif" w:hAnsi="Times New Roman;sans-serif"/>
          <w:b w:val="false"/>
          <w:i/>
          <w:color w:val="000000"/>
          <w:sz w:val="20"/>
        </w:rPr>
        <w:t xml:space="preserve">Sublease Income </w:t>
      </w:r>
      <w:r>
        <w:rPr>
          <w:color w:val="000000"/>
        </w:rPr>
        <w:t xml:space="preserve">– </w:t>
      </w:r>
      <w:r>
        <w:rPr>
          <w:rFonts w:ascii="Times New Roman;sans-serif" w:hAnsi="Times New Roman;sans-serif"/>
          <w:b w:val="false"/>
          <w:color w:val="000000"/>
          <w:sz w:val="20"/>
        </w:rPr>
        <w:t>In connection with the Separation, the Company subleases a portion of its office space at its New York location to PWP Capital Holdings LP. Sublease rent payments are due monthly and are based on PWP Capital Holdings LP’s pro-rata portion of the underlying lease agreements including base rent as well as other lease related charges. See additional information regarding the subleases in Note 4—Leases.</w:t>
      </w:r>
    </w:p>
    <w:p>
      <w:pPr>
        <w:pStyle w:val="TextBody"/>
        <w:bidi w:val="0"/>
        <w:spacing w:lineRule="auto" w:line="240" w:before="240" w:after="240"/>
        <w:ind w:left="0" w:right="0" w:firstLine="720"/>
        <w:jc w:val="both"/>
        <w:rPr/>
      </w:pPr>
      <w:r>
        <w:rPr>
          <w:rFonts w:ascii="Times New Roman;sans-serif" w:hAnsi="Times New Roman;sans-serif"/>
          <w:b w:val="false"/>
          <w:i/>
          <w:color w:val="000000"/>
          <w:sz w:val="20"/>
        </w:rPr>
        <w:t>Compensation Arrangements</w:t>
      </w:r>
      <w:r>
        <w:rPr>
          <w:color w:val="000000"/>
        </w:rPr>
        <w:t xml:space="preserve"> – </w:t>
      </w:r>
      <w:r>
        <w:rPr>
          <w:rFonts w:ascii="Times New Roman;sans-serif" w:hAnsi="Times New Roman;sans-serif"/>
          <w:b w:val="false"/>
          <w:color w:val="000000"/>
          <w:sz w:val="20"/>
        </w:rPr>
        <w:t>In addition, PWP Capital Holdings LP has entered into an arrangement with certain employees of the Company, including members of management, related to services provided directly to PWP Capital Holdings LP. With respect to services provided to PWP Capital Holdings LP, the amounts paid and payable to such employees now and in the future are recognized by PWP Capital Holdings LP. All compensation related to services these employees provide to the Company are included in Compensation and benefits in the Condensed Consolidated Statements of Operations.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due from PWP Capital Holdings LP are reflected as Due from related parties on the Condensed Consolidated Statements of Financial Condition.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income from PWP Capital Holdings LP reported within Related party income in the Condensed Consolidated Statements of Operations for the periods presented:</w:t>
      </w:r>
    </w:p>
    <w:tbl>
      <w:tblPr>
        <w:tblW w:w="8085" w:type="dxa"/>
        <w:jc w:val="left"/>
        <w:tblInd w:w="0" w:type="dxa"/>
        <w:tblLayout w:type="fixed"/>
        <w:tblCellMar>
          <w:top w:w="28" w:type="dxa"/>
          <w:left w:w="28" w:type="dxa"/>
          <w:bottom w:w="28" w:type="dxa"/>
          <w:right w:w="28" w:type="dxa"/>
        </w:tblCellMar>
      </w:tblPr>
      <w:tblGrid>
        <w:gridCol w:w="1364"/>
        <w:gridCol w:w="1199"/>
        <w:gridCol w:w="1202"/>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76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 income – Compensation related</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 income – Non-compensation related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PWP Capital Holdings LP</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September 30, 2023, the Company had an amount due of $28.8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 of Financial Condition. The Company expects to make the following payments with respect to the tax receivable agreement, which are exclusive of potential payments in respect of future exchanges and may differ significantly from actual payments made:</w:t>
      </w:r>
    </w:p>
    <w:tbl>
      <w:tblPr>
        <w:tblW w:w="6464" w:type="dxa"/>
        <w:jc w:val="left"/>
        <w:tblInd w:w="0" w:type="dxa"/>
        <w:tblLayout w:type="fixed"/>
        <w:tblCellMar>
          <w:top w:w="28" w:type="dxa"/>
          <w:left w:w="28" w:type="dxa"/>
          <w:bottom w:w="28" w:type="dxa"/>
          <w:right w:w="28" w:type="dxa"/>
        </w:tblCellMar>
      </w:tblPr>
      <w:tblGrid>
        <w:gridCol w:w="607"/>
        <w:gridCol w:w="534"/>
        <w:gridCol w:w="539"/>
        <w:gridCol w:w="929"/>
        <w:gridCol w:w="3177"/>
        <w:gridCol w:w="678"/>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Years Ending:</w:t>
            </w:r>
          </w:p>
        </w:tc>
        <w:tc>
          <w:tcPr>
            <w:tcW w:w="478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Estimated Payments Under Tax Receivable Agreement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9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1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410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41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23,076 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9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6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Partner Promissory Notes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one of its affiliates. As the Partner Promissory Notes and associated interest receivable relate to equity transactions, they have been recognized as a reduction of equity on the Condensed Consolidated Statements of Financial Condition in the amount of $2.1 million and $3.5 million as of September 30, 2023 and December 31, 2022, respectively. During the nine months ended September 30, 2023 and 2022, certain partners effectively repaid $1.5 million and $2.6 million respectively, of principal and interest related to Partner Promissory Notes by foregoing the amount due from their respective deferred compensation agreements.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Other Partner Loans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PWP OpCo agreed to provide loans to certain partners. As of September 30, 2023 and December 31, 2022, $3.5 million and $3.4 million, respectively, of outstanding loans to certain partners and related interest receivable are recognized in Due from related parties on the Condensed Consolidated Statements of Financial Condition.</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lineRule="auto" w:line="240"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paid $0.5 million to an entity controlled by a member of the Board of Directors to reimburse a portion of expenses incurred by that entity in connection with the joint pursuit of a potential investment opportunity.</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U.K. subsidiary, Perella Weinberg UK Limited, Professional Partners and certain partners (including one partner who serves as a Company director and president) are party to a reimbursement agreement, pursuant to which such partners directed Professional Partners to pay distributions related to certain of their Professional Partners Awards first to a subsidiary of the Company, so that the subsidiary can make employment income tax payments on such distributions to the appropriate non-U.S.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Note 17—Commitments and Contingencies </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Loan Guarantees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no outstanding guarantees. Prior to September 30, 2023, the Company unconditionally guaranteed certain of its partners’ loans with First Republic Bank (“Lender”) whereby it promised to pay the Lender upon the occurrence of a default event. These guarantees were secured by the partners’ interests in Professional Partners. The total guaranteed amount related to partners was $1.6 million as of December 31, 2022 and no loans were in default.</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certain contracts that contain a variety of indemnification provisions. The Company’s maximum exposure under these arrangements is unknown. As of September 30, 2023 and December 31, 2022, the Company expects no claims or losses pursuant to these contracts; therefore, no liability has been recorded related to these indemnification provisions. </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September 30, 2023 and December 31, 2022 and for the three and nine months ended September 30, 2023 and 2022.</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“Defendants”) in New York Supreme Court, Commercial Division (the “Court”). The complaint 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contractual and fiduciary breaches, and from Defendants' unfair competition and tortious interference with the PWP Plaintiffs’ contracts and client relationships.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9, 2015, Defendants filed an Answer, Counterclaims, Cross-claims and a Third-Party Complaint, which contained 14 causes of action. On July 17, 2016, the Court issued a decision, dismissing half of Defendants’ claims with prejudice. On August 18, 2016, Defendants filed an Amended Answer, Counterclaims, Cross-claims and Third-Party Complaint, with seven counterclaims and cross-claims. On December 12, 2016, Defendants appealed the dismissal of three of their counterclaims and cross-claims to the New York Appellate Division, First Department (the “First Department”). On August 29, 2017, the First Department issued a decision denying Defendants’ appeal other than allowing one Defendant to proceed with his breach of fiduciary duty counterclaim. On October 27, 2017, Defendants moved the First Department for leave to appeal its decision to the New York Court of Appeals. On December 28, 2017, the First Department denied Defendants’ motion for leave. On April 24, 2018, Defendants filed a Second Amended Answer, Counterclaims, Cross-claims and Third-Party Complaint, with eight counterclaims and cross-claims. Defendants are seeking declaratory relief and damages of no less than $60.0 million, as well as statutory interest. In addition, on January 19, 2022, Defendants filed a motion for leave to renew their New York Labor Law counterclaim that the Court dismissed in 2016. On June 30, 2023, the Court issued a decision denying Defendants’ motion for leave.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Discovery is complete. Both the PWP Plaintiffs and Defendants subsequently moved for summary judgment. On March 20, 2020, the parties completed briefing of their respective motions. The Court held oral argument on the motions on May 27, 2021. On May 24, 2023, the Court issued a decision and order on both motions for summary judgment (the “Summary Judgment Decision”). The Court granted the PWP Plaintiffs’ motion with respect to the restrictive covenants in the PWP Plaintiffs’ agreements, finding that they are valid and enforceable, and otherwise denied the motion. The Court denied Defendants’ motion in its entirety. On July 25, 2023, Defendants filed a notice of appeal of the Summary Judgment Decision.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 and Where Otherwise Noted)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14 causes of action are meritorious. Further, we believe that we have meritorious defenses to Defendants’ remaining counterclaims and cross-claims and plan to vigorously contest them. Litigation, however, can be uncertain and there can be no assurance that any judgment for one or more of Defendants or other outcome of the case would not have a material adverse effect on us. Additionally, even if we prevail in the litigation and are awarded damages, we do not know if we will be able to fully collect on any judgment against any or all Defendants.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Legal and professional fees incurred related to this litigation are presented net of expected insurance reimbursement within Professional fees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18—Business Information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activities of providing advisory services for M&amp;A,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revenues of $34.1 million related to one individual client accounted for more than 10% of aggregate revenue, while no individual client accounted for more than 10% of aggregate revenue for the nine months ended September 30, 2023. For the three months ended September 30, 2022, revenues of $50.0 million related to two individual clients accounted for more than 10% of aggregate revenue, while no individual client accounted for more than 10% of aggregate revenue for the nine months ended September 30, 2022.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tbl>
      <w:tblPr>
        <w:tblW w:w="6810" w:type="dxa"/>
        <w:jc w:val="left"/>
        <w:tblInd w:w="0" w:type="dxa"/>
        <w:tblLayout w:type="fixed"/>
        <w:tblCellMar>
          <w:top w:w="28" w:type="dxa"/>
          <w:left w:w="28" w:type="dxa"/>
          <w:bottom w:w="28" w:type="dxa"/>
          <w:right w:w="28" w:type="dxa"/>
        </w:tblCellMar>
      </w:tblPr>
      <w:tblGrid>
        <w:gridCol w:w="435"/>
        <w:gridCol w:w="381"/>
        <w:gridCol w:w="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435,974 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448,359 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left"/>
        <w:tblInd w:w="0" w:type="dxa"/>
        <w:tblLayout w:type="fixed"/>
        <w:tblCellMar>
          <w:top w:w="28" w:type="dxa"/>
          <w:left w:w="28" w:type="dxa"/>
          <w:bottom w:w="28" w:type="dxa"/>
          <w:right w:w="28" w:type="dxa"/>
        </w:tblCellMar>
      </w:tblPr>
      <w:tblGrid>
        <w:gridCol w:w="433"/>
        <w:gridCol w:w="381"/>
        <w:gridCol w:w="385"/>
        <w:gridCol w:w="326"/>
        <w:gridCol w:w="1276"/>
        <w:gridCol w:w="168"/>
        <w:gridCol w:w="109"/>
        <w:gridCol w:w="109"/>
        <w:gridCol w:w="109"/>
        <w:gridCol w:w="313"/>
        <w:gridCol w:w="1228"/>
        <w:gridCol w:w="228"/>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19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531,590 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185,503 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634,171 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717,093 </w:t>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Note 19—Subsequent Events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subsequent events through the issuance date of these condensed consolidated financial statements.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Board of Directors of PWP declared a cash dividend of $0.07 per share of Class A common stock. This dividend will be paid on December 8, 2023 to Class A common stockholders of record on November 24, 2023. Holders of Class B common stock will also receive dividends equal to the amount of dividends made on 0.001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40" w:before="24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PWP OpCo serves as the Company’s operating partnership as part of an umbrella limited partnership C-corporation (Up-C) structure and is jointly owned by Perella Weinberg Partners, Professional Partners and certain other partners of PWP OpCo. The Company shareholders are entitled to receive a portion of PWP OpCo’s economics through their ownership interests in shares of Class A common stock of Perella Weinberg Partners, which holds PWP OpCo Units. The non-controlling interest owners of PWP OpCo receive a portion of its economics through their ownership of PWP OpCo Units.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regarding our business, refer to “Part I. Item 1. Business” and “Part I. Item1A. Risk Factors” in the Company’s Annual Report on Form 10-K for the year ended December 31, 2022 as filed with the SEC on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Business Environment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Economic and global financial market conditions impact our financial performance. Today’s market environment for an advisory business remains challenging, even though client dialogues are increasingly active.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core advisory services benefit from macroeconomic changes that impact our client base and lead them to consider business combinations, acquisitions and divestitures, capital raises and restructurings, and we continue to invest in our platform to achieve scale, accelerate growth, and deliver value in anticipation of a rebound in activity levels.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“Risk Factors” included in our Annual Report on Form 10-K for a discussion of some of the factors that can affect our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Key Financial Measures </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are classified as (i) total compensation and benefits expenses including equity-based compensation and (ii) non-compensation expenses.</w:t>
      </w:r>
    </w:p>
    <w:p>
      <w:pPr>
        <w:pStyle w:val="TextBody"/>
        <w:bidi w:val="0"/>
        <w:spacing w:lineRule="auto" w:line="240"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 Expenses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and benefits expenses account for a majority of our operating expenses and are primarily driven by headcount. These expenses consist of base salary, benefits, payroll taxes, cash bonus awards, deferred compensation awards, and amortization of equity-based compensation awards. Compensation is determined by management based on revenues earned, labor market competitiveness, recruitment of new partners, amortization of equity-based awards, and other factors, leading to potential fluctuations in a particular period.</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Equity-based awards are subject to a service vesting condition, and in some cases, a market-based performance vesting condition. The expense amortization of Legacy Awards and Professional Partners Awards is allocated to non-controlling interests as these awards have no economic impact on, and do not dilute, PWP shareholders relative to Professional Partners.</w:t>
      </w:r>
    </w:p>
    <w:p>
      <w:pPr>
        <w:pStyle w:val="TextBody"/>
        <w:bidi w:val="0"/>
        <w:spacing w:lineRule="auto" w:line="240"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Non-Compensation Expenses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non-compensation expenses include the costs of professional fees, technology and infrastructure, rent and occupancy, travel and related expenses, depreciation and amortization and general, administrative and other expenses. Our non-compensation expenses also include certain co-advisory fees and expenses reimbursed by our clients. Revenues related to co-advisory fees and expenses reimbursed by clients are presented within revenues on our Condensed Consolidated Statements of Operations. Overall, our non-compensation expenses are subject to variability due to multiple factors, including headcount, business needs, and inflation.</w:t>
      </w:r>
    </w:p>
    <w:p>
      <w:pPr>
        <w:pStyle w:val="TextBody"/>
        <w:bidi w:val="0"/>
        <w:spacing w:lineRule="auto" w:line="240"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Non-Operating Income (Expenses)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includes the impact of income and expense items that we consider to be non-operational in nature, which typically includes related party income, interest income and expense, and other non-operating gains (losses), including the impact of foreign exchange rate fluctuations. Prior to the completion of the Warrant Exchange Offer on August 23, 2022, non-operating income (expenses) also included the change in fair value of warrant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respective periods indicated: </w:t>
      </w:r>
    </w:p>
    <w:tbl>
      <w:tblPr>
        <w:tblW w:w="10205" w:type="dxa"/>
        <w:jc w:val="left"/>
        <w:tblInd w:w="0" w:type="dxa"/>
        <w:tblLayout w:type="fixed"/>
        <w:tblCellMar>
          <w:top w:w="28" w:type="dxa"/>
          <w:left w:w="28" w:type="dxa"/>
          <w:bottom w:w="28" w:type="dxa"/>
          <w:right w:w="28" w:type="dxa"/>
        </w:tblCellMar>
      </w:tblPr>
      <w:tblGrid>
        <w:gridCol w:w="1221"/>
        <w:gridCol w:w="673"/>
        <w:gridCol w:w="639"/>
        <w:gridCol w:w="211"/>
        <w:gridCol w:w="826"/>
        <w:gridCol w:w="109"/>
        <w:gridCol w:w="109"/>
        <w:gridCol w:w="109"/>
        <w:gridCol w:w="109"/>
        <w:gridCol w:w="211"/>
        <w:gridCol w:w="826"/>
        <w:gridCol w:w="109"/>
        <w:gridCol w:w="109"/>
        <w:gridCol w:w="109"/>
        <w:gridCol w:w="109"/>
        <w:gridCol w:w="234"/>
        <w:gridCol w:w="234"/>
        <w:gridCol w:w="235"/>
        <w:gridCol w:w="109"/>
        <w:gridCol w:w="109"/>
        <w:gridCol w:w="109"/>
        <w:gridCol w:w="211"/>
        <w:gridCol w:w="826"/>
        <w:gridCol w:w="109"/>
        <w:gridCol w:w="109"/>
        <w:gridCol w:w="109"/>
        <w:gridCol w:w="109"/>
        <w:gridCol w:w="211"/>
        <w:gridCol w:w="826"/>
        <w:gridCol w:w="109"/>
        <w:gridCol w:w="109"/>
        <w:gridCol w:w="109"/>
        <w:gridCol w:w="109"/>
        <w:gridCol w:w="218"/>
        <w:gridCol w:w="218"/>
        <w:gridCol w:w="314"/>
      </w:tblGrid>
      <w:tr>
        <w:trPr/>
        <w:tc>
          <w:tcPr>
            <w:tcW w:w="122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53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Total non-operating income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(660)%</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Perella Weinberg Partners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The following table provides revenue statistics for the three and nine</w:t>
      </w:r>
      <w:r>
        <w:rPr>
          <w:color w:val="000000"/>
        </w:rPr>
        <w:t xml:space="preserve"> </w:t>
      </w:r>
      <w:r>
        <w:rPr>
          <w:rFonts w:ascii="Times New Roman;sans-serif" w:hAnsi="Times New Roman;sans-serif"/>
          <w:b w:val="false"/>
          <w:color w:val="000000"/>
          <w:sz w:val="20"/>
        </w:rPr>
        <w:t>months ended September 30, 2023 and 2022:</w:t>
      </w:r>
    </w:p>
    <w:tbl>
      <w:tblPr>
        <w:tblW w:w="10205" w:type="dxa"/>
        <w:jc w:val="left"/>
        <w:tblInd w:w="0" w:type="dxa"/>
        <w:tblLayout w:type="fixed"/>
        <w:tblCellMar>
          <w:top w:w="28" w:type="dxa"/>
          <w:left w:w="28" w:type="dxa"/>
          <w:bottom w:w="28" w:type="dxa"/>
          <w:right w:w="28" w:type="dxa"/>
        </w:tblCellMar>
      </w:tblPr>
      <w:tblGrid>
        <w:gridCol w:w="1399"/>
        <w:gridCol w:w="1231"/>
        <w:gridCol w:w="1238"/>
        <w:gridCol w:w="175"/>
        <w:gridCol w:w="175"/>
        <w:gridCol w:w="176"/>
        <w:gridCol w:w="123"/>
        <w:gridCol w:w="123"/>
        <w:gridCol w:w="123"/>
        <w:gridCol w:w="175"/>
        <w:gridCol w:w="175"/>
        <w:gridCol w:w="176"/>
        <w:gridCol w:w="123"/>
        <w:gridCol w:w="123"/>
        <w:gridCol w:w="123"/>
        <w:gridCol w:w="403"/>
        <w:gridCol w:w="403"/>
        <w:gridCol w:w="405"/>
        <w:gridCol w:w="109"/>
        <w:gridCol w:w="109"/>
        <w:gridCol w:w="109"/>
        <w:gridCol w:w="175"/>
        <w:gridCol w:w="175"/>
        <w:gridCol w:w="176"/>
        <w:gridCol w:w="115"/>
        <w:gridCol w:w="115"/>
        <w:gridCol w:w="115"/>
        <w:gridCol w:w="175"/>
        <w:gridCol w:w="175"/>
        <w:gridCol w:w="176"/>
        <w:gridCol w:w="115"/>
        <w:gridCol w:w="115"/>
        <w:gridCol w:w="115"/>
        <w:gridCol w:w="367"/>
        <w:gridCol w:w="367"/>
        <w:gridCol w:w="533"/>
      </w:tblGrid>
      <w:tr>
        <w:trPr/>
        <w:tc>
          <w:tcPr>
            <w:tcW w:w="139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01"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Advisory Clients</w:t>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Clients with Fees Greater than $1.0 million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as compared with the same period in 2022, revenues decreased by 4%. Revenues attributed to mergers and acquisitions were slightly higher in the third quarter of 2023 compared to the same period in 2022, but financing and capital solutions activity decreased as compared to the third quarter of 2022, which contained a particularly large financing fee.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revenues decreased by 3% from the nine months ended September 30, 2022. There was a slight increase in mergers and acquisition activity period-over-period while financing and capital solutions revenues were lower due to a large financing fee and restructuring fee in the prior year period.</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relating to our operating expenses:</w:t>
      </w:r>
    </w:p>
    <w:tbl>
      <w:tblPr>
        <w:tblW w:w="10205" w:type="dxa"/>
        <w:jc w:val="left"/>
        <w:tblInd w:w="0" w:type="dxa"/>
        <w:tblLayout w:type="fixed"/>
        <w:tblCellMar>
          <w:top w:w="28" w:type="dxa"/>
          <w:left w:w="28" w:type="dxa"/>
          <w:bottom w:w="28" w:type="dxa"/>
          <w:right w:w="28" w:type="dxa"/>
        </w:tblCellMar>
      </w:tblPr>
      <w:tblGrid>
        <w:gridCol w:w="1004"/>
        <w:gridCol w:w="427"/>
        <w:gridCol w:w="386"/>
        <w:gridCol w:w="211"/>
        <w:gridCol w:w="826"/>
        <w:gridCol w:w="271"/>
        <w:gridCol w:w="109"/>
        <w:gridCol w:w="109"/>
        <w:gridCol w:w="109"/>
        <w:gridCol w:w="211"/>
        <w:gridCol w:w="826"/>
        <w:gridCol w:w="271"/>
        <w:gridCol w:w="109"/>
        <w:gridCol w:w="109"/>
        <w:gridCol w:w="109"/>
        <w:gridCol w:w="248"/>
        <w:gridCol w:w="139"/>
        <w:gridCol w:w="348"/>
        <w:gridCol w:w="109"/>
        <w:gridCol w:w="109"/>
        <w:gridCol w:w="109"/>
        <w:gridCol w:w="211"/>
        <w:gridCol w:w="826"/>
        <w:gridCol w:w="271"/>
        <w:gridCol w:w="109"/>
        <w:gridCol w:w="109"/>
        <w:gridCol w:w="109"/>
        <w:gridCol w:w="211"/>
        <w:gridCol w:w="826"/>
        <w:gridCol w:w="271"/>
        <w:gridCol w:w="109"/>
        <w:gridCol w:w="109"/>
        <w:gridCol w:w="109"/>
        <w:gridCol w:w="247"/>
        <w:gridCol w:w="136"/>
        <w:gridCol w:w="403"/>
      </w:tblGrid>
      <w:tr>
        <w:trPr/>
        <w:tc>
          <w:tcPr>
            <w:tcW w:w="10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0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81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2023 vs. 2022</w:t>
            </w:r>
          </w:p>
        </w:tc>
      </w:tr>
      <w:tr>
        <w:trPr/>
        <w:tc>
          <w:tcPr>
            <w:tcW w:w="181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393,826 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378,408 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154,197 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507,108 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 Expenses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compensation and benefits expenses for the three months ended September 30, 2023 compared to the three months ended September 30, 2022 was primarily due to a higher year-to-date compensation margin. The increase was also driven by additional equity-based awards granted during the first quarter of 2023, as well as Business Realignment costs of $6.4 million incurred during the current period. These costs included separation and transition benefits and the acceleration of equity-based compensation amortization (net of forfeitures) for terminated employees.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compensation and benefits expenses for the nine months ended September 30, 2023 compared to the nine months ended September 30, 2022 was primarily due to a higher year-to-date compensation margin. Also, Business Realignment costs of $11.5 million were incurred for the nine months ended September 30, 2023 and higher equity-based compensation was a result of awards granted during the first quarter of 2023, both contributing to the overall increase. Approximately $18 million of additional Business Realignment costs are expected to be incurred during the remainder of 2023, which is based on our current assumptions, and actual results may differ materially if unanticipated costs are incurred related to the Business Realignment.</w:t>
      </w:r>
    </w:p>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Non-Compensation Expenses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non-compensation expenses for the three months ended September 30, 2023 compared to the three months ended September 30, 2022 included a $2.1 million increase in professional fees primarily related to increased legal spend partially offset by decreased recruiting and consulting fees, a $1.4 million increase in general, administrative, and other expenses primarily due to bad debt expense offset by lower D&amp;O insurance, a $1.2 million increase in travel-related expenses due to increased costs of airfare and lodging and increased headcount, and a $0.7 million increase in technology and infrastructure primarily related to certain investments. As a result of the New York and London office renovations and relocation, rent and occupancy slightly increased due to certain overlapping rent costs as well as increased lease operating costs and depreciation and amortization expense increased $1.2 million as leasehold improvements and other related assets were placed into service.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non-compensation expenses for the nine months ended September 30, 2023 compared to the nine months ended September 30, 2022 included a $4.8 million increase in travel-related expenses due to increased costs of airfare and lodging and increased headcount and a $3.4 million increase in technology and infrastructure primarily related to certain investments. The $3.3 million increase in rent and occupancy and $2.1 million increase in depreciation and amortization expense was due to overlapping rent and increased lease operating costs and new assets being placed into service, respectively, from the office renovations and relocation. Professional fees increased slightly due to increased legal spend offset by decreased consulting and recruiting fees. General, administrative and other expenses also increased marginally driven by increased VAT and bad debt expense offset by lower D&amp;O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non-operating income of $2.8 million included $1.9 million of interest income and $1.9 million of gains from foreign exchange rate fluctuations, both reported within other income (expense). This other income was partially offset by a charge related to a settlement reached with the staff of the SEC in connection with the self-reporting of our practices relating to recordkeeping of business communications on “off-channel” messaging applications (the “Settlement”). Pursuant to the Settlement, Perella Weinberg Partners LP, Tudor, Pickering, Holt &amp; Co. Securities LLC, and Perella Weinberg Partners Capital Management LP, collectively, agreed to pay $2.5 million in the aggregate to the SEC on a joint and several liability basis. The Company recognized a charge of $1.25 million related to the Settlement, with the remainder recognized by Perella Weinberg Partners Capital Management LP. For the prior year period, non-operating income of $0.5 million included $6.1 million of other income, largely comprised of gains from foreign exchange rate fluctuations, plus related party income, partially offset by a $6.3 million loss from the change in fair value of warrant liabilities prior to the Warrant Exchange Offer.</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non-operating income of $2.3 million included related party income and other income, largely comprised of $4.6 million of interest income earned primarily on cash and U.S. Treasury securities, partially offset by the $1.25 million charge recognized by the Company related to the Settlement and a $1.4 million non-operating loss on investment. In the prior year period, non-operating income of $29.8 million included a $15.8 million gain from the change in fair value of warrant liabilities, related party income, and other income, the largest component of which was a $10.8 million gain from foreign exchange rate fluctuations primarily related to U.S. dollar-denominated cash and intercompany receivables held by our foreign subsidiaries.</w:t>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income tax benefit and effective tax rate were $0.2 million and 0.8%, respectively, for the three months ended September 30, 2023 compared to income tax expense and an effective tax rate of $4.6 million and (55.1)%, respectively, for the three months ended September 30, 2022.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income tax expense and effective tax rate were $0.6 million and (0.8)%, respectively, for the nine months ended September 30, 2023 compared to income tax expense and an effective tax rate of $10.7 million and 683.7%, respectively, for the nine months ended September 30, 2022.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overall effective tax rate in each of the periods described above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(ii) a portion of the Company’s compensation expense is non-deductible for tax purposes and (iii) during the nine months ended September 30, 2023, the Company recognized a previously unrecognized tax benefit at one of its foreign subsidiaries as a result of the favorable resolution of an inquiry from a taxing authority, which caused the Company to change its assessment of the technical merits of this tax position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changes in the effective tax rate between the third quarter of 2023 and the third quarter of 2022, and also between the nine months ended September 30, 2023 and the nine months ended September 30, 2022, were due to the relative size of our permanent differences in relation to pre-tax income (loss) in the respective periods, as well as the recognition of a previously unrecognized tax benefit at one of the Company’s foreign subsidiaries during the nine months ended September 30, 2023.</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Generally, our investing and financing cash flows are primarily influenced by the payment of dividends, distributions to partners, investments in U.S. Treasury securities, purchases of fixed assets, share repurchases, and withholding payments for vesting of PWP Incentive Plan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operating, investing and financing cash flows is as follows:</w:t>
      </w:r>
    </w:p>
    <w:tbl>
      <w:tblPr>
        <w:tblW w:w="8994" w:type="dxa"/>
        <w:jc w:val="left"/>
        <w:tblInd w:w="0" w:type="dxa"/>
        <w:tblLayout w:type="fixed"/>
        <w:tblCellMar>
          <w:top w:w="28" w:type="dxa"/>
          <w:left w:w="28" w:type="dxa"/>
          <w:bottom w:w="28" w:type="dxa"/>
          <w:right w:w="28" w:type="dxa"/>
        </w:tblCellMar>
      </w:tblPr>
      <w:tblGrid>
        <w:gridCol w:w="2291"/>
        <w:gridCol w:w="2017"/>
        <w:gridCol w:w="2022"/>
        <w:gridCol w:w="211"/>
        <w:gridCol w:w="826"/>
        <w:gridCol w:w="109"/>
        <w:gridCol w:w="109"/>
        <w:gridCol w:w="109"/>
        <w:gridCol w:w="109"/>
        <w:gridCol w:w="211"/>
        <w:gridCol w:w="82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In) Operating Activities</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charges and other operating activity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activities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(359,262)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129,201 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Nine Months Ended September 30, 2023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and restricted cash were $129.2 million as of September 30, 2023, which was a decrease of $45.0 million from December 31, 2022. Cash, restricted cash and short-term marketable debt securities (U.S. Treasuries) were $199.2 million as of September 30, 2023, a decrease of $115.1 million from December 31, 2022. The Company’s net loss for the nine months ended September 30, 2023 included non-cash charges and other adjustments, largely comprised of equity-based awards vesting expense, depreciation and amortization, and non-cash operating lease expense. The Company’s net operating cash outflow was predominantly due to the payment of the prior year’s annual bonus compensation. Investing activities resulted in a net inflow as a result of the maturities of investments of certain U.S. Treasury securities. This inflow was partially offset by additional investments of excess cash in U.S. Treasury securities and the purchase of fixed assets largely related to the New York and London office renovations and relocation. Financing activities resulted in a net outflow primarily related to the repurchase of shares pursuant to the stock repurchase program, withholding payments for vesting of PWP Incentive Plan Awards, distributions to partners, and the payment of dividends.</w:t>
      </w:r>
    </w:p>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2022</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restricted cash were $145.5 million as of September 30, 2022, which was a decrease of $359.3 million from $504.8 million as of December 31, 2021. The Company reported a net loss of $9.1 million for the nine months ended September 30, 2022 which includes $110.5 million of non-cash charges and other adjustments, largely comprised of equity-based awards vesting expense, depreciation and amortization, the change in fair value of warrant liabilities, foreign currency revaluation and non-cash operating lease expense. This operating cash inflow was offset by working capital needs predominantly due to the payment of the annual bonus compensation in the first quarter of the year as well as payments for lease liabilities, resulting in a net operating outflow of cash of $98.7 million during the nine months ended September 30, 2022. Investing activities resulted in a net outflow of $147.4 million largely attributable to investments of cash in treasury securities as well as the purchases of fixed assets. Financing activities resulted in a net outflow of $102.6 million primarily related to the repurchase of shares pursuant to the stock repurchase program, distributions to partners, withholding payments for vesting of PWP Incentive Plan Awards and the payment of dividends.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40" w:before="240" w:after="24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monitor our liquidity position, including cash and cash equivalents, working capital assets and liabilities, commitments and other liquidity requirements. Our primary sources of liquidity are our cash balances, our investments in short-term marketable debt securities, the net cash generated from operations and the available borrowing capacity under our Revolving Credit Facility.</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assets are primarily composed of cash, investments in short-term marketable securities, receivables related to fees earned from providing advisory services, certain prepaid expenses and certain amounts due from related parties. Our current liabilities are primarily composed of accrued employee compensation, accounts payable and other accrued expenses. We generally pay a significant portion of our annual incentive compensation, in the form of cash bonuses, during the first quarter of each calendar year with respect to the prior year’s results. Therefore, levels of cash and/or investments in short-term marketable securities generally decline during the first quarter of each year after our annual incentive compensation has been paid to our employees and typically builds over the remainder of the year. The Company makes quarterly partner tax distributions as required under the PWP OpCo LPA. Additionally, we intend to pay dividends throughout each year and intend to continue our share repurchases under the share repurchase program described below. The Company has utilized its option to net settle shares upon the vesting of PWP Incentive Plan Awards in order to remit required employee withholding taxes by using cash on hand as well as purchasing shares of Class A common stock pursuant to the stock repurchase program described below.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cash needs on a regular basis in light of current market and business conditions and regulatory requirements. Cash includes both cash and interest-bearing money market accounts and cash equivalents are defined as short-term highly liquid investments that have original maturities of three months or less from the date of purchase. As of September 30, 2023 and December 31, 2022, the Company had cash balances of $126.6 million and $171.6 million, respectively, maintained in U.S. and non-U.S. bank accounts, of which most bank account balances exceeded the U.S. Federal Deposit Insurance Corporation (“FDIC”) and U.K. Financial Services Compensation Scheme (“FSCS”) coverage limits. Additionally, as of September 30, 2023 and December 31, 2022, the Company held investments in short-term marketable debt securities, consisting entirely of U.S. Treasury securities, of $70.0 million and $140.1 million.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is highly dependent upon cash receipts from clients, which generally require the successful completion of transactions. Accounts receivable generally have net terms of 30 days. Accounts receivable were $68.9 million, net of a $2.2 million allowance for credit losses balance as of September 30, 2023. Accounts receivable were $67.9 million, net of a $1.1 million allowance for credit losses balance as of December 31, 2022.</w:t>
      </w:r>
    </w:p>
    <w:p>
      <w:pPr>
        <w:pStyle w:val="TextBody"/>
        <w:bidi w:val="0"/>
        <w:spacing w:lineRule="auto" w:line="240" w:before="240" w:after="240"/>
        <w:jc w:val="both"/>
        <w:rPr>
          <w:rFonts w:ascii="Times New Roman;sans-serif" w:hAnsi="Times New Roman;sans-serif"/>
          <w:b/>
          <w:i/>
          <w:color w:val="000000"/>
          <w:sz w:val="20"/>
        </w:rPr>
      </w:pPr>
      <w:r>
        <w:rPr>
          <w:rFonts w:ascii="Times New Roman;sans-serif" w:hAnsi="Times New Roman;sans-serif"/>
          <w:b/>
          <w:i/>
          <w:color w:val="000000"/>
          <w:sz w:val="20"/>
        </w:rPr>
        <w:t>Line of Credit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Revolving Credit Facility with Cadence Bank with an available line of credit of $50.0 million. Additionally, up to $20.0 million of incremental revolving commitments above the $50.0 million commitment amount may be incurred under the Credit Agreement. On June 30, 2023, the Company amended the Credit Agreement in order to provide for Term SOFR as the replacement benchmark rate for LIBOR, and to make certain other technical changes to the Credit Agreement related thereto. As of September 30, 2023, the Company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current market conditions, we believe that our cash on hand, the investments in short-term marketable debt securities,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approved a stock repurchase program under which the Company is authorized to repurchase up to $200.0 million of the Company’s Class A common stock with no requirement to purchase any minimum number of shares. During the nine months ended September 30, 2023, the Company purchased 2,376,683 shares, at a cost of $22.5 million. No shares were repurchased during the three months ended September 30, 2023. As of September 30, 2023, $108.8 million remains of the $200 million share repurchase authorization.</w:t>
      </w:r>
    </w:p>
    <w:p>
      <w:pPr>
        <w:pStyle w:val="TextBody"/>
        <w:bidi w:val="0"/>
        <w:spacing w:lineRule="auto" w:line="240" w:before="240" w:after="240"/>
        <w:jc w:val="both"/>
        <w:rPr>
          <w:rFonts w:ascii="Times New Roman;sans-serif" w:hAnsi="Times New Roman;sans-serif"/>
          <w:b/>
          <w:i/>
          <w:color w:val="000000"/>
          <w:sz w:val="20"/>
        </w:rPr>
      </w:pPr>
      <w:r>
        <w:rPr>
          <w:rFonts w:ascii="Times New Roman;sans-serif" w:hAnsi="Times New Roman;sans-serif"/>
          <w:b/>
          <w:i/>
          <w:color w:val="000000"/>
          <w:sz w:val="20"/>
        </w:rPr>
        <w:t>Other Commitments and Contractual Obligations</w:t>
      </w:r>
    </w:p>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Capital</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Exchange Rights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See Note 9—Stockholders’ Equity in the notes to the condensed consolidated financial statements included elsewhere in the Form 10-Q for further information.</w:t>
      </w:r>
    </w:p>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Sponsor Share Surrender and Share Restriction Agreement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Business Combination Agreement, FTIV, PWP OpCo and certain other parties entered into the Sponsor Share Surrender and Share Restriction Agreement with the Sponsor, which was amended on May 4, 2021. See Note 11—Stockholders' Equity in the notes to the audited consolidated financial statements for the year ended December 31, 2022 included in the Company’s Annual Report on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See Note 16—Related Party Transactions in the notes to the condensed consolidated financial statements included elsewhere in the Form 10-Q for further information as well as the expected timing of payments.</w:t>
      </w:r>
    </w:p>
    <w:p>
      <w:pPr>
        <w:pStyle w:val="TextBody"/>
        <w:bidi w:val="0"/>
        <w:spacing w:lineRule="auto" w:line="240"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Leases and Capital Expenditures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non-cancelable operating leases in connection with the leases of our office spaces and equipment. See Note 4—Leases in the notes to condensed consolidated financial statements included elsewhere in this Form 10-Q for further information as well as the expected timing of payments. The Company signed new lease agreements for the London office and the New York office spaces, which expand our square footage meaningfully in both locations in order to accommodate our anticipated growth. This expansion increased our contractual obligations as well as required capital contributions towards construction of these spaces (mitigated in part by free rent periods and tenant improvement allowances). Construction of the London space was completed in February 2023 and completion of the New York space is expected by the end of 2023. As of September 30, 2023, the Company estimates spending approximately $12 million to complete the construction of the New York space, net of tenant improvement allowances.</w:t>
      </w:r>
    </w:p>
    <w:p>
      <w:pPr>
        <w:pStyle w:val="TextBody"/>
        <w:bidi w:val="0"/>
        <w:spacing w:lineRule="auto" w:line="288"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 Realignment</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estimate that approximately $16 million of cash payments remain related to the Business Realignment, which are expected to be paid within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Market Risk and Credit Risk</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not capital-intensive and we do not invest in derivative instruments. We are not subject to significant market risk (including interest rate risk and commodity price risk) or significant credit risk.</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Risks Related to Cash and Cash Equivalents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 </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3—Revenue and Receivables from Contracts with Customers in the notes to condensed consolidated financial statements included elsewhere in this Form 10-Q for further information.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investments, we manage our credit risk exposure by holding investments primarily with investment grade credit quality. As of September 30, 2023, the Company held investments of $70.0 million in U.S. Treasury securities with maturities of less than 12 months.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Exchange Rate Risk</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The Company is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 Canadian dollar and our reporting currency, the U.S. dollar.</w:t>
      </w:r>
      <w:r>
        <w:rPr>
          <w:color w:val="000000"/>
        </w:rPr>
        <w:t xml:space="preserve"> </w:t>
      </w:r>
      <w:r>
        <w:rPr>
          <w:rFonts w:ascii="Times New Roman;sans-serif" w:hAnsi="Times New Roman;sans-serif"/>
          <w:b w:val="false"/>
          <w:color w:val="000000"/>
          <w:sz w:val="20"/>
        </w:rPr>
        <w:t>For the nine months ended September 30, 2023 and 2022, the net impact of non-functional currency related transaction gains and losses recorded in Other income (expense) on our Condensed Consolidated Statements of Operations was a $0.3 million loss and $10.8 million gain, respectively, primarily related to U.S. dollar-denominated intercompany receivables held by our foreign subsidiaries as the U.S. dollar value fluctuated period over period. For the nine months ended September 30, 2023 and 2022, the net impact of the fluctuation of foreign currencies recorded in Foreign currency translation gain (loss) within our Condensed Consolidated Statements of Comprehensive Income (Loss) was a $0.7 million gain and $13.4 million loss, respectively. We have not entered into any transactions to hedge our exposure to these foreign currency fluctuations using derivative instruments or other methods but may do so if we deem appropriate in the future.</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held balances of $32.1 million of non-U.S. dollar denominated currencies, composed of pound sterling, the Euro, and Canadian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should be read together with the section entitled “Management’s Discussion and Analysis of Financial Condition and Results of Operations” contained in the Company’s Annual Report on Form 10-K filed on February 28, 2023 regarding these critical accounting estimates. For changes to our critical accounting estimates during the nine months ended September 30, 2023, refer to Note 2—Summary of Significant Accounting Policies in the notes to condensed consolidated financial statements included elsewhere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 are set forth above in “Management’s Discussion and Analysis of Financial Condition and Results of Operations – Market Risk and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September 30, 2023.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pStyle w:val="TextBody"/>
        <w:bidi w:val="0"/>
        <w:spacing w:lineRule="auto" w:line="240"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and 15d-15(f)) during the nine months ended September 30,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details on the current legal proceedings, refer to Note 17—Commitments and Contingencies in the notes to condensed consolidated financial statements included elsewhere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40"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or updates to our risk factors that were previously disclosed in “Part I. Item 1A. Risk Factors” in the Company’s Annual Report on Form 10-K for the year ended December 31, 2022 as filed with the SEC on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40" w:before="240" w:after="240"/>
        <w:jc w:val="both"/>
        <w:rPr>
          <w:rFonts w:ascii="Times New Roman;sans-serif" w:hAnsi="Times New Roman;sans-serif"/>
          <w:b/>
          <w:i/>
          <w:color w:val="000000"/>
          <w:sz w:val="20"/>
        </w:rPr>
      </w:pPr>
      <w:r>
        <w:rPr>
          <w:rFonts w:ascii="Times New Roman;sans-serif" w:hAnsi="Times New Roman;sans-serif"/>
          <w:b/>
          <w:i/>
          <w:color w:val="000000"/>
          <w:sz w:val="20"/>
        </w:rPr>
        <w:t>Repurchases of Equity Securities</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repurchase of equity securities during the three months ended September 30, 2023:</w:t>
      </w:r>
    </w:p>
    <w:tbl>
      <w:tblPr>
        <w:tblW w:w="10205" w:type="dxa"/>
        <w:jc w:val="left"/>
        <w:tblInd w:w="0" w:type="dxa"/>
        <w:tblLayout w:type="fixed"/>
        <w:tblCellMar>
          <w:top w:w="28" w:type="dxa"/>
          <w:left w:w="28" w:type="dxa"/>
          <w:bottom w:w="28" w:type="dxa"/>
          <w:right w:w="28" w:type="dxa"/>
        </w:tblCellMar>
      </w:tblPr>
      <w:tblGrid>
        <w:gridCol w:w="734"/>
        <w:gridCol w:w="358"/>
        <w:gridCol w:w="359"/>
        <w:gridCol w:w="109"/>
        <w:gridCol w:w="109"/>
        <w:gridCol w:w="109"/>
        <w:gridCol w:w="510"/>
        <w:gridCol w:w="510"/>
        <w:gridCol w:w="511"/>
        <w:gridCol w:w="109"/>
        <w:gridCol w:w="109"/>
        <w:gridCol w:w="109"/>
        <w:gridCol w:w="317"/>
        <w:gridCol w:w="610"/>
        <w:gridCol w:w="165"/>
        <w:gridCol w:w="109"/>
        <w:gridCol w:w="109"/>
        <w:gridCol w:w="109"/>
        <w:gridCol w:w="682"/>
        <w:gridCol w:w="682"/>
        <w:gridCol w:w="684"/>
        <w:gridCol w:w="109"/>
        <w:gridCol w:w="109"/>
        <w:gridCol w:w="109"/>
        <w:gridCol w:w="376"/>
        <w:gridCol w:w="2117"/>
        <w:gridCol w:w="282"/>
      </w:tblGrid>
      <w:tr>
        <w:trPr/>
        <w:tc>
          <w:tcPr>
            <w:tcW w:w="7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yet to be Purchased Under the Publicly Announced Plans or Programs</w:t>
            </w:r>
          </w:p>
        </w:tc>
      </w:tr>
      <w:tr>
        <w:trPr/>
        <w:tc>
          <w:tcPr>
            <w:tcW w:w="14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108,823,525 </w:t>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108,823,525 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108,823,525 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6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40"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40"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636"/>
        <w:gridCol w:w="2636"/>
        <w:gridCol w:w="376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14" w:after="283"/>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312" w:before="14"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4" w:after="283"/>
              <w:jc w:val="left"/>
              <w:rPr/>
            </w:pPr>
            <w:hyperlink w:anchor="pwpq3202310-q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3202310-q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3202310-q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3202310-q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9" w:type="dxa"/>
            <w:gridSpan w:val="3"/>
            <w:tcBorders/>
            <w:vAlign w:val="center"/>
          </w:tcPr>
          <w:p>
            <w:pPr>
              <w:pStyle w:val="TableContents"/>
              <w:bidi w:val="0"/>
              <w:spacing w:before="0" w:after="283"/>
              <w:jc w:val="left"/>
              <w:rPr>
                <w:sz w:val="4"/>
                <w:szCs w:val="4"/>
              </w:rPr>
            </w:pPr>
            <w:r>
              <w:rPr>
                <w:sz w:val="4"/>
                <w:szCs w:val="4"/>
              </w:rPr>
            </w:r>
          </w:p>
        </w:tc>
      </w:tr>
      <w:tr>
        <w:trPr/>
        <w:tc>
          <w:tcPr>
            <w:tcW w:w="8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240" w:after="240"/>
        <w:ind w:left="0" w:right="0" w:firstLine="720"/>
        <w:jc w:val="both"/>
        <w:rPr/>
      </w:pPr>
      <w:r>
        <w:rPr/>
      </w:r>
    </w:p>
    <w:p>
      <w:pPr>
        <w:pStyle w:val="TextBody"/>
        <w:bidi w:val="0"/>
        <w:spacing w:lineRule="auto" w:line="240" w:before="24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40"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586" w:type="dxa"/>
        <w:jc w:val="left"/>
        <w:tblInd w:w="0" w:type="dxa"/>
        <w:tblLayout w:type="fixed"/>
        <w:tblCellMar>
          <w:top w:w="28" w:type="dxa"/>
          <w:left w:w="28" w:type="dxa"/>
          <w:bottom w:w="28" w:type="dxa"/>
          <w:right w:w="28" w:type="dxa"/>
        </w:tblCellMar>
      </w:tblPr>
      <w:tblGrid>
        <w:gridCol w:w="759"/>
        <w:gridCol w:w="668"/>
        <w:gridCol w:w="672"/>
        <w:gridCol w:w="328"/>
        <w:gridCol w:w="328"/>
        <w:gridCol w:w="328"/>
        <w:gridCol w:w="328"/>
        <w:gridCol w:w="328"/>
        <w:gridCol w:w="328"/>
        <w:gridCol w:w="731"/>
        <w:gridCol w:w="731"/>
        <w:gridCol w:w="105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7"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9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9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S. BARANCIK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Gary S. Barancik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Andrew Bednar,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Perella Weinberg Partners;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3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3"/>
        <w:gridCol w:w="733"/>
        <w:gridCol w:w="103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Gary S. Barancik,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Perella Weinberg Partners;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5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7"/>
        <w:gridCol w:w="737"/>
        <w:gridCol w:w="104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S. BARANCIK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Gary S. Barancik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September 30, 2023,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33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3"/>
        <w:gridCol w:w="733"/>
        <w:gridCol w:w="103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Bednar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September 30, 2023,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35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37"/>
        <w:gridCol w:w="737"/>
        <w:gridCol w:w="104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S. BARANCIK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Gary S. Barancik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19850</Words>
  <Characters>113720</Characters>
  <CharactersWithSpaces>132468</CharactersWithSpaces>
  <Paragraphs>2996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