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tcPr>
          <w:p>
            <w:pPr>
              <w:spacing w:after="0"/>
              <w:rPr>
                <w:sz w:val="24"/>
                <w:szCs w:val="24"/>
                <w:color w:val="auto"/>
              </w:rPr>
            </w:pPr>
          </w:p>
        </w:tc>
      </w:tr>
      <w:tr>
        <w:trPr>
          <w:trHeight w:val="23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0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1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0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Smaller reporting company </w:t>
            </w:r>
            <w:r>
              <w:rPr>
                <w:rFonts w:ascii="Wingdings" w:cs="Wingdings" w:eastAsia="Wingdings" w:hAnsi="Wingdings"/>
                <w:sz w:val="16"/>
                <w:szCs w:val="16"/>
                <w:b w:val="1"/>
                <w:bCs w:val="1"/>
                <w:color w:val="auto"/>
              </w:rPr>
              <w:t>o</w:t>
            </w:r>
          </w:p>
        </w:tc>
      </w:tr>
      <w:tr>
        <w:trPr>
          <w:trHeight w:val="216"/>
        </w:trPr>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As of April 29, 2025, the registrant had 62,192,657 shares of Class A common stock, par value $0.0001 per share, and 26,190,514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90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3"/>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80" w:type="dxa"/>
            <w:vAlign w:val="bottom"/>
            <w:gridSpan w:val="17"/>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2"/>
                <w:szCs w:val="22"/>
                <w:color w:val="auto"/>
              </w:rPr>
            </w:pPr>
          </w:p>
        </w:tc>
        <w:tc>
          <w:tcPr>
            <w:tcW w:w="600" w:type="dxa"/>
            <w:vAlign w:val="bottom"/>
            <w:gridSpan w:val="2"/>
          </w:tcPr>
          <w:p>
            <w:pPr>
              <w:spacing w:after="0"/>
              <w:rPr>
                <w:sz w:val="22"/>
                <w:szCs w:val="22"/>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60" w:type="dxa"/>
            <w:vAlign w:val="bottom"/>
            <w:gridSpan w:val="8"/>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Financial Condition as of March 31, 2025 and December 31, 2024</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Months Ended March 31, 2025 and 2024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and Redeemable Non-Controlling Interests for the Three Months</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Ended March 31, 2025 and 2024</w:t>
            </w:r>
          </w:p>
        </w:tc>
        <w:tc>
          <w:tcPr>
            <w:tcW w:w="4560" w:type="dxa"/>
            <w:vAlign w:val="bottom"/>
            <w:tcBorders>
              <w:top w:val="single" w:sz="8" w:color="0000FF"/>
            </w:tcBorders>
            <w:gridSpan w:val="5"/>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20" w:type="dxa"/>
            <w:vAlign w:val="bottom"/>
            <w:gridSpan w:val="4"/>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2025 and 2024</w:t>
            </w:r>
          </w:p>
        </w:tc>
        <w:tc>
          <w:tcPr>
            <w:tcW w:w="1440" w:type="dxa"/>
            <w:vAlign w:val="bottom"/>
            <w:gridSpan w:val="3"/>
          </w:tcPr>
          <w:p>
            <w:pPr>
              <w:spacing w:after="0"/>
              <w:rPr>
                <w:sz w:val="23"/>
                <w:szCs w:val="23"/>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2"/>
                <w:szCs w:val="22"/>
                <w:color w:val="auto"/>
              </w:rPr>
            </w:pP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20" w:type="dxa"/>
            <w:vAlign w:val="bottom"/>
            <w:gridSpan w:val="4"/>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600" w:type="dxa"/>
            <w:vAlign w:val="bottom"/>
            <w:gridSpan w:val="2"/>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2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2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60" w:type="dxa"/>
            <w:vAlign w:val="bottom"/>
            <w:gridSpan w:val="1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4"/>
          </w:tcPr>
          <w:p>
            <w:pPr>
              <w:spacing w:after="0"/>
              <w:rPr>
                <w:sz w:val="22"/>
                <w:szCs w:val="22"/>
                <w:color w:val="auto"/>
              </w:rPr>
            </w:pPr>
          </w:p>
        </w:tc>
        <w:tc>
          <w:tcPr>
            <w:tcW w:w="4740" w:type="dxa"/>
            <w:vAlign w:val="bottom"/>
            <w:gridSpan w:val="7"/>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gridSpan w:val="3"/>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2"/>
                <w:szCs w:val="22"/>
                <w:color w:val="auto"/>
              </w:rPr>
            </w:pPr>
          </w:p>
        </w:tc>
        <w:tc>
          <w:tcPr>
            <w:tcW w:w="1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3"/>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700" w:type="dxa"/>
            <w:vAlign w:val="bottom"/>
            <w:gridSpan w:val="3"/>
          </w:tcPr>
          <w:p>
            <w:pPr>
              <w:spacing w:after="0"/>
              <w:rPr>
                <w:sz w:val="22"/>
                <w:szCs w:val="22"/>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22"/>
                <w:szCs w:val="22"/>
                <w:color w:val="auto"/>
              </w:rPr>
            </w:pPr>
          </w:p>
        </w:tc>
        <w:tc>
          <w:tcPr>
            <w:tcW w:w="7760" w:type="dxa"/>
            <w:vAlign w:val="bottom"/>
            <w:gridSpan w:val="14"/>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June 24, 2021, Perella Weinberg Partners consummated a business combination (the “Business Combination”) pursuant to the Business Combination Agreement, dated as of December 29, 2020. Unless the context otherwise requires, all references to “PWP,” the “Company,” “we,” “us”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refer to Perella Weinberg Partners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important factors, many of which are outside the control of the parties, that could cause actual results or outcomes to differ materially from those discussed in the forward-looking statements.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included in our Annual Report on Form 10-K.</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except as may be required under applicable securities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794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12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and Per Unit Amounts)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7"/>
        </w:trPr>
        <w:tc>
          <w:tcPr>
            <w:tcW w:w="2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331,558</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75,830</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73,293</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139,637</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92,969</w:t>
            </w:r>
          </w:p>
        </w:tc>
      </w:tr>
      <w:tr>
        <w:trPr>
          <w:trHeight w:val="277"/>
        </w:trPr>
        <w:tc>
          <w:tcPr>
            <w:tcW w:w="20" w:type="dxa"/>
            <w:vAlign w:val="bottom"/>
          </w:tcPr>
          <w:p>
            <w:pPr>
              <w:spacing w:after="0"/>
              <w:rPr>
                <w:sz w:val="24"/>
                <w:szCs w:val="24"/>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570,468</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84,546</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325,225</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68,919</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187,349</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r>
      <w:tr>
        <w:trPr>
          <w:trHeight w:val="250"/>
        </w:trPr>
        <w:tc>
          <w:tcPr>
            <w:tcW w:w="20" w:type="dxa"/>
            <w:vAlign w:val="bottom"/>
          </w:tcPr>
          <w:p>
            <w:pPr>
              <w:spacing w:after="0"/>
              <w:rPr>
                <w:sz w:val="21"/>
                <w:szCs w:val="21"/>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408,762</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646,986</w:t>
            </w: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(26,190,514 units at redemption value of $18.51 per unit as of</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 27,460,600 units at redemption value of $23.71 per unit as of December 31, 2024)</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651,140</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75,911,691 issued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8"/>
        </w:trPr>
        <w:tc>
          <w:tcPr>
            <w:tcW w:w="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62,186,338 outstanding at March 31, 2025; 1,500,000,000 shares authorized, 72,544,696 issued and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59,181,721 outstanding at December 31, 2024)</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26,190,514 issued and</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8"/>
        </w:trPr>
        <w:tc>
          <w:tcPr>
            <w:tcW w:w="20" w:type="dxa"/>
            <w:vAlign w:val="bottom"/>
          </w:tcPr>
          <w:p>
            <w:pPr>
              <w:spacing w:after="0"/>
              <w:rPr>
                <w:sz w:val="20"/>
                <w:szCs w:val="20"/>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March 31, 2025; 600,000,000 shares authorized, 27,460,600 issued and outstanding at</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1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(303,708)</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r>
      <w:tr>
        <w:trPr>
          <w:trHeight w:val="256"/>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(13,725,353 and 13,362,975 shares of Class A common stock at March 31, 2025 and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(323,128)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(421,375)</w:t>
            </w:r>
          </w:p>
        </w:tc>
      </w:tr>
      <w:tr>
        <w:trPr>
          <w:trHeight w:val="277"/>
        </w:trPr>
        <w:tc>
          <w:tcPr>
            <w:tcW w:w="20" w:type="dxa"/>
            <w:vAlign w:val="bottom"/>
          </w:tcPr>
          <w:p>
            <w:pPr>
              <w:spacing w:after="0"/>
              <w:rPr>
                <w:sz w:val="24"/>
                <w:szCs w:val="24"/>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570,468</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r>
      <w:tr>
        <w:trPr>
          <w:trHeight w:val="21"/>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40005</wp:posOffset>
            </wp:positionV>
            <wp:extent cx="207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115,397</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62,138,123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49,200,283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75,839,577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90,519,358</w:t>
            </w:r>
          </w:p>
        </w:tc>
        <w:tc>
          <w:tcPr>
            <w:tcW w:w="0" w:type="dxa"/>
            <w:vAlign w:val="bottom"/>
          </w:tcPr>
          <w:p>
            <w:pPr>
              <w:spacing w:after="0"/>
              <w:rPr>
                <w:sz w:val="1"/>
                <w:szCs w:val="1"/>
                <w:color w:val="auto"/>
              </w:rPr>
            </w:pPr>
          </w:p>
        </w:tc>
      </w:tr>
      <w:tr>
        <w:trPr>
          <w:trHeight w:val="27"/>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5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13335</wp:posOffset>
            </wp:positionV>
            <wp:extent cx="2074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(71,190)</w:t>
            </w:r>
          </w:p>
        </w:tc>
      </w:tr>
      <w:tr>
        <w:trPr>
          <w:trHeight w:val="28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w:t>
            </w: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0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0" w:type="dxa"/>
            <w:vAlign w:val="bottom"/>
          </w:tcPr>
          <w:p>
            <w:pPr>
              <w:spacing w:after="0"/>
              <w:rPr>
                <w:sz w:val="1"/>
                <w:szCs w:val="1"/>
                <w:color w:val="auto"/>
              </w:rPr>
            </w:pPr>
          </w:p>
        </w:tc>
      </w:tr>
      <w:tr>
        <w:trPr>
          <w:trHeight w:val="155"/>
        </w:trPr>
        <w:tc>
          <w:tcPr>
            <w:tcW w:w="24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72,544,696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27,460,600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(13,362,975)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(111,484)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(303,708)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(421,375)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651,140</w:t>
            </w:r>
          </w:p>
        </w:tc>
        <w:tc>
          <w:tcPr>
            <w:tcW w:w="0" w:type="dxa"/>
            <w:vAlign w:val="bottom"/>
          </w:tcPr>
          <w:p>
            <w:pPr>
              <w:spacing w:after="0"/>
              <w:rPr>
                <w:sz w:val="1"/>
                <w:szCs w:val="1"/>
                <w:color w:val="auto"/>
              </w:rPr>
            </w:pPr>
          </w:p>
        </w:tc>
      </w:tr>
      <w:tr>
        <w:trPr>
          <w:trHeight w:val="153"/>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4,034</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26,396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26,396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3,366,995</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387,054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(69,741)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(69,741)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824</w:t>
            </w:r>
          </w:p>
        </w:tc>
        <w:tc>
          <w:tcPr>
            <w:tcW w:w="0" w:type="dxa"/>
            <w:vAlign w:val="bottom"/>
          </w:tcPr>
          <w:p>
            <w:pPr>
              <w:spacing w:after="0"/>
              <w:rPr>
                <w:sz w:val="1"/>
                <w:szCs w:val="1"/>
                <w:color w:val="auto"/>
              </w:rPr>
            </w:pPr>
          </w:p>
        </w:tc>
      </w:tr>
      <w:tr>
        <w:trPr>
          <w:trHeight w:val="153"/>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Class B common stock for cash (Note 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Controlling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(1,270,086)</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(28,792)</w:t>
            </w:r>
          </w:p>
        </w:tc>
        <w:tc>
          <w:tcPr>
            <w:tcW w:w="0" w:type="dxa"/>
            <w:vAlign w:val="bottom"/>
          </w:tcPr>
          <w:p>
            <w:pPr>
              <w:spacing w:after="0"/>
              <w:rPr>
                <w:sz w:val="1"/>
                <w:szCs w:val="1"/>
                <w:color w:val="auto"/>
              </w:rPr>
            </w:pPr>
          </w:p>
        </w:tc>
      </w:tr>
      <w:tr>
        <w:trPr>
          <w:trHeight w:val="153"/>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(749,432)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0" w:type="dxa"/>
            <w:vAlign w:val="bottom"/>
          </w:tcPr>
          <w:p>
            <w:pPr>
              <w:spacing w:after="0"/>
              <w:rPr>
                <w:sz w:val="1"/>
                <w:szCs w:val="1"/>
                <w:color w:val="auto"/>
              </w:rPr>
            </w:pPr>
          </w:p>
        </w:tc>
      </w:tr>
      <w:tr>
        <w:trPr>
          <w:trHeight w:val="148"/>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Changes in redemption value of redeemable non-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controlling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139,162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139,162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(139,162)</w:t>
            </w:r>
          </w:p>
        </w:tc>
        <w:tc>
          <w:tcPr>
            <w:tcW w:w="0" w:type="dxa"/>
            <w:vAlign w:val="bottom"/>
          </w:tcPr>
          <w:p>
            <w:pPr>
              <w:spacing w:after="0"/>
              <w:rPr>
                <w:sz w:val="1"/>
                <w:szCs w:val="1"/>
                <w:color w:val="auto"/>
              </w:rPr>
            </w:pPr>
          </w:p>
        </w:tc>
      </w:tr>
      <w:tr>
        <w:trPr>
          <w:trHeight w:val="36"/>
        </w:trPr>
        <w:tc>
          <w:tcPr>
            <w:tcW w:w="24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75,911,691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26,190,514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(13,725,353)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484,834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57,361,073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41,589,339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(12,718,224)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312,523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268,246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33,371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13,942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47,313</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2,086,273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113,673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in public offering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8"/>
              </w:rPr>
              <w:t>(Note 9—Stockholders’ Equity and Redeemable Non-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5,750,000</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65,987</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8"/>
              </w:rPr>
              <w:t>(Note 9—Stockholders’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794,146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(793,354)</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0" w:type="dxa"/>
            <w:vAlign w:val="bottom"/>
          </w:tcPr>
          <w:p>
            <w:pPr>
              <w:spacing w:after="0"/>
              <w:rPr>
                <w:sz w:val="1"/>
                <w:szCs w:val="1"/>
                <w:color w:val="auto"/>
              </w:rPr>
            </w:pPr>
          </w:p>
        </w:tc>
      </w:tr>
      <w:tr>
        <w:trPr>
          <w:trHeight w:val="167"/>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65,991,492</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40,795,985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(12,604,551)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279,021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47,313</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(198,971)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(176,521)</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(206,345)</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73,867</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82,727</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 offering costs</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(120,790)</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33,793</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(220,265)</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(90,483)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332,771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0" w:type="dxa"/>
            <w:vAlign w:val="bottom"/>
          </w:tcPr>
          <w:p>
            <w:pPr>
              <w:spacing w:after="0"/>
              <w:rPr>
                <w:sz w:val="1"/>
                <w:szCs w:val="1"/>
                <w:color w:val="auto"/>
              </w:rPr>
            </w:pPr>
          </w:p>
        </w:tc>
      </w:tr>
      <w:tr>
        <w:trPr>
          <w:trHeight w:val="23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112,506</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changes in ownership and exchanges of PWP OpCo Units, net of amounts payable under tax</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receivable agreement</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(refunded)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capital markets advisory, and private capital placement, as well as specialized underwriting and research services primarily for the energy and related industries.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24, 2021, the Company consummated a business combination that resulted in PWP OpCo becoming jointly-owned by Perella Weinberg</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another divided partnership, PWP VoteCo Professionals LP (“VoteCo Professionals”) and (iii) PWP Professional Partners LP changed its name to PWP AmCo Professionals LP.</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1, 2024, as part of this internal reorganization, AdCo Professionals merged with and into PWP OpCo (the “Merger”). At the time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Merger, (i) 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GP”), or any limited partner with respect to PWP OpCo. Refer to Note 9—Stockholders’ Equity and Redeemable Non-Controlling Interests and Note 11— Equity-Based Compensation for additional information on the Merger and related transactions.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consolidated in these financial statements.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w:t>
      </w:r>
    </w:p>
    <w:p>
      <w:pPr>
        <w:spacing w:after="0" w:line="2" w:lineRule="exact"/>
        <w:rPr>
          <w:sz w:val="20"/>
          <w:szCs w:val="20"/>
          <w:color w:val="auto"/>
        </w:rPr>
      </w:pPr>
    </w:p>
    <w:p>
      <w:pPr>
        <w:ind w:right="5280"/>
        <w:spacing w:after="0" w:line="530" w:lineRule="auto"/>
        <w:rPr>
          <w:sz w:val="20"/>
          <w:szCs w:val="20"/>
          <w:color w:val="auto"/>
        </w:rPr>
      </w:pPr>
      <w:r>
        <w:rPr>
          <w:rFonts w:ascii="Times New Roman" w:cs="Times New Roman" w:eastAsia="Times New Roman" w:hAnsi="Times New Roman"/>
          <w:sz w:val="18"/>
          <w:szCs w:val="18"/>
          <w:color w:val="auto"/>
        </w:rPr>
        <w:t xml:space="preserve">through ownership of PWP OpCo Class A partnership units (“PWP OpCo Units”). </w:t>
      </w:r>
      <w:r>
        <w:rPr>
          <w:rFonts w:ascii="Times New Roman" w:cs="Times New Roman" w:eastAsia="Times New Roman" w:hAnsi="Times New Roman"/>
          <w:sz w:val="18"/>
          <w:szCs w:val="18"/>
          <w:b w:val="1"/>
          <w:bCs w:val="1"/>
          <w:color w:val="auto"/>
        </w:rPr>
        <w:t xml:space="preserve">Note 2—Summary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54"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generally accepted accounting principles in the United States (“U.S. GAAP”) and all intercompany balances and transactions have been eliminated.</w:t>
      </w:r>
    </w:p>
    <w:p>
      <w:pPr>
        <w:spacing w:after="0" w:line="15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accordance with U.S. GAAP. Accordingly, these condensed consolidated financial statements should be read in conjunction with the audited consolidated financial statements for the year ended December 31, 2024, included in the Company’s Annual Report on Form 10-K. The condensed consolidated financial statements reflect all material adjustments of a normal recurring nature that, in the opinion of management, are necessary for a fair presentation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for the interim periods.</w:t>
      </w:r>
    </w:p>
    <w:p>
      <w:pPr>
        <w:spacing w:after="0" w:line="200" w:lineRule="exact"/>
        <w:rPr>
          <w:sz w:val="20"/>
          <w:szCs w:val="20"/>
          <w:color w:val="auto"/>
        </w:rPr>
      </w:pPr>
    </w:p>
    <w:p>
      <w:pPr>
        <w:spacing w:after="0" w:line="35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which they are determined to be necessary.</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 consolidated financial statements and notes thereto.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represents cash that is not readily available for general purpose cash needs. As of March 31, 2025 and December 31, 2024, the Company had restricted cash of $1.3 million and $1.2 million, respectively, maintained as collateral for letters of credit related to certain office leases. As of March 31, 2025, the Company held no cash equivalents. The Company held cash equivalents of $20.2 million as of December 31, 2024. The sum of Cash and cash equivalents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Restricted cash on the Condensed Consolidated Statements of Financial Condition corresponds to the total cash, cash equivalents, and restricted cash presented on the Condensed Consolidated Statements of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VIE. As of March 31, 2025 and December 31, 2024, the net assets of PWP OpCo were $121.9 million and $197.6 million, respectively. As of March 31, 2025 and December 31, 2024, the Company did not consolidate any VIEs other than PWP OpCo.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Equity-Based Compensation for further information.</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a result of the Merger, Non-controlling interests presented within equity on the Condensed Consolidated Statements of Financial Condition were reclassified to Redeemable non-controlling interests within temporary equity. Redeemable non-controlling interests are recorded at the higher of: (i) their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redemption value as of the reporting date, which corresponds to the price of the Company’s Class A common stock, or (ii) their measurement pursuant to Accounting Standards Codification (“ASC” or the “Codification”) Topic 810, Consolidation. Changes in the current redemption value are recorded to Additional paid-in capital, or Retained earnings (Accumulated deficit) to the extent Additional paid-in capital has been fully utilized, immediately as they occur.</w:t>
      </w:r>
    </w:p>
    <w:p>
      <w:pPr>
        <w:spacing w:after="0" w:line="173"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March 31, 2025, $66.7 million has been recorded to Accumulated deficit for changes in the redemption value of Redeemable non-controlling interests as well as normal course equity transactions due to the full utilization of Additional paid-in capital. The Company tracks amounts recorded directly to Accumulated deficit when Additional paid-in capital has been fully utilized and will not record any additional amounts to Additional paid-in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until the cumulative amount recorded to Accumulated deficit has been fully offset.</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When the Company has an unconditional obligation to purchase the Redeemable non-controlling interests for cash, the mandatorily redeemable interests are reclassified from temporary equity to a liability with changes in fair value recorded to Other income (expense) on the Condensed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As of March 31, 2025, there were no non-controlling interests considered mandatorily redeemable.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portion of the award at each reporting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16"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$(1.8) million and $0.5 million during the three months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March 31, 2025 and 2024,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200"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—In December 2023, the Financial Accounting Standards Board (“FASB”) issued Accounting Standards Update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which amends the guidance in ASC Topic 740, Income Taxes (“ASC 740”), to improve the transparency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by requiring (1) consistent categories and greater disaggregation of information in the rate reconciliation and (2) income taxes paid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 the consolidated financial statements.</w:t>
      </w:r>
    </w:p>
    <w:p>
      <w:pPr>
        <w:spacing w:after="0" w:line="170"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—In November 2024, the FASB issued Accounting Standards Update 2024-03,</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which amends the guidance in ASC Topic 220, Income Statement—Reporting Comprehensive Income (“ASC 220”), to improve the transparency of expense disclosures by requiring more detailed information about the types of expenses in commonly presented expense captions.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 consolidated financial statements.</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7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101,005</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Reimbursable expenses billed to clients were $1.7 million and $1.9 million for the three months ended March 31,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as defined in the Codification, allocated to performance obligations yet to be satisfied was $0.6 million, and the Company generally expects to recognize this revenue within the next twelve months. Such amounts primarily relate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March 31, 2025 and December 31, 2024, the Company recorded $0.7 million and $0.6 million, respectively, for contract liabilities which are presented within Accounts payable, accrued expenses and other liabilities on the Condensed Consolidated Statements of Financial Condition. The Company recognized previously deferred revenue of $0.1 million and $0.5 million for the three months ended March 31, 2025 and 2024,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primarily related to transaction-related advisory services that are recognized over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and December 31, 2024, $6.4 million and $13.3 million, respectively, of accrued revenue was included in Accounts receivable,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net of allowance on the Condensed Consolidated Statements of Financial Condition. These amounts have been recognized as revenue in accordance with the Company’s revenue recognition policies but remained unbilled at the end of the period. As of March 31, 2025, certain accounts receivable in the aggregate amount of $18.0 million were individually greater than 10% of the Company’s gross accounts receivable and were concentrated with one client.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that amount, all was subsequently received after March 31, 2025. As of December 31, 2024, certain accounts receivable in the aggregate amount of $23.9 million were individually greater than 10% of the Company’s gross accounts receivable and were concentrated with two clients. Of that amount, all was subsequently received after year end.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months ended March 31, 2025 and 2024 was as follows:</w:t>
      </w:r>
    </w:p>
    <w:p>
      <w:pPr>
        <w:spacing w:after="0" w:line="24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22860</wp:posOffset>
            </wp:positionV>
            <wp:extent cx="20745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4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20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3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3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4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 The following is information related to such operating leases: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2"/>
                <w:szCs w:val="2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13.1 years</w:t>
            </w:r>
          </w:p>
        </w:tc>
        <w:tc>
          <w:tcPr>
            <w:tcW w:w="380" w:type="dxa"/>
            <w:vAlign w:val="bottom"/>
          </w:tcPr>
          <w:p>
            <w:pPr>
              <w:spacing w:after="0"/>
              <w:rPr>
                <w:sz w:val="22"/>
                <w:szCs w:val="22"/>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13.3 years</w:t>
            </w:r>
          </w:p>
        </w:tc>
      </w:tr>
      <w:tr>
        <w:trPr>
          <w:trHeight w:val="572"/>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outflows on operating leases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6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2025, the maturities of undiscounted operating lease liabilities of the Company are as follows: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0" w:type="dxa"/>
            <w:vAlign w:val="bottom"/>
          </w:tcPr>
          <w:p>
            <w:pPr>
              <w:spacing w:after="0"/>
              <w:rPr>
                <w:sz w:val="1"/>
                <w:szCs w:val="1"/>
                <w:color w:val="auto"/>
              </w:rPr>
            </w:pPr>
          </w:p>
        </w:tc>
      </w:tr>
      <w:tr>
        <w:trPr>
          <w:trHeight w:val="25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0" w:type="dxa"/>
            <w:vAlign w:val="bottom"/>
          </w:tcPr>
          <w:p>
            <w:pPr>
              <w:spacing w:after="0"/>
              <w:rPr>
                <w:sz w:val="1"/>
                <w:szCs w:val="1"/>
                <w:color w:val="auto"/>
              </w:rPr>
            </w:pP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c>
          <w:tcPr>
            <w:tcW w:w="0" w:type="dxa"/>
            <w:vAlign w:val="bottom"/>
          </w:tcPr>
          <w:p>
            <w:pPr>
              <w:spacing w:after="0"/>
              <w:rPr>
                <w:sz w:val="1"/>
                <w:szCs w:val="1"/>
                <w:color w:val="auto"/>
              </w:rPr>
            </w:pP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0" w:type="dxa"/>
            <w:vAlign w:val="bottom"/>
          </w:tcPr>
          <w:p>
            <w:pPr>
              <w:spacing w:after="0"/>
              <w:rPr>
                <w:sz w:val="1"/>
                <w:szCs w:val="1"/>
                <w:color w:val="auto"/>
              </w:rPr>
            </w:pP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157,204</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251,906</w:t>
            </w:r>
          </w:p>
        </w:tc>
        <w:tc>
          <w:tcPr>
            <w:tcW w:w="0" w:type="dxa"/>
            <w:vAlign w:val="bottom"/>
          </w:tcPr>
          <w:p>
            <w:pPr>
              <w:spacing w:after="0"/>
              <w:rPr>
                <w:sz w:val="1"/>
                <w:szCs w:val="1"/>
                <w:color w:val="auto"/>
              </w:rPr>
            </w:pP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(66,376)</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185,530</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640" w:type="dxa"/>
            <w:vAlign w:val="bottom"/>
          </w:tcPr>
          <w:p>
            <w:pPr>
              <w:spacing w:after="0"/>
              <w:rPr>
                <w:sz w:val="20"/>
                <w:szCs w:val="20"/>
                <w:color w:val="auto"/>
              </w:rPr>
            </w:pPr>
            <w:r>
              <w:rPr>
                <w:rFonts w:ascii="Times New Roman" w:cs="Times New Roman" w:eastAsia="Times New Roman" w:hAnsi="Times New Roman"/>
                <w:sz w:val="14"/>
                <w:szCs w:val="14"/>
                <w:color w:val="auto"/>
              </w:rPr>
              <w:t>(1)  Total future lease payments are presented net of expected lease incentives.</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5—Intangible Assets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 of the Company’s intangible assets: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4"/>
                <w:szCs w:val="14"/>
                <w:color w:val="auto"/>
              </w:rPr>
            </w:pPr>
          </w:p>
        </w:tc>
        <w:tc>
          <w:tcPr>
            <w:tcW w:w="14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4"/>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84"/>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4"/>
                <w:szCs w:val="14"/>
                <w:color w:val="auto"/>
              </w:rPr>
            </w:pPr>
          </w:p>
        </w:tc>
        <w:tc>
          <w:tcPr>
            <w:tcW w:w="14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9"/>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intangible assets are being amortized over an average useful life of 10 years and resulted in amortization expense of $1.6 million for each of the three months ended March 31, 2025 and 2024, all of which is included in Depreciation and amortization on the Condensed Consolidated Statements of Operations. Amortization of intangible assets held at March 31, 2025 is expected to be $6.6 million and $6.0 million for the years ending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2026, respectively. These intangible assets will be fully amortized by November 30,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has a number of consolidated subsidiaries registered as broker-dealers with regulatory agencies in their respective countries. None of the</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SEC-regulated subsidiaries hold funds or securities for, or owe money or securities to, clients or carry accounts of or for clients, and as such are all exempt from the SEC Customer Protection Rule (Rule 15c3-3). As of March 31, 2025 and December 31, 2024, all regulated subsidiaries had capital in excess of their applicable minimum capital requirements. As a result of the minimum capital requirements and various regulations on these broker dealers, a portion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capital of each subsidiary of the Company is restricted and may be unavailable to pay its creditors.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March 31, 2025 and December 31,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81,860</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related to fixed assets was $3.3 million and $3.4 million for the three months ended March 31, 2025 and 2024, respectively.</w:t>
      </w:r>
    </w:p>
    <w:p>
      <w:pPr>
        <w:spacing w:after="0"/>
        <w:rPr>
          <w:sz w:val="20"/>
          <w:szCs w:val="20"/>
          <w:color w:val="auto"/>
        </w:rPr>
      </w:pPr>
      <w:r>
        <w:rPr>
          <w:rFonts w:ascii="Times New Roman" w:cs="Times New Roman" w:eastAsia="Times New Roman" w:hAnsi="Times New Roman"/>
          <w:sz w:val="18"/>
          <w:szCs w:val="18"/>
          <w:color w:val="auto"/>
        </w:rPr>
        <w:t>Amortization expense related to software costs was immaterial for the three months ended March 31, 2025 and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48"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22860</wp:posOffset>
            </wp:positionV>
            <wp:extent cx="2228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(50,906)</w:t>
            </w:r>
          </w:p>
        </w:tc>
        <w:tc>
          <w:tcPr>
            <w:tcW w:w="20" w:type="dxa"/>
            <w:vAlign w:val="bottom"/>
          </w:tcPr>
          <w:p>
            <w:pPr>
              <w:spacing w:after="0"/>
              <w:rPr>
                <w:sz w:val="22"/>
                <w:szCs w:val="22"/>
                <w:color w:val="auto"/>
              </w:rPr>
            </w:pPr>
          </w:p>
        </w:tc>
      </w:tr>
      <w:tr>
        <w:trPr>
          <w:trHeight w:val="25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(9,474)</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19,094</w:t>
            </w:r>
          </w:p>
        </w:tc>
        <w:tc>
          <w:tcPr>
            <w:tcW w:w="20" w:type="dxa"/>
            <w:vAlign w:val="bottom"/>
          </w:tcPr>
          <w:p>
            <w:pPr>
              <w:spacing w:after="0"/>
              <w:rPr>
                <w:sz w:val="22"/>
                <w:szCs w:val="22"/>
                <w:color w:val="auto"/>
              </w:rPr>
            </w:pPr>
          </w:p>
        </w:tc>
      </w:tr>
      <w:tr>
        <w:trPr>
          <w:trHeight w:val="27"/>
        </w:trPr>
        <w:tc>
          <w:tcPr>
            <w:tcW w:w="41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22"/>
                <w:szCs w:val="22"/>
                <w:color w:val="auto"/>
              </w:rPr>
            </w:pPr>
          </w:p>
        </w:tc>
      </w:tr>
      <w:tr>
        <w:trPr>
          <w:trHeight w:val="688"/>
        </w:trPr>
        <w:tc>
          <w:tcPr>
            <w:tcW w:w="4180" w:type="dxa"/>
            <w:vAlign w:val="bottom"/>
          </w:tcPr>
          <w:p>
            <w:pPr>
              <w:spacing w:after="0"/>
              <w:rPr>
                <w:sz w:val="24"/>
                <w:szCs w:val="24"/>
                <w:color w:val="auto"/>
              </w:rPr>
            </w:pPr>
          </w:p>
        </w:tc>
        <w:tc>
          <w:tcPr>
            <w:tcW w:w="35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1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overall effective income tax rate in each of the periods presented above varies from the U.S. federal statutory rate primarily because (i) a portion of the Company’s income is allocated to non-controlling interests held in PWP OpCo in which the majority of any tax liability on such income is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borne by the holders of such non-controlling interests and reported outside of the condensed consolidated financial statements and (ii) permanent differences related to compensation expenses.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and December 31, 2024, the Company recorded a liability for unrecognized tax benefits of $2.4 million and $2.2 million,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respectively, primarily related to potential double taxation at certain of its foreign subsidiaries. The Company does not expect there to be any material changes to uncertain tax positions within 12 months of the reporting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 and Redeemable Non-Controlling Interests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Offering</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stock. Since inception of the share repurchase program, 13,670,131 shares have been purchased at an average price per share of $8.82 through March 31, 2025 for a total purchase price of $120.6 million. Prior to the implementation of the stock repurchase program, on August 9, 2021, the Company repurchased 1,000,000 founder shares at a purchase price of $12.00 per share for a total purchase price of $12.0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As a result of the Merger, the Non-controlling interests on the Condensed Consolidated Statements of Financial Condition were reclassified to Redeemable non-controlling interests within temporary equity. Redeemable non-controlling interests are presented at their redemption value as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reporting date and represent the ownership interests in PWP OpCo held by holders other than Perella Weinberg Partners. As of March 31, 2025, the current and former working partners collectively own 26,190,514 PWP OpCo Units, which represents a 29.6% non-controlling ownership interest in PWP OpCo.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Holders of PWP OpCo Units (the “PWP OpCo Unitholders”) other than the Company may exchange their units for (i) shares of Class A common 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restrictions for any holder with respect to all or a portion of such holder’s units, with no obligation to do so for any other holder.</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three months ended March 31, 2025, the Company elected to settle exchanges of 1,270,086 PWP OpCo Units and corresponding shares of Class B common stock at a price of $22.65 per PWP OpCo Unit for $28.3 million in cash as well as the non-cash settlement of certain partner loans (refer</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to Note 15—Related Party Transactions for more information). During the three months ended March 31, 2024, the Company settled exchanges of certain PWP OpCo Units and corresponding shares of Class B common stock for 794,146 of Class A common stock. To the extent an exchange creates a step-up in tax basis, the Company records an increase in Deferred tax assets, net, Amounts due pursuant to tax receivable agreement, and Additional paid-in-capital.</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no outstanding debt. The Company has a revolving credit facility (the “Revolving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Credit Facility”) through an amended and restated credit agreement with Cadence Bank, N.A. (“Cadence Bank”), dated November 30, 2016 (as amended, the “Credit Agreement”), with an available line of credit of $50.0 million with up to $20.0 million of available incremental revolving commitments, and a maturity date of July 1, 2028. Issuance costs incurred related to the Credit Agreement are amortized as interest expense using the effective interest method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over the life of the Revolving Credit Facility. The Company is also charged a quarterly commitment fee of 0.25% on any unused portion of the line of credit, which is recorded as interest expense. Interest expense related to the Revolving Credit Facility was immaterial during the three months ended March 31, 2025 and 2024 and is included within Other income (expense) on the Condensed Consolidated Statements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Further information regarding the Company’s equity-based compensation awards is described in Note 11—Equity-Based Compensation in the Notes to Consolidated Financial Statements in “Part II. Item 8. Financial Statements and Supplementary Data” in the Company’s Annual Report on Form 10-K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Class A common stock reserved for issuance from the General Share Reserve increases each year.</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connection with the Business Combination, the Company granted awards (the “Business Combination Awards”) in the form of (a) RSUs that vest upon the achievement of service conditions (“Transaction RSUs”) and (b) PSUs that only vest upon the achievement of both service and market conditions,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including certain long-term incentive awards granted to management (“Transaction PSUs”). During the three months ended March 31, 2025 and 2024, 1,287,329 and 181,120 Business Combination Awards vested with a total fair value of $30.8 million and $2.0 million, respectively. As of March 31, 2025, the price targets ranging from $12.00 to $20.00 as well substantially all of the $25.00 price target were met for the Transaction PSUs.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 During the three months ended March 31, 2025 and 2024, the Company granted 5,086,594 and 6,125,742 General RSUs at a weighted average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grant date fair value of $23.82 and $13.30 per award, respectively. During the three months ended March 31, 2025 and 2024, 5,455,764 and 3,906,040 General RSUs vested with a total fair value of $126.0 million and $51.6 million, respectively. During the three months ended March 31, 2025 and 2024, no General PSUs vested and none were granted. As of March 31, 2025, the price targets ranging from $15.00 to $20.00 as well substantially all of the $25.00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target were met for the General PSUs.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Partners Awards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connection with the Business Combination and a related internal reorganization of Professional Partners, existing equity-based awards were canceled and replaced by converting each limited partner’s capital interests in Professional Partners attributable to PWP OpCo into OCUs, VCUs, and/or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cash-settled ACUs referenced below, and are eligible for the same exchange rights as other PWP OpCo Units, subject to certain lock-up periods. Refer to Note 9—Stockholders’ Equity and Redeemable Non-Controlling Interests for more information on exchange rights.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treatment of vested restricted stock units of the Company. As of March 31, 2025 and December 31, 2024, $6.9 million and $10.3 million, respectively, of withholding taxes payable related to the Vesting Acceleration is included in Accounts payable, accrued expenses and other liabilities on the Condensed Consolidated Statement of Financial Condition.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Prior to the Merger, all of the compensation expense and corresponding capital contribution associated with the Professional Partners Awards were allocated to Non-controlling interests on the Condensed Consolidated Statements of Operations and Condensed Consolidated Statements of Financial Condition as the granting of the Professional Partners Awards did not change Professional Partners’ interest in PWP OpCo and did not economically dilute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allocated the remaining cost associated with the Professional Partners Awards between Perella Weinberg Partners and non-controlling interests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 to their ownership interests, which is consistent with the allocation of the other profit and loss activity of PWP OpCo.</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Condensed Consolidated Statements of Operations:</w:t>
      </w:r>
    </w:p>
    <w:p>
      <w:pPr>
        <w:spacing w:after="0" w:line="24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Partners Awards</w:t>
            </w:r>
          </w:p>
        </w:tc>
        <w:tc>
          <w:tcPr>
            <w:tcW w:w="10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0" w:type="dxa"/>
            <w:vAlign w:val="bottom"/>
          </w:tcPr>
          <w:p>
            <w:pPr>
              <w:spacing w:after="0"/>
              <w:rPr>
                <w:sz w:val="1"/>
                <w:szCs w:val="1"/>
                <w:color w:val="auto"/>
              </w:rPr>
            </w:pPr>
          </w:p>
        </w:tc>
      </w:tr>
      <w:tr>
        <w:trPr>
          <w:trHeight w:val="27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all unvested equity-based awards was $216.3 million, which is expected to be recognized over a weighted average period of 2.3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participate in employee benefit plans, which consist of defined contribution plans including (i) profit-sharing plans qualified under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401(k) of the Internal Revenue Code, (ii) a U.K. pension scheme for U.K. employees and (iii) a German pension plan for employees in Germany. Expenses related to the Company’s employee benefit plans were $1.8 million for each of the three months ended March 31, 2025 and 2024 and are included in Compensation and benefits on the Condensed Consolidated Statements of Operations.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incurred the remainder of expenses related to a prior year business realignment,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separation and transition benefits of $1.8 million and the acceleration of equity-based compensation amortization of $1.5 million. Such amounts are presented in Compensation and benefits and Equity-based compensation on the Condensed Consolidated Statements of Operations, respectively. Business realignment payments of $11.1 million were made during three months ended March 31, 2024, and there were no remaining liabilities outstanding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7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3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vesting of PWP Incentive Plan Awards, net of tax</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62,138,123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49,200,283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41,319,075</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vesting of PWP Incentive Plan Awards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13,701,454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75,839,577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90,519,358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4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OpCo Units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27,051,350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5,278,079</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27,051,350</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5,278,079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98"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58"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measurement. The Company’s assessment of the significance of a particular input to the fair value measurement in its entirety requires judgment and considers factors specific to the instrument.</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March 31, 2025 and December 31, 2024, the fair values of cash, restricted cash, accounts receivable, due from related parties, accounts payable and certain accrued liabilities approximate their carrying amounts due to the short-term nature of these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were measured on a recurring basis pursuant to the above fair value hierarchy levels as of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The Company held no financial instruments subject to fair value measurement as of March 31, 2025. The Company had no transfers between fair value levels during the three months ended March 31, 2025 and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Company held investments in U.S. Treasury securities with original maturities greater than three months from the date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purchase, which are presented at fair value as Investments in short-term marketable debt securities on the Condensed Consolidated Statements of Financial Condition. These investments had an aggregate cost basis of $74.9 million as of December 31, 2024. As of December 31, 2024, the Company also held $20.2 million of investments in U.S. Treasury securities with original maturities of three months or less from the date of purchase, which are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presented within Cash and cash equivalents on the Condensed Consolidated Statements of Financial Condition. The Company had $0.2 million and $0.3 million of interest income and net unrealized gains (losses) on U.S. Treasury securities for the three months ended March 31, 2025 and 2024, respectively, which is included in Other income (expense) on the Condensed Consolidated Statements of Operations.</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2025, the Company had an amount due of $65.5 million pursuant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tax receivable agreement, which are exclusive of potential payments in respect of future exchanges and may differ significantly from actual payments made: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c>
          <w:tcPr>
            <w:tcW w:w="0" w:type="dxa"/>
            <w:vAlign w:val="bottom"/>
          </w:tcPr>
          <w:p>
            <w:pPr>
              <w:spacing w:after="0"/>
              <w:rPr>
                <w:sz w:val="1"/>
                <w:szCs w:val="1"/>
                <w:color w:val="auto"/>
              </w:rPr>
            </w:pPr>
          </w:p>
        </w:tc>
      </w:tr>
      <w:tr>
        <w:trPr>
          <w:trHeight w:val="238"/>
        </w:trPr>
        <w:tc>
          <w:tcPr>
            <w:tcW w:w="902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Consolidated Statements of Financial Condition. As of March 31, 2025 and December 31, 2024, substantially all of the Partner Promissory Notes were settled.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PWP OpCo and certain of its subsidiaries have agreed to provide loans to or make payments on behalf of certain partners. As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March 31, 2025 and December 31, 2024, $0.6 million and $1.1 million, respectively, of amounts due from partners are recognized in Due from related parties on the Condensed Consolidated Statements of Financial Condition.</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$0.5 million of principal and interest related to partner loans was effectively repaid through the cancellation of PWP OpCo units held by such partners.</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Merger on April 1, 2024 was effected to simplify the structure for the partners in Professional Partners with respect to their indirect interests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arrangements is unknown. As of March 31, 2025 and December 31, 2024, the Company expects no claims or losses pursuant to these contracts; therefore, no liability has been recorded related to these indemnification provisions.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proceedings or claims would individually or in the aggregate have a material adverse effect on the consolidated financial statements of the Company as of March 31, 2025 and December 31, 2024 and for the three months ended March 31, 2025 and 2024.</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2015, the Company filed a complaint against three former partners and one former employee which alleges they entered into a scheme while at PWP</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lift out the Company’s restructuring group to form a new competing firm that they were secretly forming in breach of their contractual and fiduciary duties. The complaint contains 14 causes of action and seeks declaratory relief as well as damages. A bench trial took place from January 24, 2025 through March 14, 2025. The court has yet to issue a decision.</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Company incurred $11.4 million and $2.3 million during the three months ended March 31, 2025 and 2024, respectively, in legal and professional fees, net of expected insurance reimbursement, related to this litigation. These litigation costs are included in Professional fees on the Condensed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and Geographic Information</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managed on a consolidated basis, which results in one reportable segment: Advisory.</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Policies.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2025, one individual client accounted for more than 10% of aggregate revenues, and for the three months ended March 31, 2024, one individual client accounted for more than 10% of aggregate revenues.</w:t>
      </w:r>
    </w:p>
    <w:p>
      <w:pPr>
        <w:spacing w:after="0" w:line="172"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3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36830</wp:posOffset>
            </wp:positionV>
            <wp:extent cx="20745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82,689</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410,520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687,784</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570,468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876,751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18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April 1, 2025, the Company entered into an agreement to sublease a portion of its New York office space to a third party. The Company expects to earn total sublease income of $27.5 million over the initial seven year sublease term. Sublease commencement is anticipated in the third quarter of 2025.</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April 30, 2025, the Company’s Board of Directors declared a cash dividend of $0.07 per outstanding share of Class A common stock. This dividend will be paid on May 30, 2025 to Class A common stockholders of record on May 14, 2025. Holders of Class B common stock will also receive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equal to the amount of dividends declared on 0.001 shares of Class A common stock.</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a leading global independent advisory firm that provides strategic and financial advice to clients across some of the most active industry sectors</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 1A. Risk Factors” in the Company’s Annual Report on Form 10-K for the year ended December 31, 2024 as filed with the SEC on February 27,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Today’s market environment for an advisory business is challenging, the result of government actions and geopolitical tensions, though client dialogues remain active.</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a discussion of some of the factors that can affect our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creditors. In such cases, our advisory fees may be limited to monthly retainer fees plus the reimbursement of expenses.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and benefits expenses consist of salaries, bonuses (discretionary awards and guaranteed amounts), severance, payroll and related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for our employees. Such factors can fluctuate, including headcount and revenues earned, and as a result, our compensation expenses may fluctuate materially in any particular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Merger, the amortization expense for certain equity-based awards granted by Professional Partners was allocated fully to non-controlling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interests. As a result of the Merger, these awards were considered granted by PWP OpCo and PWP OpCo as a whole bore the cost of the cash settlement feature of the awards, which was added in conjunction with the Merger. As a result, subsequent to the Merger, the Company allocated the costs associated with these awards between Perella Weinberg Partners and non-controlling interests in proportion to their ownership interests, which is consistent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the other profit and loss activity of PWP OpCo.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 with an exception for certain equity-based compensation expense which was fully allocated to non-controlling interests prior to the Merger.</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7"/>
        </w:trPr>
        <w:tc>
          <w:tcPr>
            <w:tcW w:w="6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24"/>
                <w:szCs w:val="24"/>
                <w:color w:val="auto"/>
              </w:rPr>
            </w:pPr>
          </w:p>
        </w:tc>
      </w:tr>
      <w:tr>
        <w:trPr>
          <w:trHeight w:val="238"/>
        </w:trPr>
        <w:tc>
          <w:tcPr>
            <w:tcW w:w="6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Pr>
          <w:p>
            <w:pPr>
              <w:spacing w:after="0"/>
              <w:rPr>
                <w:sz w:val="20"/>
                <w:szCs w:val="20"/>
                <w:color w:val="auto"/>
              </w:rPr>
            </w:pPr>
          </w:p>
        </w:tc>
      </w:tr>
      <w:tr>
        <w:trPr>
          <w:trHeight w:val="40"/>
        </w:trPr>
        <w:tc>
          <w:tcPr>
            <w:tcW w:w="6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7"/>
        </w:trPr>
        <w:tc>
          <w:tcPr>
            <w:tcW w:w="6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107%</w:t>
            </w:r>
          </w:p>
        </w:tc>
      </w:tr>
      <w:tr>
        <w:trPr>
          <w:trHeight w:val="25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79%</w:t>
            </w:r>
          </w:p>
        </w:tc>
      </w:tr>
      <w:tr>
        <w:trPr>
          <w:trHeight w:val="283"/>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29%</w:t>
            </w:r>
          </w:p>
        </w:tc>
      </w:tr>
      <w:tr>
        <w:trPr>
          <w:trHeight w:val="27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(91)%</w:t>
            </w:r>
          </w:p>
        </w:tc>
      </w:tr>
      <w:tr>
        <w:trPr>
          <w:trHeight w:val="27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(expenses)</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(91)%</w:t>
            </w:r>
          </w:p>
        </w:tc>
      </w:tr>
      <w:tr>
        <w:trPr>
          <w:trHeight w:val="27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83"/>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7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50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8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three months ended March 31, 2025 and 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2"/>
        </w:trPr>
        <w:tc>
          <w:tcPr>
            <w:tcW w:w="6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24"/>
                <w:szCs w:val="24"/>
                <w:color w:val="auto"/>
              </w:rPr>
            </w:pPr>
          </w:p>
        </w:tc>
      </w:tr>
      <w:tr>
        <w:trPr>
          <w:trHeight w:val="243"/>
        </w:trPr>
        <w:tc>
          <w:tcPr>
            <w:tcW w:w="6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8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w:t>
            </w:r>
          </w:p>
        </w:tc>
      </w:tr>
      <w:tr>
        <w:trPr>
          <w:trHeight w:val="28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$1.0 million</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7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Revenues were $211.8 million for the three months ended March 31, 2025 as compared to $102.1 million for the three months ended March 31, 2024, representing an increase of 107%. The increase was attributable to increased mergers and acquisition and financing and capital solutions activity, driven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larger transactions and related fee events across the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2025, total compensation and benefits expenses were $149.2 million, an increase of 29% compared to $115.4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million for the three months ended March 31, 2024. Notwithstanding a lower compensation margin, the increase in total compensation and benefits expenses directly correlates to a higher bonus accrual on higher revenues in the current period. This increase was partially offset by lower equity-based compensation expense due to the vesting of all Professional Partners Awards and certain Business Combination Awards in the second and third quarter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2025, total non-compensation expenses were $50.9 million, an increase of 26% compared to $40.3 million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three months ended March 31, 2024. The increase in non-compensation expenses was primarily the result of higher litigation spend and an uptick in travel and related expenses due to the volume and cost of travel. This increase was partially offset by a reduction in certain professional fees that were incurred in the prior year period due to the Merger.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three months ended March 31, 2025, non-operating income was $0.2 million compared to non-operating income of $2.7 million for the three months ended March 31, 2024. In the current period, non-operating income included interest income, which was substantially offset by a net loss from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foreign exchange rate fluctuations. Non-operating income in the prior year period primarily included interest income and a net gain from foreign exchange rate fluctuations. For both periods, the impact of foreign exchange rate fluctuations was largely related to U.S. dollar-denominated cash and intercompany receivables held by our foreign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income tax benefit and effective tax rate were $(9.5) million and (79.6)%, respectively, for the three months ended March 31, 2025 compared to an income tax expense and effective tax rate of $19.1 million and (37.5)%, respectively, for the three months ended March 31, 2024.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change in the effective tax rate was primarily due to the relative size of our permanent differences in relation to the pre-tax income (loss) in the respective periods. In addition, the Company recognized a $12.5 million tax benefit associated with the appreciation in our share price upon vesting of RSUs above the original grant price during the three months ended March 31, 2025 versus $1.6 million in the prior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typically for working capital, operating expenses (including cash compensation for our employees), repurchasing shares of the Company’s Class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Therefore, levels of cash and cash equivalents and/or investments in short-term marketable debt securities generally decline during the first quarter and build over the remainder of the year.</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assets are typically composed of cash and cash equivalents, investments in short-term marketable debt securities, receivables related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date of purchase. We had cash balances of $111.2 million with no cash equivalents as of March 31, 2025. As of December 31, 2024, our cash and cash equivalents totaled $331.6 million, which included $20.2 million of cash equivalents in the form of investments in U.S. Treasury securities. Additionally, as of December 31, 2024, the Company held U.S. Treasury securities of $75.8 million, which were classified as Investments in short-term marketable debt securities within the condensed consolidated financial statements.</w:t>
      </w:r>
    </w:p>
    <w:p>
      <w:pPr>
        <w:spacing w:after="0" w:line="173"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typically have net terms of 30 days. Accounts receivable, net of allowance for credit losses, were $46.6 million and $73.3 million as of March 31, 2025 and December 31, 2024, respectively.</w:t>
      </w:r>
    </w:p>
    <w:p>
      <w:pPr>
        <w:spacing w:after="0" w:line="17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March 31, 2025, we had no outstanding balance related to the Revolving Credit Facility and no incremental revolving commitments were incurred. For further information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refer to Note 10—Debt in the notes to condensed consolidated financial statements included elsewhere in this Form 10-Q.</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ind w:firstLine="324"/>
        <w:spacing w:after="0" w:line="237" w:lineRule="auto"/>
        <w:rPr>
          <w:sz w:val="20"/>
          <w:szCs w:val="20"/>
          <w:color w:val="auto"/>
        </w:rPr>
      </w:pPr>
      <w:r>
        <w:rPr>
          <w:rFonts w:ascii="Times New Roman" w:cs="Times New Roman" w:eastAsia="Times New Roman" w:hAnsi="Times New Roman"/>
          <w:sz w:val="18"/>
          <w:szCs w:val="18"/>
          <w:color w:val="auto"/>
        </w:rPr>
        <w:t>On March 1, 2024, we issued and sold 5,750,000 shares of Class A common stock at a price of $12.00 per share for net proceeds of $66.0 million after deducting underwriting discounts and offering costs.</w:t>
      </w:r>
    </w:p>
    <w:p>
      <w:pPr>
        <w:spacing w:after="0" w:line="172"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During the first quarter of 2025, we elected to settle exchanges of certain PWP OpCo Units and corresponding shares of Class B common stock for $28.3 million in cash. We also repurchased 749,432 shares at an average price per share of $19.27 pursuant to our share repurchase program.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current market conditions, we believe that our cash on hand, net cash generated from operations, and the available borrowing capacity under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Revolving Credit Facility will be sufficient to meet our operating needs and commitments for the next twelve months; however, if these sources of liquidity are not sufficient, we may seek additional debt or equity financing.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84"/>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(223,851)</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0" w:type="dxa"/>
            <w:vAlign w:val="bottom"/>
          </w:tcPr>
          <w:p>
            <w:pPr>
              <w:spacing w:after="0"/>
              <w:rPr>
                <w:sz w:val="1"/>
                <w:szCs w:val="1"/>
                <w:color w:val="auto"/>
              </w:rPr>
            </w:pPr>
          </w:p>
        </w:tc>
      </w:tr>
      <w:tr>
        <w:trPr>
          <w:trHeight w:val="26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(206,345)</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73,867</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82,727</w:t>
            </w:r>
          </w:p>
        </w:tc>
        <w:tc>
          <w:tcPr>
            <w:tcW w:w="0" w:type="dxa"/>
            <w:vAlign w:val="bottom"/>
          </w:tcPr>
          <w:p>
            <w:pPr>
              <w:spacing w:after="0"/>
              <w:rPr>
                <w:sz w:val="1"/>
                <w:szCs w:val="1"/>
                <w:color w:val="auto"/>
              </w:rPr>
            </w:pPr>
          </w:p>
        </w:tc>
      </w:tr>
      <w:tr>
        <w:trPr>
          <w:trHeight w:val="28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33,793</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(220,265)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(90,483)</w:t>
            </w:r>
          </w:p>
        </w:tc>
        <w:tc>
          <w:tcPr>
            <w:tcW w:w="0" w:type="dxa"/>
            <w:vAlign w:val="bottom"/>
          </w:tcPr>
          <w:p>
            <w:pPr>
              <w:spacing w:after="0"/>
              <w:rPr>
                <w:sz w:val="1"/>
                <w:szCs w:val="1"/>
                <w:color w:val="auto"/>
              </w:rPr>
            </w:pPr>
          </w:p>
        </w:tc>
      </w:tr>
      <w:tr>
        <w:trPr>
          <w:trHeight w:val="28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332,771</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112,506</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p>
      <w:pPr>
        <w:spacing w:after="0" w:line="18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$176.5 million primarily attributable to cash operating expense outflows, including discretionary bonuses paid during the first quarter of 2025 with respect to prior year compensation expense, partially offset by cash collections from clients.</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Investing activities resulted in a net cash inflow of $73.9 million attributable to the maturation of investments in U.S. Treasury securities, which was nominally offset by capital expenditures related to office space renovations.</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Financing activities resulted in a net cash outflow of $120.8 million primarily due to withholding tax payments for vested PWP Incentive Plan Awards, the cash settlement of exchanges of PWP OpCo Units, share repurchases, and dividend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p>
      <w:pPr>
        <w:spacing w:after="0" w:line="18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Operating activities resulted in a net cash outflow of $206.3 million primarily attributable to cash operating expense outflows, including discretionary bonuses paid during the first quarter of 2024 with respect to prior year compensation expense, partially offset by cash collections from clients.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Investing activities resulted in a net cash inflow of $82.7 million largely attributable to the maturation of investments in U.S. Treasury securities, partially offset by capital expenditures related to office space renovations.</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inflow of $33.8 million primarily due to a share issuance, partially offset by withholding tax payments for vested PWP Incentive Plan Awards, dividend payments and distributions to partners.</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board of directors approved a stock repurchase program under which we are authorized to repurchase up to $200.0 million of our Class A common</w:t>
      </w:r>
    </w:p>
    <w:p>
      <w:pPr>
        <w:spacing w:after="0" w:line="1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stock with no requirement to purchase any minimum number of shares. As of March 31, 2025, $79.4 million remains of the $200.0 million authorized for share repurchases.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accordance with the limited partnership agreement of PWP OpCo, holders of PWP OpCo Units (other than the Company) may exchange these units for (i) 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our liquidity and capital resources, market conditions, the timing and concentration of exchange elections and other factors. See Note 9—Stockholders’ Equity and Redeemable Non-Controlling Interests in the notes to the condensed consolidated financial statements included elsewhere in the Form 10-Q for further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2025, we had an amount due of $65.5 million pursuant to the tax receivable agreement, which represents management’s best estimate of the amounts currently expected to be owed in connection with the tax receivable agreement for the Business Combination and subsequent exchanges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made to date. See Note 15—Related Party Transactions in the notes to the condensed consolidated financial statements included elsewhere in the Form 10-Q for further information as well as the expected timing of payments.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have various non-cancelable operating leases for our office space and certain equipment. As of March 31, 2025, we had $185.5 million of operating lease liabilities. See Note 4—Leases in the notes to condensed consolidated financial statements included elsewhere in this Form 10-Q for further information as well as the expected timing of payments.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We believe our cash and cash equivalents are not subject to any material interest rate risk, equity price risk, credit risk or other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w:t>
      </w:r>
    </w:p>
    <w:p>
      <w:pPr>
        <w:jc w:val="both"/>
        <w:spacing w:after="0" w:line="219" w:lineRule="auto"/>
        <w:rPr>
          <w:sz w:val="20"/>
          <w:szCs w:val="20"/>
          <w:color w:val="auto"/>
        </w:rPr>
      </w:pPr>
      <w:r>
        <w:rPr>
          <w:rFonts w:ascii="Times New Roman" w:cs="Times New Roman" w:eastAsia="Times New Roman" w:hAnsi="Times New Roman"/>
          <w:sz w:val="18"/>
          <w:szCs w:val="18"/>
          <w:color w:val="auto"/>
        </w:rPr>
        <w:t>Canadian dollar and our reporting currency, the U.S. dollar. For the three months ended March 31, 2025 and 2024, the net impact of non-functional currency related transaction gains (losses) recorded in Other income (expense) on our Condensed Consolidated Statements of Operations was</w:t>
      </w:r>
    </w:p>
    <w:p>
      <w:pPr>
        <w:jc w:val="both"/>
        <w:spacing w:after="0" w:line="208" w:lineRule="auto"/>
        <w:rPr>
          <w:sz w:val="20"/>
          <w:szCs w:val="20"/>
          <w:color w:val="auto"/>
        </w:rPr>
      </w:pPr>
      <w:r>
        <w:rPr>
          <w:rFonts w:ascii="Times New Roman" w:cs="Times New Roman" w:eastAsia="Times New Roman" w:hAnsi="Times New Roman"/>
          <w:sz w:val="18"/>
          <w:szCs w:val="18"/>
          <w:color w:val="auto"/>
        </w:rPr>
        <w:t>$(1.8) million and $0.5 million, respectively, primarily related to U.S. dollar-denominated cash and intercompany receivables held by our foreign subsidiaries as the strength of the U.S. dollar fluctuated. For the three months ended March 31, 2025 and 2024, the net impact from the fluctuation of foreign currencies recorded in Foreign currency translation gain (loss) on our Condensed Consolidated Statements of Comprehensive Income (Loss) was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$2.8 million and $(1.2) million, respectively. We have not entered into any transactions to hedge our exposure to these foreign currency fluctuations using derivative instruments or other methods but may do so if we deem appropriate in the future. As of March 31, 2025, we held cash balances of $26.9 million in non-U.S. dollar currencies, composed of pound sterling, euros, and Canadian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contingent assets and liabilities. Actual results could differ from those estimates. Estimates and the assumptions underlying these estimates are reviewed periodically, and the effects of revisions are reflected in the period in which they are determined to be necessary. For a discussion of our critical accounting estimates, refer to our Annual Report on Form 10-K filed on February 27,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“Management’s Discussion and Analysis of Financial Condition and Results of Operations – Market Risk and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Exchange Act included in this Quarterly Report on Form 10-Q as Exhibits 31.1 and 31.2.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specified in SEC rules and forms, and that such information is accumulated and communicated to management to allow timely decisions regarding required disclosures.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principal executive officer and principal financial officer, evaluated the effectiveness of the design and operation of our disclosure controls and procedures as of March 31, 2025.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condensed consolidated financial statements included elsewhere in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2024 as filed with the SEC on February 27,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March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5"/>
                <w:szCs w:val="15"/>
                <w:color w:val="auto"/>
              </w:rPr>
            </w:pPr>
          </w:p>
        </w:tc>
        <w:tc>
          <w:tcPr>
            <w:tcW w:w="26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c>
          <w:tcPr>
            <w:tcW w:w="0" w:type="dxa"/>
            <w:vAlign w:val="bottom"/>
          </w:tcPr>
          <w:p>
            <w:pPr>
              <w:spacing w:after="0"/>
              <w:rPr>
                <w:sz w:val="1"/>
                <w:szCs w:val="1"/>
                <w:color w:val="auto"/>
              </w:rPr>
            </w:pPr>
          </w:p>
        </w:tc>
      </w:tr>
      <w:tr>
        <w:trPr>
          <w:trHeight w:val="189"/>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vMerge w:val="restart"/>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6"/>
                <w:szCs w:val="16"/>
                <w:color w:val="auto"/>
              </w:rPr>
            </w:pPr>
          </w:p>
        </w:tc>
        <w:tc>
          <w:tcPr>
            <w:tcW w:w="10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6"/>
                <w:szCs w:val="16"/>
                <w:color w:val="auto"/>
              </w:rPr>
            </w:pPr>
          </w:p>
        </w:tc>
        <w:tc>
          <w:tcPr>
            <w:tcW w:w="26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7"/>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93,823,525</w:t>
            </w:r>
          </w:p>
        </w:tc>
        <w:tc>
          <w:tcPr>
            <w:tcW w:w="0" w:type="dxa"/>
            <w:vAlign w:val="bottom"/>
          </w:tcPr>
          <w:p>
            <w:pPr>
              <w:spacing w:after="0"/>
              <w:rPr>
                <w:sz w:val="1"/>
                <w:szCs w:val="1"/>
                <w:color w:val="auto"/>
              </w:rPr>
            </w:pPr>
          </w:p>
        </w:tc>
      </w:tr>
      <w:tr>
        <w:trPr>
          <w:trHeight w:val="2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c>
          <w:tcPr>
            <w:tcW w:w="0" w:type="dxa"/>
            <w:vAlign w:val="bottom"/>
          </w:tcPr>
          <w:p>
            <w:pPr>
              <w:spacing w:after="0"/>
              <w:rPr>
                <w:sz w:val="1"/>
                <w:szCs w:val="1"/>
                <w:color w:val="auto"/>
              </w:rPr>
            </w:pPr>
          </w:p>
        </w:tc>
      </w:tr>
      <w:tr>
        <w:trPr>
          <w:trHeight w:val="284"/>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79,381,131</w:t>
            </w:r>
          </w:p>
        </w:tc>
        <w:tc>
          <w:tcPr>
            <w:tcW w:w="0" w:type="dxa"/>
            <w:vAlign w:val="bottom"/>
          </w:tcPr>
          <w:p>
            <w:pPr>
              <w:spacing w:after="0"/>
              <w:rPr>
                <w:sz w:val="1"/>
                <w:szCs w:val="1"/>
                <w:color w:val="auto"/>
              </w:rPr>
            </w:pPr>
          </w:p>
        </w:tc>
      </w:tr>
      <w:tr>
        <w:trPr>
          <w:trHeight w:val="27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24"/>
                <w:szCs w:val="24"/>
                <w:color w:val="auto"/>
              </w:rPr>
            </w:pP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16"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572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8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ind w:right="60"/>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ind w:right="60"/>
        <w:spacing w:after="0" w:line="305"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sz w:val="20"/>
          <w:szCs w:val="20"/>
          <w:color w:val="auto"/>
        </w:rPr>
      </w:pPr>
    </w:p>
    <w:p>
      <w:pPr>
        <w:sectPr>
          <w:pgSz w:w="11900" w:h="16838" w:orient="portrait"/>
          <w:cols w:equalWidth="0" w:num="2">
            <w:col w:w="1280" w:space="200"/>
            <w:col w:w="9620"/>
          </w:cols>
          <w:pgMar w:left="320" w:top="1346" w:right="479" w:bottom="1440" w:gutter="0" w:footer="0" w:header="0"/>
        </w:sectPr>
      </w:pPr>
    </w:p>
    <w:tbl>
      <w:tblPr>
        <w:tblLayout w:type="fixed"/>
        <w:tblInd w:w="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w:t>
            </w:r>
          </w:p>
        </w:tc>
      </w:tr>
      <w:tr>
        <w:trPr>
          <w:trHeight w:val="243"/>
        </w:trPr>
        <w:tc>
          <w:tcPr>
            <w:tcW w:w="1080" w:type="dxa"/>
            <w:vAlign w:val="bottom"/>
          </w:tcPr>
          <w:p>
            <w:pPr>
              <w:spacing w:after="0"/>
              <w:rPr>
                <w:sz w:val="21"/>
                <w:szCs w:val="21"/>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480" w:hanging="1454"/>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46" w:right="479" w:bottom="1440" w:gutter="0" w:footer="0" w:header="0"/>
          <w:type w:val="continuous"/>
        </w:sectPr>
      </w:pPr>
    </w:p>
    <w:bookmarkStart w:id="32" w:name="page33"/>
    <w:bookmarkEnd w:id="32"/>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00"/>
          </w:cols>
          <w:pgMar w:left="320" w:top="1346" w:right="9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2025,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2025,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lvl w:ilvl="1">
      <w:lvlJc w:val="left"/>
      <w:lvlText w:val="%2"/>
      <w:numFmt w:val="decimal"/>
      <w:start w:val="104"/>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2025-05-02T15:52:08Z</dcterms:created>
  <dcterms:modified xsi:type="dcterms:W3CDTF">2025-05-02T15:52:08Z</dcterms:modified>
</cp:coreProperties>
</file>