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0001867859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CLAUS DIETRICH BECKER</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177553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3586854.68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62521774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272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11/20/2024 vesting under a</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76287</w:t>
            </w:r>
          </w:p>
        </w:tc>
        <w:tc>
          <w:tcPr>
            <w:tcW w:w="274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11/20/2024 Services Rendered</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340" w:type="dxa"/>
            <w:vAlign w:val="bottom"/>
            <w:vMerge w:val="continue"/>
          </w:tcPr>
          <w:p>
            <w:pPr>
              <w:spacing w:after="0"/>
              <w:rPr>
                <w:sz w:val="10"/>
                <w:szCs w:val="10"/>
                <w:color w:val="auto"/>
              </w:rPr>
            </w:pPr>
          </w:p>
        </w:tc>
        <w:tc>
          <w:tcPr>
            <w:tcW w:w="272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01/21/2025 vesting under a</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101266</w:t>
            </w:r>
          </w:p>
        </w:tc>
        <w:tc>
          <w:tcPr>
            <w:tcW w:w="274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01/21/2025 Services Rendered</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-803910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08/08/2025</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Dietrich Becker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2025-08-08T15:49:27Z</dcterms:created>
  <dcterms:modified xsi:type="dcterms:W3CDTF">2025-08-08T15:49:27Z</dcterms:modified>
</cp:coreProperties>
</file>