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29"/>
          <w:szCs w:val="29"/>
          <w:b w:val="1"/>
          <w:bCs w:val="1"/>
          <w:color w:val="auto"/>
        </w:rPr>
        <w:drawing>
          <wp:anchor simplePos="0" relativeHeight="251657728" behindDoc="1" locked="0" layoutInCell="0" allowOverlap="1">
            <wp:simplePos x="0" y="0"/>
            <wp:positionH relativeFrom="page">
              <wp:posOffset>328295</wp:posOffset>
            </wp:positionH>
            <wp:positionV relativeFrom="page">
              <wp:posOffset>586105</wp:posOffset>
            </wp:positionV>
            <wp:extent cx="6900545" cy="171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900545" cy="17145"/>
                    </a:xfrm>
                    <a:prstGeom prst="rect">
                      <a:avLst/>
                    </a:prstGeom>
                    <a:noFill/>
                  </pic:spPr>
                </pic:pic>
              </a:graphicData>
            </a:graphic>
          </wp:anchor>
        </w:drawing>
        <w:drawing>
          <wp:anchor simplePos="0" relativeHeight="251657728" behindDoc="1" locked="0" layoutInCell="0" allowOverlap="1">
            <wp:simplePos x="0" y="0"/>
            <wp:positionH relativeFrom="page">
              <wp:posOffset>328295</wp:posOffset>
            </wp:positionH>
            <wp:positionV relativeFrom="page">
              <wp:posOffset>620395</wp:posOffset>
            </wp:positionV>
            <wp:extent cx="6900545" cy="171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900545" cy="17145"/>
                    </a:xfrm>
                    <a:prstGeom prst="rect">
                      <a:avLst/>
                    </a:prstGeom>
                    <a:noFill/>
                  </pic:spPr>
                </pic:pic>
              </a:graphicData>
            </a:graphic>
          </wp:anchor>
        </w:drawing>
        <w:t>UNITED STATES</w:t>
      </w:r>
    </w:p>
    <w:p>
      <w:pPr>
        <w:jc w:val="center"/>
        <w:spacing w:after="0" w:line="211" w:lineRule="auto"/>
        <w:rPr>
          <w:sz w:val="20"/>
          <w:szCs w:val="20"/>
          <w:color w:val="auto"/>
        </w:rPr>
      </w:pPr>
      <w:r>
        <w:rPr>
          <w:rFonts w:ascii="Arial" w:cs="Arial" w:eastAsia="Arial" w:hAnsi="Arial"/>
          <w:sz w:val="29"/>
          <w:szCs w:val="29"/>
          <w:b w:val="1"/>
          <w:bCs w:val="1"/>
          <w:color w:val="auto"/>
        </w:rPr>
        <w:t>SECURITIES AND EXCHANGE COMMISSION</w:t>
      </w:r>
    </w:p>
    <w:p>
      <w:pPr>
        <w:jc w:val="center"/>
        <w:spacing w:after="0"/>
        <w:rPr>
          <w:sz w:val="20"/>
          <w:szCs w:val="20"/>
          <w:color w:val="auto"/>
        </w:rPr>
      </w:pPr>
      <w:r>
        <w:rPr>
          <w:rFonts w:ascii="Arial" w:cs="Arial" w:eastAsia="Arial" w:hAnsi="Arial"/>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485140</wp:posOffset>
            </wp:positionH>
            <wp:positionV relativeFrom="paragraph">
              <wp:posOffset>29845</wp:posOffset>
            </wp:positionV>
            <wp:extent cx="6180455" cy="171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6180455" cy="17145"/>
                    </a:xfrm>
                    <a:prstGeom prst="rect">
                      <a:avLst/>
                    </a:prstGeom>
                    <a:noFill/>
                  </pic:spPr>
                </pic:pic>
              </a:graphicData>
            </a:graphic>
          </wp:anchor>
        </w:drawing>
      </w:r>
    </w:p>
    <w:p>
      <w:pPr>
        <w:spacing w:after="0" w:line="225" w:lineRule="exact"/>
        <w:rPr>
          <w:sz w:val="24"/>
          <w:szCs w:val="24"/>
          <w:color w:val="auto"/>
        </w:rPr>
      </w:pPr>
    </w:p>
    <w:p>
      <w:pPr>
        <w:jc w:val="center"/>
        <w:spacing w:after="0"/>
        <w:rPr>
          <w:sz w:val="20"/>
          <w:szCs w:val="20"/>
          <w:color w:val="auto"/>
        </w:rPr>
      </w:pPr>
      <w:r>
        <w:rPr>
          <w:rFonts w:ascii="Arial" w:cs="Arial" w:eastAsia="Arial" w:hAnsi="Arial"/>
          <w:sz w:val="29"/>
          <w:szCs w:val="29"/>
          <w:b w:val="1"/>
          <w:bCs w:val="1"/>
          <w:color w:val="auto"/>
        </w:rPr>
        <w:t>FORM 8-K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485140</wp:posOffset>
            </wp:positionH>
            <wp:positionV relativeFrom="paragraph">
              <wp:posOffset>74295</wp:posOffset>
            </wp:positionV>
            <wp:extent cx="6180455" cy="171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180455" cy="17145"/>
                    </a:xfrm>
                    <a:prstGeom prst="rect">
                      <a:avLst/>
                    </a:prstGeom>
                    <a:noFill/>
                  </pic:spPr>
                </pic:pic>
              </a:graphicData>
            </a:graphic>
          </wp:anchor>
        </w:drawing>
      </w:r>
    </w:p>
    <w:p>
      <w:pPr>
        <w:spacing w:after="0" w:line="200" w:lineRule="exact"/>
        <w:rPr>
          <w:sz w:val="24"/>
          <w:szCs w:val="24"/>
          <w:color w:val="auto"/>
        </w:rPr>
      </w:pPr>
    </w:p>
    <w:p>
      <w:pPr>
        <w:spacing w:after="0" w:line="248"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CURRENT REPORT</w:t>
      </w:r>
    </w:p>
    <w:p>
      <w:pPr>
        <w:jc w:val="center"/>
        <w:spacing w:after="0" w:line="204" w:lineRule="auto"/>
        <w:rPr>
          <w:sz w:val="20"/>
          <w:szCs w:val="20"/>
          <w:color w:val="auto"/>
        </w:rPr>
      </w:pPr>
      <w:r>
        <w:rPr>
          <w:rFonts w:ascii="Arial" w:cs="Arial" w:eastAsia="Arial" w:hAnsi="Arial"/>
          <w:sz w:val="22"/>
          <w:szCs w:val="22"/>
          <w:b w:val="1"/>
          <w:bCs w:val="1"/>
          <w:color w:val="auto"/>
        </w:rPr>
        <w:t>PURSUANT TO SECTION 13 OR 15(d)</w:t>
      </w:r>
    </w:p>
    <w:p>
      <w:pPr>
        <w:spacing w:after="0" w:line="1"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OF THE SECURITIES EXCHANGE ACT OF 1934</w:t>
      </w:r>
    </w:p>
    <w:p>
      <w:pPr>
        <w:spacing w:after="0" w:line="236"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Date of Report (Date of earliest event reported): February 17, 2023</w:t>
      </w:r>
    </w:p>
    <w:p>
      <w:pPr>
        <w:spacing w:after="0" w:line="76" w:lineRule="exact"/>
        <w:rPr>
          <w:sz w:val="24"/>
          <w:szCs w:val="24"/>
          <w:color w:val="auto"/>
        </w:rPr>
      </w:pPr>
    </w:p>
    <w:p>
      <w:pPr>
        <w:jc w:val="center"/>
        <w:spacing w:after="0"/>
        <w:rPr>
          <w:sz w:val="20"/>
          <w:szCs w:val="20"/>
          <w:color w:val="auto"/>
        </w:rPr>
      </w:pPr>
      <w:r>
        <w:rPr>
          <w:rFonts w:ascii="Arial" w:cs="Arial" w:eastAsia="Arial" w:hAnsi="Arial"/>
          <w:sz w:val="14"/>
          <w:szCs w:val="14"/>
          <w:b w:val="1"/>
          <w:bCs w:val="1"/>
          <w:color w:val="auto"/>
        </w:rPr>
        <w:t>Commission File Number: 001-39558</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485140</wp:posOffset>
            </wp:positionH>
            <wp:positionV relativeFrom="paragraph">
              <wp:posOffset>92075</wp:posOffset>
            </wp:positionV>
            <wp:extent cx="6180455" cy="171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180455" cy="17145"/>
                    </a:xfrm>
                    <a:prstGeom prst="rect">
                      <a:avLst/>
                    </a:prstGeom>
                    <a:noFill/>
                  </pic:spPr>
                </pic:pic>
              </a:graphicData>
            </a:graphic>
          </wp:anchor>
        </w:drawing>
      </w:r>
    </w:p>
    <w:p>
      <w:pPr>
        <w:spacing w:after="0" w:line="161" w:lineRule="exact"/>
        <w:rPr>
          <w:sz w:val="24"/>
          <w:szCs w:val="24"/>
          <w:color w:val="auto"/>
        </w:rPr>
      </w:pPr>
    </w:p>
    <w:p>
      <w:pPr>
        <w:jc w:val="center"/>
        <w:spacing w:after="0"/>
        <w:rPr>
          <w:sz w:val="20"/>
          <w:szCs w:val="20"/>
          <w:color w:val="auto"/>
        </w:rPr>
      </w:pPr>
      <w:r>
        <w:rPr>
          <w:rFonts w:ascii="Arial" w:cs="Arial" w:eastAsia="Arial" w:hAnsi="Arial"/>
          <w:sz w:val="40"/>
          <w:szCs w:val="40"/>
          <w:b w:val="1"/>
          <w:bCs w:val="1"/>
          <w:color w:val="auto"/>
        </w:rPr>
        <w:t>PERELLA WEINBERG PARTNERS</w:t>
      </w:r>
    </w:p>
    <w:p>
      <w:pPr>
        <w:jc w:val="center"/>
        <w:spacing w:after="0"/>
        <w:rPr>
          <w:sz w:val="20"/>
          <w:szCs w:val="20"/>
          <w:color w:val="auto"/>
        </w:rPr>
      </w:pPr>
      <w:r>
        <w:rPr>
          <w:rFonts w:ascii="Arial" w:cs="Arial" w:eastAsia="Arial" w:hAnsi="Arial"/>
          <w:sz w:val="13"/>
          <w:szCs w:val="13"/>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485140</wp:posOffset>
            </wp:positionH>
            <wp:positionV relativeFrom="paragraph">
              <wp:posOffset>96520</wp:posOffset>
            </wp:positionV>
            <wp:extent cx="6180455" cy="171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6180455" cy="17145"/>
                    </a:xfrm>
                    <a:prstGeom prst="rect">
                      <a:avLst/>
                    </a:prstGeom>
                    <a:noFill/>
                  </pic:spPr>
                </pic:pic>
              </a:graphicData>
            </a:graphic>
          </wp:anchor>
        </w:drawing>
      </w:r>
    </w:p>
    <w:p>
      <w:pPr>
        <w:spacing w:after="0" w:line="200" w:lineRule="exact"/>
        <w:rPr>
          <w:sz w:val="24"/>
          <w:szCs w:val="24"/>
          <w:color w:val="auto"/>
        </w:rPr>
      </w:pPr>
    </w:p>
    <w:p>
      <w:pPr>
        <w:spacing w:after="0" w:line="318" w:lineRule="exact"/>
        <w:rPr>
          <w:sz w:val="24"/>
          <w:szCs w:val="24"/>
          <w:color w:val="auto"/>
        </w:rPr>
      </w:pPr>
    </w:p>
    <w:tbl>
      <w:tblPr>
        <w:tblLayout w:type="fixed"/>
        <w:tblInd w:w="1020" w:type="dxa"/>
        <w:tblCellMar>
          <w:top w:w="0" w:type="dxa"/>
          <w:left w:w="0" w:type="dxa"/>
          <w:bottom w:w="0" w:type="dxa"/>
          <w:right w:w="0" w:type="dxa"/>
        </w:tblCellMar>
      </w:tblPr>
      <w:tr>
        <w:trPr>
          <w:trHeight w:val="230"/>
        </w:trPr>
        <w:tc>
          <w:tcPr>
            <w:tcW w:w="4800" w:type="dxa"/>
            <w:vAlign w:val="bottom"/>
          </w:tcPr>
          <w:p>
            <w:pPr>
              <w:jc w:val="center"/>
              <w:ind w:right="1421"/>
              <w:spacing w:after="0"/>
              <w:rPr>
                <w:sz w:val="20"/>
                <w:szCs w:val="20"/>
                <w:color w:val="auto"/>
              </w:rPr>
            </w:pPr>
            <w:r>
              <w:rPr>
                <w:rFonts w:ascii="Arial" w:cs="Arial" w:eastAsia="Arial" w:hAnsi="Arial"/>
                <w:sz w:val="18"/>
                <w:szCs w:val="18"/>
                <w:b w:val="1"/>
                <w:bCs w:val="1"/>
                <w:color w:val="auto"/>
                <w:w w:val="93"/>
              </w:rPr>
              <w:t>Delaware</w:t>
            </w:r>
          </w:p>
        </w:tc>
        <w:tc>
          <w:tcPr>
            <w:tcW w:w="3420" w:type="dxa"/>
            <w:vAlign w:val="bottom"/>
          </w:tcPr>
          <w:p>
            <w:pPr>
              <w:jc w:val="right"/>
              <w:ind w:right="444"/>
              <w:spacing w:after="0"/>
              <w:rPr>
                <w:sz w:val="20"/>
                <w:szCs w:val="20"/>
                <w:color w:val="auto"/>
              </w:rPr>
            </w:pPr>
            <w:r>
              <w:rPr>
                <w:rFonts w:ascii="Arial" w:cs="Arial" w:eastAsia="Arial" w:hAnsi="Arial"/>
                <w:sz w:val="18"/>
                <w:szCs w:val="18"/>
                <w:b w:val="1"/>
                <w:bCs w:val="1"/>
                <w:color w:val="auto"/>
              </w:rPr>
              <w:t>84-1770732</w:t>
            </w:r>
          </w:p>
        </w:tc>
      </w:tr>
      <w:tr>
        <w:trPr>
          <w:trHeight w:val="164"/>
        </w:trPr>
        <w:tc>
          <w:tcPr>
            <w:tcW w:w="4800" w:type="dxa"/>
            <w:vAlign w:val="bottom"/>
          </w:tcPr>
          <w:p>
            <w:pPr>
              <w:jc w:val="center"/>
              <w:ind w:right="1441"/>
              <w:spacing w:after="0"/>
              <w:rPr>
                <w:sz w:val="20"/>
                <w:szCs w:val="20"/>
                <w:color w:val="auto"/>
              </w:rPr>
            </w:pPr>
            <w:r>
              <w:rPr>
                <w:rFonts w:ascii="Arial" w:cs="Arial" w:eastAsia="Arial" w:hAnsi="Arial"/>
                <w:sz w:val="13"/>
                <w:szCs w:val="13"/>
                <w:b w:val="1"/>
                <w:bCs w:val="1"/>
                <w:color w:val="auto"/>
                <w:w w:val="88"/>
              </w:rPr>
              <w:t>( State or other jurisdiction of incorporation or organization)</w:t>
            </w:r>
          </w:p>
        </w:tc>
        <w:tc>
          <w:tcPr>
            <w:tcW w:w="3420" w:type="dxa"/>
            <w:vAlign w:val="bottom"/>
          </w:tcPr>
          <w:p>
            <w:pPr>
              <w:jc w:val="center"/>
              <w:ind w:left="1424"/>
              <w:spacing w:after="0"/>
              <w:rPr>
                <w:sz w:val="20"/>
                <w:szCs w:val="20"/>
                <w:color w:val="auto"/>
              </w:rPr>
            </w:pPr>
            <w:r>
              <w:rPr>
                <w:rFonts w:ascii="Arial" w:cs="Arial" w:eastAsia="Arial" w:hAnsi="Arial"/>
                <w:sz w:val="13"/>
                <w:szCs w:val="13"/>
                <w:b w:val="1"/>
                <w:bCs w:val="1"/>
                <w:color w:val="auto"/>
                <w:w w:val="90"/>
              </w:rPr>
              <w:t>(I.R.S. Employer Identification No.)</w:t>
            </w:r>
          </w:p>
        </w:tc>
      </w:tr>
      <w:tr>
        <w:trPr>
          <w:trHeight w:val="245"/>
        </w:trPr>
        <w:tc>
          <w:tcPr>
            <w:tcW w:w="4800" w:type="dxa"/>
            <w:vAlign w:val="bottom"/>
          </w:tcPr>
          <w:p>
            <w:pPr>
              <w:jc w:val="center"/>
              <w:ind w:right="1421"/>
              <w:spacing w:after="0"/>
              <w:rPr>
                <w:sz w:val="20"/>
                <w:szCs w:val="20"/>
                <w:color w:val="auto"/>
              </w:rPr>
            </w:pPr>
            <w:r>
              <w:rPr>
                <w:rFonts w:ascii="Arial" w:cs="Arial" w:eastAsia="Arial" w:hAnsi="Arial"/>
                <w:sz w:val="18"/>
                <w:szCs w:val="18"/>
                <w:b w:val="1"/>
                <w:bCs w:val="1"/>
                <w:color w:val="auto"/>
                <w:w w:val="90"/>
              </w:rPr>
              <w:t>767 Fifth Avenue</w:t>
            </w:r>
          </w:p>
        </w:tc>
        <w:tc>
          <w:tcPr>
            <w:tcW w:w="3420" w:type="dxa"/>
            <w:vAlign w:val="bottom"/>
          </w:tcPr>
          <w:p>
            <w:pPr>
              <w:spacing w:after="0"/>
              <w:rPr>
                <w:sz w:val="21"/>
                <w:szCs w:val="21"/>
                <w:color w:val="auto"/>
              </w:rPr>
            </w:pPr>
          </w:p>
        </w:tc>
      </w:tr>
      <w:tr>
        <w:trPr>
          <w:trHeight w:val="238"/>
        </w:trPr>
        <w:tc>
          <w:tcPr>
            <w:tcW w:w="4800" w:type="dxa"/>
            <w:vAlign w:val="bottom"/>
          </w:tcPr>
          <w:p>
            <w:pPr>
              <w:jc w:val="center"/>
              <w:ind w:right="1421"/>
              <w:spacing w:after="0"/>
              <w:rPr>
                <w:sz w:val="20"/>
                <w:szCs w:val="20"/>
                <w:color w:val="auto"/>
              </w:rPr>
            </w:pPr>
            <w:r>
              <w:rPr>
                <w:rFonts w:ascii="Arial" w:cs="Arial" w:eastAsia="Arial" w:hAnsi="Arial"/>
                <w:sz w:val="18"/>
                <w:szCs w:val="18"/>
                <w:b w:val="1"/>
                <w:bCs w:val="1"/>
                <w:color w:val="auto"/>
                <w:w w:val="93"/>
              </w:rPr>
              <w:t>New York, NY</w:t>
            </w:r>
          </w:p>
        </w:tc>
        <w:tc>
          <w:tcPr>
            <w:tcW w:w="3420" w:type="dxa"/>
            <w:vAlign w:val="bottom"/>
          </w:tcPr>
          <w:p>
            <w:pPr>
              <w:jc w:val="right"/>
              <w:ind w:right="664"/>
              <w:spacing w:after="0"/>
              <w:rPr>
                <w:sz w:val="20"/>
                <w:szCs w:val="20"/>
                <w:color w:val="auto"/>
              </w:rPr>
            </w:pPr>
            <w:r>
              <w:rPr>
                <w:rFonts w:ascii="Arial" w:cs="Arial" w:eastAsia="Arial" w:hAnsi="Arial"/>
                <w:sz w:val="18"/>
                <w:szCs w:val="18"/>
                <w:b w:val="1"/>
                <w:bCs w:val="1"/>
                <w:color w:val="auto"/>
              </w:rPr>
              <w:t>10153</w:t>
            </w:r>
          </w:p>
        </w:tc>
      </w:tr>
      <w:tr>
        <w:trPr>
          <w:trHeight w:val="164"/>
        </w:trPr>
        <w:tc>
          <w:tcPr>
            <w:tcW w:w="4800" w:type="dxa"/>
            <w:vAlign w:val="bottom"/>
          </w:tcPr>
          <w:p>
            <w:pPr>
              <w:jc w:val="center"/>
              <w:ind w:right="1441"/>
              <w:spacing w:after="0"/>
              <w:rPr>
                <w:sz w:val="20"/>
                <w:szCs w:val="20"/>
                <w:color w:val="auto"/>
              </w:rPr>
            </w:pPr>
            <w:r>
              <w:rPr>
                <w:rFonts w:ascii="Arial" w:cs="Arial" w:eastAsia="Arial" w:hAnsi="Arial"/>
                <w:sz w:val="13"/>
                <w:szCs w:val="13"/>
                <w:b w:val="1"/>
                <w:bCs w:val="1"/>
                <w:color w:val="auto"/>
                <w:w w:val="85"/>
              </w:rPr>
              <w:t>(Address of principal executive offices)</w:t>
            </w:r>
          </w:p>
        </w:tc>
        <w:tc>
          <w:tcPr>
            <w:tcW w:w="3420" w:type="dxa"/>
            <w:vAlign w:val="bottom"/>
          </w:tcPr>
          <w:p>
            <w:pPr>
              <w:jc w:val="center"/>
              <w:ind w:left="1444"/>
              <w:spacing w:after="0"/>
              <w:rPr>
                <w:sz w:val="20"/>
                <w:szCs w:val="20"/>
                <w:color w:val="auto"/>
              </w:rPr>
            </w:pPr>
            <w:r>
              <w:rPr>
                <w:rFonts w:ascii="Arial" w:cs="Arial" w:eastAsia="Arial" w:hAnsi="Arial"/>
                <w:sz w:val="13"/>
                <w:szCs w:val="13"/>
                <w:b w:val="1"/>
                <w:bCs w:val="1"/>
                <w:color w:val="auto"/>
                <w:w w:val="90"/>
              </w:rPr>
              <w:t>(Zip Code)</w:t>
            </w:r>
          </w:p>
        </w:tc>
      </w:tr>
    </w:tbl>
    <w:p>
      <w:pPr>
        <w:spacing w:after="0" w:line="376"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Registrant’s telephone number, including area code: (212) 287-3200</w:t>
      </w:r>
    </w:p>
    <w:p>
      <w:pPr>
        <w:spacing w:after="0" w:line="320"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Not Applicable</w:t>
      </w:r>
    </w:p>
    <w:p>
      <w:pPr>
        <w:spacing w:after="0" w:line="7" w:lineRule="exact"/>
        <w:rPr>
          <w:sz w:val="24"/>
          <w:szCs w:val="24"/>
          <w:color w:val="auto"/>
        </w:rPr>
      </w:pPr>
    </w:p>
    <w:p>
      <w:pPr>
        <w:jc w:val="center"/>
        <w:spacing w:after="0"/>
        <w:rPr>
          <w:sz w:val="20"/>
          <w:szCs w:val="20"/>
          <w:color w:val="auto"/>
        </w:rPr>
      </w:pPr>
      <w:r>
        <w:rPr>
          <w:rFonts w:ascii="Arial" w:cs="Arial" w:eastAsia="Arial" w:hAnsi="Arial"/>
          <w:sz w:val="14"/>
          <w:szCs w:val="14"/>
          <w:b w:val="1"/>
          <w:bCs w:val="1"/>
          <w:color w:val="auto"/>
        </w:rPr>
        <w:t>(Former name or former address, if changed since last report)</w:t>
      </w:r>
    </w:p>
    <w:p>
      <w:pPr>
        <w:spacing w:after="0" w:line="115" w:lineRule="exact"/>
        <w:rPr>
          <w:sz w:val="24"/>
          <w:szCs w:val="24"/>
          <w:color w:val="auto"/>
        </w:rPr>
      </w:pPr>
    </w:p>
    <w:p>
      <w:pPr>
        <w:spacing w:after="0" w:line="235" w:lineRule="auto"/>
        <w:rPr>
          <w:sz w:val="20"/>
          <w:szCs w:val="20"/>
          <w:color w:val="auto"/>
        </w:rPr>
      </w:pPr>
      <w:r>
        <w:rPr>
          <w:rFonts w:ascii="Arial" w:cs="Arial" w:eastAsia="Arial" w:hAnsi="Arial"/>
          <w:sz w:val="18"/>
          <w:szCs w:val="18"/>
          <w:color w:val="auto"/>
        </w:rPr>
        <w:t>Check the appropriate box below if the Form 8-K filing is intended to simultaneously satisfy the filing obligation of the registrant under any of the following provisions (see General Instruction A.2. below):</w:t>
      </w:r>
    </w:p>
    <w:p>
      <w:pPr>
        <w:spacing w:after="0" w:line="216" w:lineRule="exact"/>
        <w:rPr>
          <w:sz w:val="24"/>
          <w:szCs w:val="24"/>
          <w:color w:val="auto"/>
        </w:rPr>
      </w:pPr>
    </w:p>
    <w:p>
      <w:pPr>
        <w:ind w:left="660" w:hanging="634"/>
        <w:spacing w:after="0"/>
        <w:tabs>
          <w:tab w:leader="none" w:pos="6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Written communications pursuant to Rule 425 under the Securities Act (17 CFR 230.425)</w:t>
      </w:r>
    </w:p>
    <w:p>
      <w:pPr>
        <w:spacing w:after="0" w:line="130" w:lineRule="exact"/>
        <w:rPr>
          <w:rFonts w:ascii="MS PGothic" w:cs="MS PGothic" w:eastAsia="MS PGothic" w:hAnsi="MS PGothic"/>
          <w:sz w:val="18"/>
          <w:szCs w:val="18"/>
          <w:color w:val="auto"/>
        </w:rPr>
      </w:pPr>
    </w:p>
    <w:p>
      <w:pPr>
        <w:ind w:left="660" w:hanging="634"/>
        <w:spacing w:after="0"/>
        <w:tabs>
          <w:tab w:leader="none" w:pos="6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Soliciting material pursuant to Rule 14a-12 under the Exchange Act (17 CFR 240.14a-12)</w:t>
      </w:r>
    </w:p>
    <w:p>
      <w:pPr>
        <w:spacing w:after="0" w:line="144" w:lineRule="exact"/>
        <w:rPr>
          <w:rFonts w:ascii="MS PGothic" w:cs="MS PGothic" w:eastAsia="MS PGothic" w:hAnsi="MS PGothic"/>
          <w:sz w:val="18"/>
          <w:szCs w:val="18"/>
          <w:color w:val="auto"/>
        </w:rPr>
      </w:pPr>
    </w:p>
    <w:p>
      <w:pPr>
        <w:ind w:left="660" w:hanging="634"/>
        <w:spacing w:after="0"/>
        <w:tabs>
          <w:tab w:leader="none" w:pos="6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14d-2(b) under the Exchange Act (17 CFR 240.14d-2(b))</w:t>
      </w:r>
    </w:p>
    <w:p>
      <w:pPr>
        <w:spacing w:after="0" w:line="144" w:lineRule="exact"/>
        <w:rPr>
          <w:rFonts w:ascii="MS PGothic" w:cs="MS PGothic" w:eastAsia="MS PGothic" w:hAnsi="MS PGothic"/>
          <w:sz w:val="18"/>
          <w:szCs w:val="18"/>
          <w:color w:val="auto"/>
        </w:rPr>
      </w:pPr>
    </w:p>
    <w:p>
      <w:pPr>
        <w:ind w:left="660" w:hanging="634"/>
        <w:spacing w:after="0"/>
        <w:tabs>
          <w:tab w:leader="none" w:pos="6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13e-4(c) under the Exchange Act (17 CFR 240.13e-4(c))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186055</wp:posOffset>
            </wp:positionV>
            <wp:extent cx="713232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200" w:lineRule="exact"/>
        <w:rPr>
          <w:sz w:val="24"/>
          <w:szCs w:val="24"/>
          <w:color w:val="auto"/>
        </w:rPr>
      </w:pPr>
    </w:p>
    <w:p>
      <w:pPr>
        <w:spacing w:after="0" w:line="212" w:lineRule="exact"/>
        <w:rPr>
          <w:sz w:val="24"/>
          <w:szCs w:val="24"/>
          <w:color w:val="auto"/>
        </w:rPr>
      </w:pPr>
    </w:p>
    <w:tbl>
      <w:tblPr>
        <w:tblLayout w:type="fixed"/>
        <w:tblInd w:w="0" w:type="dxa"/>
        <w:tblCellMar>
          <w:top w:w="0" w:type="dxa"/>
          <w:left w:w="0" w:type="dxa"/>
          <w:bottom w:w="0" w:type="dxa"/>
          <w:right w:w="0" w:type="dxa"/>
        </w:tblCellMar>
      </w:tblPr>
      <w:tr>
        <w:trPr>
          <w:trHeight w:val="206"/>
        </w:trPr>
        <w:tc>
          <w:tcPr>
            <w:tcW w:w="3620" w:type="dxa"/>
            <w:vAlign w:val="bottom"/>
          </w:tcPr>
          <w:p>
            <w:pPr>
              <w:spacing w:after="0"/>
              <w:rPr>
                <w:sz w:val="17"/>
                <w:szCs w:val="17"/>
                <w:color w:val="auto"/>
              </w:rPr>
            </w:pPr>
          </w:p>
        </w:tc>
        <w:tc>
          <w:tcPr>
            <w:tcW w:w="4020" w:type="dxa"/>
            <w:vAlign w:val="bottom"/>
            <w:gridSpan w:val="4"/>
          </w:tcPr>
          <w:p>
            <w:pPr>
              <w:ind w:left="140"/>
              <w:spacing w:after="0"/>
              <w:rPr>
                <w:sz w:val="20"/>
                <w:szCs w:val="20"/>
                <w:color w:val="auto"/>
              </w:rPr>
            </w:pPr>
            <w:r>
              <w:rPr>
                <w:rFonts w:ascii="Arial" w:cs="Arial" w:eastAsia="Arial" w:hAnsi="Arial"/>
                <w:sz w:val="16"/>
                <w:szCs w:val="16"/>
                <w:color w:val="auto"/>
                <w:w w:val="94"/>
              </w:rPr>
              <w:t>Securities registered pursuant to Section 12(b) of the Act:</w:t>
            </w:r>
          </w:p>
        </w:tc>
        <w:tc>
          <w:tcPr>
            <w:tcW w:w="3600" w:type="dxa"/>
            <w:vAlign w:val="bottom"/>
          </w:tcPr>
          <w:p>
            <w:pPr>
              <w:spacing w:after="0"/>
              <w:rPr>
                <w:sz w:val="17"/>
                <w:szCs w:val="17"/>
                <w:color w:val="auto"/>
              </w:rPr>
            </w:pPr>
          </w:p>
        </w:tc>
      </w:tr>
      <w:tr>
        <w:trPr>
          <w:trHeight w:val="462"/>
        </w:trPr>
        <w:tc>
          <w:tcPr>
            <w:tcW w:w="3620" w:type="dxa"/>
            <w:vAlign w:val="bottom"/>
            <w:tcBorders>
              <w:bottom w:val="single" w:sz="8" w:color="auto"/>
            </w:tcBorders>
          </w:tcPr>
          <w:p>
            <w:pPr>
              <w:ind w:left="20"/>
              <w:spacing w:after="0"/>
              <w:rPr>
                <w:sz w:val="20"/>
                <w:szCs w:val="20"/>
                <w:color w:val="auto"/>
              </w:rPr>
            </w:pPr>
            <w:r>
              <w:rPr>
                <w:rFonts w:ascii="Arial" w:cs="Arial" w:eastAsia="Arial" w:hAnsi="Arial"/>
                <w:sz w:val="16"/>
                <w:szCs w:val="16"/>
                <w:b w:val="1"/>
                <w:bCs w:val="1"/>
                <w:color w:val="auto"/>
              </w:rPr>
              <w:t>Title of each class</w:t>
            </w:r>
          </w:p>
        </w:tc>
        <w:tc>
          <w:tcPr>
            <w:tcW w:w="1880" w:type="dxa"/>
            <w:vAlign w:val="bottom"/>
            <w:tcBorders>
              <w:bottom w:val="single" w:sz="8" w:color="auto"/>
            </w:tcBorders>
          </w:tcPr>
          <w:p>
            <w:pPr>
              <w:spacing w:after="0"/>
              <w:rPr>
                <w:sz w:val="24"/>
                <w:szCs w:val="24"/>
                <w:color w:val="auto"/>
              </w:rPr>
            </w:pPr>
          </w:p>
        </w:tc>
        <w:tc>
          <w:tcPr>
            <w:tcW w:w="140" w:type="dxa"/>
            <w:vAlign w:val="bottom"/>
          </w:tcPr>
          <w:p>
            <w:pPr>
              <w:spacing w:after="0"/>
              <w:rPr>
                <w:sz w:val="24"/>
                <w:szCs w:val="24"/>
                <w:color w:val="auto"/>
              </w:rPr>
            </w:pPr>
          </w:p>
        </w:tc>
        <w:tc>
          <w:tcPr>
            <w:tcW w:w="1860" w:type="dxa"/>
            <w:vAlign w:val="bottom"/>
            <w:tcBorders>
              <w:bottom w:val="single" w:sz="8" w:color="auto"/>
            </w:tcBorders>
          </w:tcPr>
          <w:p>
            <w:pPr>
              <w:ind w:left="20"/>
              <w:spacing w:after="0"/>
              <w:rPr>
                <w:sz w:val="20"/>
                <w:szCs w:val="20"/>
                <w:color w:val="auto"/>
              </w:rPr>
            </w:pPr>
            <w:r>
              <w:rPr>
                <w:rFonts w:ascii="Arial" w:cs="Arial" w:eastAsia="Arial" w:hAnsi="Arial"/>
                <w:sz w:val="16"/>
                <w:szCs w:val="16"/>
                <w:b w:val="1"/>
                <w:bCs w:val="1"/>
                <w:color w:val="auto"/>
              </w:rPr>
              <w:t>Trading Symbol(s)</w:t>
            </w:r>
          </w:p>
        </w:tc>
        <w:tc>
          <w:tcPr>
            <w:tcW w:w="140" w:type="dxa"/>
            <w:vAlign w:val="bottom"/>
          </w:tcPr>
          <w:p>
            <w:pPr>
              <w:spacing w:after="0"/>
              <w:rPr>
                <w:sz w:val="24"/>
                <w:szCs w:val="24"/>
                <w:color w:val="auto"/>
              </w:rPr>
            </w:pPr>
          </w:p>
        </w:tc>
        <w:tc>
          <w:tcPr>
            <w:tcW w:w="3600" w:type="dxa"/>
            <w:vAlign w:val="bottom"/>
            <w:tcBorders>
              <w:bottom w:val="single" w:sz="8" w:color="auto"/>
            </w:tcBorders>
          </w:tcPr>
          <w:p>
            <w:pPr>
              <w:ind w:left="20"/>
              <w:spacing w:after="0"/>
              <w:rPr>
                <w:sz w:val="20"/>
                <w:szCs w:val="20"/>
                <w:color w:val="auto"/>
              </w:rPr>
            </w:pPr>
            <w:r>
              <w:rPr>
                <w:rFonts w:ascii="Arial" w:cs="Arial" w:eastAsia="Arial" w:hAnsi="Arial"/>
                <w:sz w:val="16"/>
                <w:szCs w:val="16"/>
                <w:b w:val="1"/>
                <w:bCs w:val="1"/>
                <w:color w:val="auto"/>
              </w:rPr>
              <w:t>Name of each exchange on which registered</w:t>
            </w:r>
          </w:p>
        </w:tc>
      </w:tr>
      <w:tr>
        <w:trPr>
          <w:trHeight w:val="207"/>
        </w:trPr>
        <w:tc>
          <w:tcPr>
            <w:tcW w:w="3620" w:type="dxa"/>
            <w:vAlign w:val="bottom"/>
          </w:tcPr>
          <w:p>
            <w:pPr>
              <w:ind w:left="20"/>
              <w:spacing w:after="0"/>
              <w:rPr>
                <w:sz w:val="20"/>
                <w:szCs w:val="20"/>
                <w:color w:val="auto"/>
              </w:rPr>
            </w:pPr>
            <w:r>
              <w:rPr>
                <w:rFonts w:ascii="Arial" w:cs="Arial" w:eastAsia="Arial" w:hAnsi="Arial"/>
                <w:sz w:val="16"/>
                <w:szCs w:val="16"/>
                <w:color w:val="auto"/>
                <w:w w:val="94"/>
              </w:rPr>
              <w:t>Class A Common Stock, par value $0.0001 per share</w:t>
            </w:r>
          </w:p>
        </w:tc>
        <w:tc>
          <w:tcPr>
            <w:tcW w:w="18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000" w:type="dxa"/>
            <w:vAlign w:val="bottom"/>
            <w:gridSpan w:val="2"/>
          </w:tcPr>
          <w:p>
            <w:pPr>
              <w:ind w:left="20"/>
              <w:spacing w:after="0"/>
              <w:rPr>
                <w:sz w:val="20"/>
                <w:szCs w:val="20"/>
                <w:color w:val="auto"/>
              </w:rPr>
            </w:pPr>
            <w:r>
              <w:rPr>
                <w:rFonts w:ascii="Arial" w:cs="Arial" w:eastAsia="Arial" w:hAnsi="Arial"/>
                <w:sz w:val="16"/>
                <w:szCs w:val="16"/>
                <w:color w:val="auto"/>
              </w:rPr>
              <w:t>PWP</w:t>
            </w:r>
          </w:p>
        </w:tc>
        <w:tc>
          <w:tcPr>
            <w:tcW w:w="3600" w:type="dxa"/>
            <w:vAlign w:val="bottom"/>
          </w:tcPr>
          <w:p>
            <w:pPr>
              <w:ind w:left="20"/>
              <w:spacing w:after="0"/>
              <w:rPr>
                <w:sz w:val="20"/>
                <w:szCs w:val="20"/>
                <w:color w:val="auto"/>
              </w:rPr>
            </w:pPr>
            <w:r>
              <w:rPr>
                <w:rFonts w:ascii="Arial" w:cs="Arial" w:eastAsia="Arial" w:hAnsi="Arial"/>
                <w:sz w:val="16"/>
                <w:szCs w:val="16"/>
                <w:color w:val="auto"/>
              </w:rPr>
              <w:t>Nasdaq Global Select Market</w:t>
            </w:r>
          </w:p>
        </w:tc>
      </w:tr>
    </w:tbl>
    <w:p>
      <w:pPr>
        <w:spacing w:after="0" w:line="316" w:lineRule="exact"/>
        <w:rPr>
          <w:sz w:val="24"/>
          <w:szCs w:val="24"/>
          <w:color w:val="auto"/>
        </w:rPr>
      </w:pPr>
    </w:p>
    <w:p>
      <w:pPr>
        <w:ind w:right="520"/>
        <w:spacing w:after="0" w:line="235" w:lineRule="auto"/>
        <w:rPr>
          <w:sz w:val="20"/>
          <w:szCs w:val="20"/>
          <w:color w:val="auto"/>
        </w:rPr>
      </w:pPr>
      <w:r>
        <w:rPr>
          <w:rFonts w:ascii="Arial" w:cs="Arial" w:eastAsia="Arial" w:hAnsi="Arial"/>
          <w:sz w:val="18"/>
          <w:szCs w:val="18"/>
          <w:color w:val="auto"/>
        </w:rPr>
        <w:t>Indicate by check mark whether the registrant is an emerging growth company as defined in Rule 405 of the Securities Act of 1933 (§230.405 of this chapter) or Rule 12b-2 of the Securities Exchange Act of 1934 (§240.12b-2 of this chapter).</w:t>
      </w:r>
    </w:p>
    <w:p>
      <w:pPr>
        <w:ind w:left="680"/>
        <w:spacing w:after="0" w:line="207" w:lineRule="exact"/>
        <w:tabs>
          <w:tab w:leader="none" w:pos="3020" w:val="left"/>
        </w:tabs>
        <w:rPr>
          <w:sz w:val="20"/>
          <w:szCs w:val="20"/>
          <w:color w:val="auto"/>
        </w:rPr>
      </w:pPr>
      <w:r>
        <w:rPr>
          <w:rFonts w:ascii="Arial" w:cs="Arial" w:eastAsia="Arial" w:hAnsi="Arial"/>
          <w:sz w:val="18"/>
          <w:szCs w:val="18"/>
          <w:color w:val="auto"/>
        </w:rPr>
        <w:t>Emerging growth company</w:t>
      </w:r>
      <w:r>
        <w:rPr>
          <w:sz w:val="20"/>
          <w:szCs w:val="20"/>
          <w:color w:val="auto"/>
        </w:rPr>
        <w:tab/>
      </w:r>
      <w:r>
        <w:rPr>
          <w:rFonts w:ascii="MS PGothic" w:cs="MS PGothic" w:eastAsia="MS PGothic" w:hAnsi="MS PGothic"/>
          <w:sz w:val="16"/>
          <w:szCs w:val="16"/>
          <w:color w:val="auto"/>
        </w:rPr>
        <w:t>☒</w:t>
      </w:r>
    </w:p>
    <w:p>
      <w:pPr>
        <w:spacing w:after="0" w:line="89" w:lineRule="exact"/>
        <w:rPr>
          <w:sz w:val="24"/>
          <w:szCs w:val="24"/>
          <w:color w:val="auto"/>
        </w:rPr>
      </w:pPr>
    </w:p>
    <w:p>
      <w:pPr>
        <w:spacing w:after="0" w:line="213" w:lineRule="exact"/>
        <w:rPr>
          <w:sz w:val="20"/>
          <w:szCs w:val="20"/>
          <w:color w:val="auto"/>
        </w:rPr>
      </w:pPr>
      <w:r>
        <w:rPr>
          <w:rFonts w:ascii="Arial" w:cs="Arial" w:eastAsia="Arial" w:hAnsi="Arial"/>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1981835</wp:posOffset>
            </wp:positionV>
            <wp:extent cx="7157720" cy="425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125095</wp:posOffset>
            </wp:positionH>
            <wp:positionV relativeFrom="paragraph">
              <wp:posOffset>1394460</wp:posOffset>
            </wp:positionV>
            <wp:extent cx="6900545" cy="171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6900545" cy="17145"/>
                    </a:xfrm>
                    <a:prstGeom prst="rect">
                      <a:avLst/>
                    </a:prstGeom>
                    <a:noFill/>
                  </pic:spPr>
                </pic:pic>
              </a:graphicData>
            </a:graphic>
          </wp:anchor>
        </w:drawing>
        <w:drawing>
          <wp:anchor simplePos="0" relativeHeight="251657728" behindDoc="1" locked="0" layoutInCell="0" allowOverlap="1">
            <wp:simplePos x="0" y="0"/>
            <wp:positionH relativeFrom="column">
              <wp:posOffset>125095</wp:posOffset>
            </wp:positionH>
            <wp:positionV relativeFrom="paragraph">
              <wp:posOffset>1428750</wp:posOffset>
            </wp:positionV>
            <wp:extent cx="6900545" cy="171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6900545" cy="17145"/>
                    </a:xfrm>
                    <a:prstGeom prst="rect">
                      <a:avLst/>
                    </a:prstGeom>
                    <a:noFill/>
                  </pic:spPr>
                </pic:pic>
              </a:graphicData>
            </a:graphic>
          </wp:anchor>
        </w:drawing>
      </w:r>
    </w:p>
    <w:p>
      <w:pPr>
        <w:sectPr>
          <w:pgSz w:w="11900" w:h="16838" w:orient="portrait"/>
          <w:cols w:equalWidth="0" w:num="1">
            <w:col w:w="11240"/>
          </w:cols>
          <w:pgMar w:left="320" w:top="1034" w:right="339" w:bottom="1440" w:gutter="0" w:footer="0" w:header="0"/>
        </w:sectPr>
      </w:pPr>
    </w:p>
    <w:bookmarkStart w:id="1" w:name="page2"/>
    <w:bookmarkEnd w:id="1"/>
    <w:p>
      <w:pPr>
        <w:ind w:left="20"/>
        <w:spacing w:after="0"/>
        <w:rPr>
          <w:sz w:val="20"/>
          <w:szCs w:val="20"/>
          <w:color w:val="auto"/>
        </w:rPr>
      </w:pPr>
      <w:r>
        <w:rPr>
          <w:rFonts w:ascii="Arial" w:cs="Arial" w:eastAsia="Arial" w:hAnsi="Arial"/>
          <w:sz w:val="18"/>
          <w:szCs w:val="18"/>
          <w:b w:val="1"/>
          <w:bCs w:val="1"/>
          <w:color w:val="auto"/>
        </w:rPr>
        <w:t>Item 8.01 Other Events</w:t>
      </w:r>
    </w:p>
    <w:p>
      <w:pPr>
        <w:spacing w:after="0" w:line="243" w:lineRule="exact"/>
        <w:rPr>
          <w:sz w:val="20"/>
          <w:szCs w:val="20"/>
          <w:color w:val="auto"/>
        </w:rPr>
      </w:pPr>
    </w:p>
    <w:p>
      <w:pPr>
        <w:spacing w:after="0"/>
        <w:rPr>
          <w:sz w:val="20"/>
          <w:szCs w:val="20"/>
          <w:color w:val="auto"/>
        </w:rPr>
      </w:pPr>
      <w:r>
        <w:rPr>
          <w:rFonts w:ascii="Arial" w:cs="Arial" w:eastAsia="Arial" w:hAnsi="Arial"/>
          <w:sz w:val="16"/>
          <w:szCs w:val="16"/>
          <w:color w:val="auto"/>
        </w:rPr>
        <w:t>On February 17, 2023, Perella Weinberg Partners (the “Company”) filed a petition in the Delaware Court of Chancery (the “Court of Chancery”) pursuant</w:t>
      </w:r>
    </w:p>
    <w:p>
      <w:pPr>
        <w:spacing w:after="0" w:line="21" w:lineRule="exact"/>
        <w:rPr>
          <w:sz w:val="20"/>
          <w:szCs w:val="20"/>
          <w:color w:val="auto"/>
        </w:rPr>
      </w:pPr>
    </w:p>
    <w:p>
      <w:pPr>
        <w:jc w:val="both"/>
        <w:spacing w:after="0" w:line="226" w:lineRule="auto"/>
        <w:rPr>
          <w:sz w:val="20"/>
          <w:szCs w:val="20"/>
          <w:color w:val="auto"/>
        </w:rPr>
      </w:pPr>
      <w:r>
        <w:rPr>
          <w:rFonts w:ascii="Arial" w:cs="Arial" w:eastAsia="Arial" w:hAnsi="Arial"/>
          <w:sz w:val="18"/>
          <w:szCs w:val="18"/>
          <w:color w:val="auto"/>
        </w:rPr>
        <w:t>to Section 205 of the Delaware General Corporation Law (“DGCL”), seeking validation of an amendment to its Amended and Restated Certificate of Incorporation increasing the authorized common stock of the Company (as further described below).</w:t>
      </w:r>
    </w:p>
    <w:p>
      <w:pPr>
        <w:spacing w:after="0" w:line="188" w:lineRule="exact"/>
        <w:rPr>
          <w:sz w:val="20"/>
          <w:szCs w:val="20"/>
          <w:color w:val="auto"/>
        </w:rPr>
      </w:pPr>
    </w:p>
    <w:p>
      <w:pPr>
        <w:spacing w:after="0"/>
        <w:rPr>
          <w:sz w:val="20"/>
          <w:szCs w:val="20"/>
          <w:color w:val="auto"/>
        </w:rPr>
      </w:pPr>
      <w:r>
        <w:rPr>
          <w:rFonts w:ascii="Arial" w:cs="Arial" w:eastAsia="Arial" w:hAnsi="Arial"/>
          <w:sz w:val="16"/>
          <w:szCs w:val="16"/>
          <w:color w:val="auto"/>
        </w:rPr>
        <w:t>At a special meeting of the stockholders of the Company held on June 22, 2021 (the “2021 Special Meeting”), a majority of the then-outstanding shares of</w:t>
      </w:r>
    </w:p>
    <w:p>
      <w:pPr>
        <w:spacing w:after="0" w:line="21" w:lineRule="exact"/>
        <w:rPr>
          <w:sz w:val="20"/>
          <w:szCs w:val="20"/>
          <w:color w:val="auto"/>
        </w:rPr>
      </w:pPr>
    </w:p>
    <w:p>
      <w:pPr>
        <w:jc w:val="both"/>
        <w:spacing w:after="0" w:line="218" w:lineRule="auto"/>
        <w:rPr>
          <w:sz w:val="20"/>
          <w:szCs w:val="20"/>
          <w:color w:val="auto"/>
        </w:rPr>
      </w:pPr>
      <w:r>
        <w:rPr>
          <w:rFonts w:ascii="Arial" w:cs="Arial" w:eastAsia="Arial" w:hAnsi="Arial"/>
          <w:sz w:val="18"/>
          <w:szCs w:val="18"/>
          <w:color w:val="auto"/>
        </w:rPr>
        <w:t>the Company’s Class A common stock and Class B common stock, voting as a single class, voted to approve the Company’s Second Amended and Restated Certificate of Incorporation, which, among other things, increased the authorized shares of the Company’s Class A common stock from 100,000,000 to 1,500,000,000 shares (the “Authorized Share Charter Amendment”).</w:t>
      </w:r>
    </w:p>
    <w:p>
      <w:pPr>
        <w:spacing w:after="0" w:line="203" w:lineRule="exact"/>
        <w:rPr>
          <w:sz w:val="20"/>
          <w:szCs w:val="20"/>
          <w:color w:val="auto"/>
        </w:rPr>
      </w:pPr>
    </w:p>
    <w:p>
      <w:pPr>
        <w:jc w:val="both"/>
        <w:spacing w:after="0" w:line="289" w:lineRule="auto"/>
        <w:rPr>
          <w:sz w:val="20"/>
          <w:szCs w:val="20"/>
          <w:color w:val="auto"/>
        </w:rPr>
      </w:pPr>
      <w:r>
        <w:rPr>
          <w:rFonts w:ascii="Arial" w:cs="Arial" w:eastAsia="Arial" w:hAnsi="Arial"/>
          <w:sz w:val="16"/>
          <w:szCs w:val="16"/>
          <w:color w:val="auto"/>
        </w:rPr>
        <w:t>A recent decision of the Court of Chancery has created uncertainty regarding the validity of the Authorized Share Charter Amendment and whether a separate vote of the majority of the then-outstanding shares of Class A common stock would have been required under Section 242(b)(2) of the DGCL.</w:t>
      </w:r>
    </w:p>
    <w:p>
      <w:pPr>
        <w:spacing w:after="0" w:line="151" w:lineRule="exact"/>
        <w:rPr>
          <w:sz w:val="20"/>
          <w:szCs w:val="20"/>
          <w:color w:val="auto"/>
        </w:rPr>
      </w:pPr>
    </w:p>
    <w:p>
      <w:pPr>
        <w:spacing w:after="0"/>
        <w:rPr>
          <w:sz w:val="20"/>
          <w:szCs w:val="20"/>
          <w:color w:val="auto"/>
        </w:rPr>
      </w:pPr>
      <w:r>
        <w:rPr>
          <w:rFonts w:ascii="Arial" w:cs="Arial" w:eastAsia="Arial" w:hAnsi="Arial"/>
          <w:sz w:val="16"/>
          <w:szCs w:val="16"/>
          <w:color w:val="auto"/>
        </w:rPr>
        <w:t>The Company continues to believe that a separate vote of Class A common stock was not required to approve the Authorized Share Charter Amendment.</w:t>
      </w:r>
    </w:p>
    <w:p>
      <w:pPr>
        <w:spacing w:after="0" w:line="21" w:lineRule="exact"/>
        <w:rPr>
          <w:sz w:val="20"/>
          <w:szCs w:val="20"/>
          <w:color w:val="auto"/>
        </w:rPr>
      </w:pPr>
    </w:p>
    <w:p>
      <w:pPr>
        <w:jc w:val="both"/>
        <w:spacing w:after="0" w:line="231" w:lineRule="auto"/>
        <w:rPr>
          <w:sz w:val="20"/>
          <w:szCs w:val="20"/>
          <w:color w:val="auto"/>
        </w:rPr>
      </w:pPr>
      <w:r>
        <w:rPr>
          <w:rFonts w:ascii="Arial" w:cs="Arial" w:eastAsia="Arial" w:hAnsi="Arial"/>
          <w:sz w:val="17"/>
          <w:szCs w:val="17"/>
          <w:color w:val="auto"/>
        </w:rPr>
        <w:t>However, in light of the recent Court of Chancery decision, the Company filed a petition in the Court of Chancery pursuant to Section 205 of the DGCL seeking validation of the Authorized Share Charter Amendment to resolve any uncertainty with respect thereto. Section 205 of the DGCL permits the Court of Chancery, in its discretion, to validate potentially defective corporate acts and stock after considering a variety of factors.</w:t>
      </w:r>
    </w:p>
    <w:p>
      <w:pPr>
        <w:spacing w:after="0" w:line="203" w:lineRule="exact"/>
        <w:rPr>
          <w:sz w:val="20"/>
          <w:szCs w:val="20"/>
          <w:color w:val="auto"/>
        </w:rPr>
      </w:pPr>
    </w:p>
    <w:p>
      <w:pPr>
        <w:jc w:val="both"/>
        <w:spacing w:after="0" w:line="219" w:lineRule="auto"/>
        <w:rPr>
          <w:sz w:val="20"/>
          <w:szCs w:val="20"/>
          <w:color w:val="auto"/>
        </w:rPr>
      </w:pPr>
      <w:r>
        <w:rPr>
          <w:rFonts w:ascii="Arial" w:cs="Arial" w:eastAsia="Arial" w:hAnsi="Arial"/>
          <w:sz w:val="18"/>
          <w:szCs w:val="18"/>
          <w:color w:val="auto"/>
        </w:rPr>
        <w:t>While the Company believes that a separate vote of Class A common stock was not required to approve the Authorized Share Charter Amendment at the 2021 Special Meeting if the Company is not successful in the Section 205 proceeding, the uncertainty with respect to the Company’s capitalization resulting from the Court of Chancery’s decision referenced above could have a material adverse effect on the Company, including its ability to complete financing transactions, until the underlying issues are definitively resolved.</w:t>
      </w:r>
    </w:p>
    <w:p>
      <w:pPr>
        <w:spacing w:after="0" w:line="19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Cautionary Note Regarding Forward-Looking Statements</w:t>
      </w:r>
    </w:p>
    <w:p>
      <w:pPr>
        <w:spacing w:after="0" w:line="216" w:lineRule="exact"/>
        <w:rPr>
          <w:sz w:val="20"/>
          <w:szCs w:val="20"/>
          <w:color w:val="auto"/>
        </w:rPr>
      </w:pPr>
    </w:p>
    <w:p>
      <w:pPr>
        <w:jc w:val="both"/>
        <w:spacing w:after="0" w:line="248" w:lineRule="auto"/>
        <w:rPr>
          <w:sz w:val="20"/>
          <w:szCs w:val="20"/>
          <w:color w:val="auto"/>
        </w:rPr>
      </w:pPr>
      <w:r>
        <w:rPr>
          <w:rFonts w:ascii="Arial" w:cs="Arial" w:eastAsia="Arial" w:hAnsi="Arial"/>
          <w:sz w:val="16"/>
          <w:szCs w:val="16"/>
          <w:color w:val="auto"/>
        </w:rPr>
        <w:t>This Form 8-K contains forward-looking statements within the meaning of the “safe harbor” provisions of the United States Private Securities Litigation Reform Act of 1995. You can identify these forward-looking statements by the use of words such as “estimates,” “projected,” “expects,” “estimated,”</w:t>
      </w:r>
    </w:p>
    <w:p>
      <w:pPr>
        <w:jc w:val="both"/>
        <w:spacing w:after="0" w:line="234" w:lineRule="auto"/>
        <w:rPr>
          <w:sz w:val="20"/>
          <w:szCs w:val="20"/>
          <w:color w:val="auto"/>
        </w:rPr>
      </w:pPr>
      <w:r>
        <w:rPr>
          <w:rFonts w:ascii="Arial" w:cs="Arial" w:eastAsia="Arial" w:hAnsi="Arial"/>
          <w:sz w:val="16"/>
          <w:szCs w:val="16"/>
          <w:color w:val="auto"/>
        </w:rPr>
        <w:t>“anticipates,” “forecasts,” “plans,” “intends,” “believes,” “seeks,” “may,” “will,” “would,” “future,” “propose,” “target,” “goal,” “objective,” “outlook” and variations of these words or similar expressions (or the negative versions of such words or expressions) are intended to identify forward-looking statements. Such forward-looking statements are subject to various risks and uncertainties. Accordingly, there are or will be important factors that could</w:t>
      </w:r>
    </w:p>
    <w:p>
      <w:pPr>
        <w:spacing w:after="0" w:line="2" w:lineRule="exact"/>
        <w:rPr>
          <w:sz w:val="20"/>
          <w:szCs w:val="20"/>
          <w:color w:val="auto"/>
        </w:rPr>
      </w:pPr>
    </w:p>
    <w:p>
      <w:pPr>
        <w:jc w:val="both"/>
        <w:spacing w:after="0" w:line="234" w:lineRule="auto"/>
        <w:rPr>
          <w:sz w:val="20"/>
          <w:szCs w:val="20"/>
          <w:color w:val="auto"/>
        </w:rPr>
      </w:pPr>
      <w:r>
        <w:rPr>
          <w:rFonts w:ascii="Arial" w:cs="Arial" w:eastAsia="Arial" w:hAnsi="Arial"/>
          <w:sz w:val="16"/>
          <w:szCs w:val="16"/>
          <w:color w:val="auto"/>
        </w:rPr>
        <w:t>cause actual outcomes or results to differ materially from those indicated in these statements. We undertake no obligation to publicly update or review any forward-looking statement, whether as a result of new information, future developments or otherwise. With respect to the matters addressed in this report, no assurances can be made regarding the outcome of our proceeding pursuant to Section 205 of the DGCL or any claims, proceedings or litigation</w:t>
      </w:r>
    </w:p>
    <w:p>
      <w:pPr>
        <w:spacing w:after="0" w:line="2" w:lineRule="exact"/>
        <w:rPr>
          <w:sz w:val="20"/>
          <w:szCs w:val="20"/>
          <w:color w:val="auto"/>
        </w:rPr>
      </w:pPr>
    </w:p>
    <w:p>
      <w:pPr>
        <w:jc w:val="both"/>
        <w:spacing w:after="0" w:line="234" w:lineRule="auto"/>
        <w:rPr>
          <w:sz w:val="20"/>
          <w:szCs w:val="20"/>
          <w:color w:val="auto"/>
        </w:rPr>
      </w:pPr>
      <w:r>
        <w:rPr>
          <w:rFonts w:ascii="Arial" w:cs="Arial" w:eastAsia="Arial" w:hAnsi="Arial"/>
          <w:sz w:val="16"/>
          <w:szCs w:val="16"/>
          <w:color w:val="auto"/>
        </w:rPr>
        <w:t>regarding the authorization of our Class A common stock. Our Section 205 proceeding is, and any other litigation regarding the authorization of our stock would be, subject to uncertainties inherent in the litigation process, and may not result in timely resolution of the uncertainty regarding our capitalization, if at all. A further list and description of these risks, uncertainties and other factors can be found in the Company’s filings with the U.S. Securities and</w:t>
      </w:r>
    </w:p>
    <w:p>
      <w:pPr>
        <w:spacing w:after="0" w:line="2" w:lineRule="exact"/>
        <w:rPr>
          <w:sz w:val="20"/>
          <w:szCs w:val="20"/>
          <w:color w:val="auto"/>
        </w:rPr>
      </w:pPr>
    </w:p>
    <w:p>
      <w:pPr>
        <w:spacing w:after="0"/>
        <w:rPr>
          <w:sz w:val="20"/>
          <w:szCs w:val="20"/>
          <w:color w:val="auto"/>
        </w:rPr>
      </w:pPr>
      <w:r>
        <w:rPr>
          <w:rFonts w:ascii="Arial" w:cs="Arial" w:eastAsia="Arial" w:hAnsi="Arial"/>
          <w:sz w:val="18"/>
          <w:szCs w:val="18"/>
          <w:color w:val="auto"/>
        </w:rPr>
        <w:t>Exchange Commission. These filings and subsequent filings are or will be available online at www.sec.gov or on request from the Company.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866140</wp:posOffset>
            </wp:positionV>
            <wp:extent cx="7157720"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4" w:right="339" w:bottom="1440" w:gutter="0" w:footer="0" w:header="0"/>
        </w:sectPr>
      </w:pPr>
    </w:p>
    <w:bookmarkStart w:id="2" w:name="page3"/>
    <w:bookmarkEnd w:id="2"/>
    <w:p>
      <w:pPr>
        <w:spacing w:after="0" w:line="200" w:lineRule="exact"/>
        <w:rPr>
          <w:sz w:val="20"/>
          <w:szCs w:val="20"/>
          <w:color w:val="auto"/>
        </w:rPr>
      </w:pPr>
    </w:p>
    <w:p>
      <w:pPr>
        <w:spacing w:after="0" w:line="26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SIGNATURE</w:t>
      </w:r>
    </w:p>
    <w:p>
      <w:pPr>
        <w:spacing w:after="0" w:line="202" w:lineRule="exact"/>
        <w:rPr>
          <w:sz w:val="20"/>
          <w:szCs w:val="20"/>
          <w:color w:val="auto"/>
        </w:rPr>
      </w:pPr>
    </w:p>
    <w:p>
      <w:pPr>
        <w:ind w:right="300" w:firstLine="648"/>
        <w:spacing w:after="0" w:line="246" w:lineRule="auto"/>
        <w:rPr>
          <w:sz w:val="20"/>
          <w:szCs w:val="20"/>
          <w:color w:val="auto"/>
        </w:rPr>
      </w:pPr>
      <w:r>
        <w:rPr>
          <w:rFonts w:ascii="Arial" w:cs="Arial" w:eastAsia="Arial" w:hAnsi="Arial"/>
          <w:sz w:val="18"/>
          <w:szCs w:val="18"/>
          <w:color w:val="auto"/>
        </w:rPr>
        <w:t>Pursuant to the requirements of the Securities Exchange Act of 1934, as amended, the Registrant has duly caused this report to be signed on its behalf by the undersigned hereunto duly authorized.</w:t>
      </w:r>
    </w:p>
    <w:p>
      <w:pPr>
        <w:spacing w:after="0" w:line="210" w:lineRule="exact"/>
        <w:rPr>
          <w:sz w:val="20"/>
          <w:szCs w:val="20"/>
          <w:color w:val="auto"/>
        </w:rPr>
      </w:pPr>
    </w:p>
    <w:tbl>
      <w:tblPr>
        <w:tblLayout w:type="fixed"/>
        <w:tblInd w:w="20" w:type="dxa"/>
        <w:tblCellMar>
          <w:top w:w="0" w:type="dxa"/>
          <w:left w:w="0" w:type="dxa"/>
          <w:bottom w:w="0" w:type="dxa"/>
          <w:right w:w="0" w:type="dxa"/>
        </w:tblCellMar>
      </w:tblPr>
      <w:tr>
        <w:trPr>
          <w:trHeight w:val="230"/>
        </w:trPr>
        <w:tc>
          <w:tcPr>
            <w:tcW w:w="3820" w:type="dxa"/>
            <w:vAlign w:val="bottom"/>
          </w:tcPr>
          <w:p>
            <w:pPr>
              <w:spacing w:after="0"/>
              <w:rPr>
                <w:sz w:val="20"/>
                <w:szCs w:val="20"/>
                <w:color w:val="auto"/>
              </w:rPr>
            </w:pPr>
          </w:p>
        </w:tc>
        <w:tc>
          <w:tcPr>
            <w:tcW w:w="7400" w:type="dxa"/>
            <w:vAlign w:val="bottom"/>
            <w:gridSpan w:val="2"/>
          </w:tcPr>
          <w:p>
            <w:pPr>
              <w:ind w:left="2060"/>
              <w:spacing w:after="0"/>
              <w:rPr>
                <w:sz w:val="20"/>
                <w:szCs w:val="20"/>
                <w:color w:val="auto"/>
              </w:rPr>
            </w:pPr>
            <w:r>
              <w:rPr>
                <w:rFonts w:ascii="Arial" w:cs="Arial" w:eastAsia="Arial" w:hAnsi="Arial"/>
                <w:sz w:val="18"/>
                <w:szCs w:val="18"/>
                <w:color w:val="auto"/>
              </w:rPr>
              <w:t>PERELLA WEINBERG PARTNERS</w:t>
            </w:r>
          </w:p>
        </w:tc>
      </w:tr>
      <w:tr>
        <w:trPr>
          <w:trHeight w:val="513"/>
        </w:trPr>
        <w:tc>
          <w:tcPr>
            <w:tcW w:w="3820" w:type="dxa"/>
            <w:vAlign w:val="bottom"/>
          </w:tcPr>
          <w:p>
            <w:pPr>
              <w:spacing w:after="0"/>
              <w:rPr>
                <w:sz w:val="20"/>
                <w:szCs w:val="20"/>
                <w:color w:val="auto"/>
              </w:rPr>
            </w:pPr>
            <w:r>
              <w:rPr>
                <w:rFonts w:ascii="Arial" w:cs="Arial" w:eastAsia="Arial" w:hAnsi="Arial"/>
                <w:sz w:val="18"/>
                <w:szCs w:val="18"/>
                <w:color w:val="auto"/>
              </w:rPr>
              <w:t>Date: February 17, 2023</w:t>
            </w:r>
          </w:p>
        </w:tc>
        <w:tc>
          <w:tcPr>
            <w:tcW w:w="2860" w:type="dxa"/>
            <w:vAlign w:val="bottom"/>
          </w:tcPr>
          <w:p>
            <w:pPr>
              <w:ind w:left="2060"/>
              <w:spacing w:after="0"/>
              <w:rPr>
                <w:sz w:val="20"/>
                <w:szCs w:val="20"/>
                <w:color w:val="auto"/>
              </w:rPr>
            </w:pPr>
            <w:r>
              <w:rPr>
                <w:rFonts w:ascii="Arial" w:cs="Arial" w:eastAsia="Arial" w:hAnsi="Arial"/>
                <w:sz w:val="18"/>
                <w:szCs w:val="18"/>
                <w:color w:val="auto"/>
              </w:rPr>
              <w:t>By:</w:t>
            </w:r>
          </w:p>
        </w:tc>
        <w:tc>
          <w:tcPr>
            <w:tcW w:w="4540" w:type="dxa"/>
            <w:vAlign w:val="bottom"/>
            <w:tcBorders>
              <w:bottom w:val="single" w:sz="8" w:color="auto"/>
            </w:tcBorders>
          </w:tcPr>
          <w:p>
            <w:pPr>
              <w:ind w:left="80"/>
              <w:spacing w:after="0"/>
              <w:rPr>
                <w:sz w:val="20"/>
                <w:szCs w:val="20"/>
                <w:color w:val="auto"/>
              </w:rPr>
            </w:pPr>
            <w:r>
              <w:rPr>
                <w:rFonts w:ascii="Arial" w:cs="Arial" w:eastAsia="Arial" w:hAnsi="Arial"/>
                <w:sz w:val="18"/>
                <w:szCs w:val="18"/>
                <w:color w:val="auto"/>
              </w:rPr>
              <w:t>/s/ Gary Barancik</w:t>
            </w:r>
          </w:p>
        </w:tc>
      </w:tr>
      <w:tr>
        <w:trPr>
          <w:trHeight w:val="222"/>
        </w:trPr>
        <w:tc>
          <w:tcPr>
            <w:tcW w:w="3820" w:type="dxa"/>
            <w:vAlign w:val="bottom"/>
          </w:tcPr>
          <w:p>
            <w:pPr>
              <w:spacing w:after="0"/>
              <w:rPr>
                <w:sz w:val="19"/>
                <w:szCs w:val="19"/>
                <w:color w:val="auto"/>
              </w:rPr>
            </w:pPr>
          </w:p>
        </w:tc>
        <w:tc>
          <w:tcPr>
            <w:tcW w:w="2860" w:type="dxa"/>
            <w:vAlign w:val="bottom"/>
          </w:tcPr>
          <w:p>
            <w:pPr>
              <w:ind w:left="2060"/>
              <w:spacing w:after="0"/>
              <w:rPr>
                <w:sz w:val="20"/>
                <w:szCs w:val="20"/>
                <w:color w:val="auto"/>
              </w:rPr>
            </w:pPr>
            <w:r>
              <w:rPr>
                <w:rFonts w:ascii="Arial" w:cs="Arial" w:eastAsia="Arial" w:hAnsi="Arial"/>
                <w:sz w:val="18"/>
                <w:szCs w:val="18"/>
                <w:color w:val="auto"/>
              </w:rPr>
              <w:t>Name:</w:t>
            </w:r>
          </w:p>
        </w:tc>
        <w:tc>
          <w:tcPr>
            <w:tcW w:w="4540" w:type="dxa"/>
            <w:vAlign w:val="bottom"/>
          </w:tcPr>
          <w:p>
            <w:pPr>
              <w:ind w:left="80"/>
              <w:spacing w:after="0"/>
              <w:rPr>
                <w:sz w:val="20"/>
                <w:szCs w:val="20"/>
                <w:color w:val="auto"/>
              </w:rPr>
            </w:pPr>
            <w:r>
              <w:rPr>
                <w:rFonts w:ascii="Arial" w:cs="Arial" w:eastAsia="Arial" w:hAnsi="Arial"/>
                <w:sz w:val="18"/>
                <w:szCs w:val="18"/>
                <w:color w:val="auto"/>
              </w:rPr>
              <w:t>Gary Barancik</w:t>
            </w:r>
          </w:p>
        </w:tc>
      </w:tr>
      <w:tr>
        <w:trPr>
          <w:trHeight w:val="230"/>
        </w:trPr>
        <w:tc>
          <w:tcPr>
            <w:tcW w:w="3820" w:type="dxa"/>
            <w:vAlign w:val="bottom"/>
          </w:tcPr>
          <w:p>
            <w:pPr>
              <w:spacing w:after="0"/>
              <w:rPr>
                <w:sz w:val="20"/>
                <w:szCs w:val="20"/>
                <w:color w:val="auto"/>
              </w:rPr>
            </w:pPr>
          </w:p>
        </w:tc>
        <w:tc>
          <w:tcPr>
            <w:tcW w:w="2860" w:type="dxa"/>
            <w:vAlign w:val="bottom"/>
          </w:tcPr>
          <w:p>
            <w:pPr>
              <w:ind w:left="2060"/>
              <w:spacing w:after="0"/>
              <w:rPr>
                <w:sz w:val="20"/>
                <w:szCs w:val="20"/>
                <w:color w:val="auto"/>
              </w:rPr>
            </w:pPr>
            <w:r>
              <w:rPr>
                <w:rFonts w:ascii="Arial" w:cs="Arial" w:eastAsia="Arial" w:hAnsi="Arial"/>
                <w:sz w:val="18"/>
                <w:szCs w:val="18"/>
                <w:color w:val="auto"/>
              </w:rPr>
              <w:t>Title:</w:t>
            </w:r>
          </w:p>
        </w:tc>
        <w:tc>
          <w:tcPr>
            <w:tcW w:w="4540" w:type="dxa"/>
            <w:vAlign w:val="bottom"/>
          </w:tcPr>
          <w:p>
            <w:pPr>
              <w:ind w:left="80"/>
              <w:spacing w:after="0"/>
              <w:rPr>
                <w:sz w:val="20"/>
                <w:szCs w:val="20"/>
                <w:color w:val="auto"/>
              </w:rPr>
            </w:pPr>
            <w:r>
              <w:rPr>
                <w:rFonts w:ascii="Arial" w:cs="Arial" w:eastAsia="Arial" w:hAnsi="Arial"/>
                <w:sz w:val="18"/>
                <w:szCs w:val="18"/>
                <w:color w:val="auto"/>
              </w:rPr>
              <w:t>Chief Financial Officer</w:t>
            </w:r>
          </w:p>
        </w:tc>
      </w:tr>
    </w:tbl>
    <w:p>
      <w:pPr>
        <w:spacing w:after="0" w:line="1" w:lineRule="exact"/>
        <w:rPr>
          <w:sz w:val="20"/>
          <w:szCs w:val="20"/>
          <w:color w:val="auto"/>
        </w:rPr>
      </w:pPr>
    </w:p>
    <w:sectPr>
      <w:pgSz w:w="11900" w:h="16838" w:orient="portrait"/>
      <w:cols w:equalWidth="0" w:num="1">
        <w:col w:w="11240"/>
      </w:cols>
      <w:pgMar w:left="320" w:top="1440"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2023-02-17T17:09:28Z</dcterms:created>
  <dcterms:modified xsi:type="dcterms:W3CDTF">2023-02-17T17:09:28Z</dcterms:modified>
</cp:coreProperties>
</file>