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4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001-39558</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PERELLA WEINBERG PARTNERS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84-1770732</w:t>
            </w:r>
          </w:p>
        </w:tc>
      </w:tr>
      <w:tr>
        <w:trPr/>
        <w:tc>
          <w:tcPr>
            <w:tcW w:w="2430" w:type="dxa"/>
            <w:gridSpan w:val="3"/>
            <w:tcBorders/>
            <w:tcMar>
              <w:top w:w="0" w:type="dxa"/>
              <w:left w:w="0" w:type="dxa"/>
              <w:bottom w:w="0" w:type="dxa"/>
              <w:right w:w="0" w:type="dxa"/>
            </w:tcMar>
            <w:vAlign w:val="center"/>
          </w:tcPr>
          <w:p>
            <w:pPr>
              <w:pStyle w:val="TableContents"/>
              <w:bidi w:val="0"/>
              <w:spacing w:lineRule="auto" w:line="362" w:before="75" w:after="283"/>
              <w:jc w:val="center"/>
              <w:rPr>
                <w:rFonts w:ascii="Times New Roman;serif" w:hAnsi="Times New Roman;serif"/>
                <w:b/>
                <w:color w:val="000000"/>
                <w:sz w:val="14"/>
              </w:rPr>
            </w:pPr>
            <w:r>
              <w:rPr>
                <w:rFonts w:ascii="Times New Roman;serif" w:hAnsi="Times New Roman;serif"/>
                <w:b/>
                <w:color w:val="000000"/>
                <w:sz w:val="14"/>
              </w:rPr>
              <w:t>( State or other jurisdiction of</w:t>
            </w:r>
          </w:p>
          <w:p>
            <w:pPr>
              <w:pStyle w:val="TableContents"/>
              <w:bidi w:val="0"/>
              <w:spacing w:lineRule="auto" w:line="362" w:before="14" w:after="3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362" w:before="75" w:after="283"/>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362" w:before="14" w:after="3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767 Fifth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10153</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287-3200</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40" w:after="12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9321" w:type="dxa"/>
        <w:jc w:val="left"/>
        <w:tblInd w:w="0" w:type="dxa"/>
        <w:tblLayout w:type="fixed"/>
        <w:tblCellMar>
          <w:top w:w="28" w:type="dxa"/>
          <w:left w:w="28" w:type="dxa"/>
          <w:bottom w:w="28" w:type="dxa"/>
          <w:right w:w="28" w:type="dxa"/>
        </w:tblCellMar>
      </w:tblPr>
      <w:tblGrid>
        <w:gridCol w:w="1410"/>
        <w:gridCol w:w="1236"/>
        <w:gridCol w:w="1253"/>
        <w:gridCol w:w="109"/>
        <w:gridCol w:w="109"/>
        <w:gridCol w:w="109"/>
        <w:gridCol w:w="484"/>
        <w:gridCol w:w="484"/>
        <w:gridCol w:w="486"/>
        <w:gridCol w:w="109"/>
        <w:gridCol w:w="109"/>
        <w:gridCol w:w="109"/>
        <w:gridCol w:w="970"/>
        <w:gridCol w:w="970"/>
        <w:gridCol w:w="1374"/>
      </w:tblGrid>
      <w:tr>
        <w:trPr/>
        <w:tc>
          <w:tcPr>
            <w:tcW w:w="14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8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69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rFonts w:ascii="Wingdings;sans-serif" w:hAnsi="Wingdings;sans-serif"/>
          <w:b w:val="false"/>
          <w:color w:val="000000"/>
          <w:sz w:val="18"/>
        </w:rPr>
        <w:t>x</w:t>
      </w:r>
      <w:r>
        <w:rPr>
          <w:color w:val="000000"/>
        </w:rPr>
        <w:t xml:space="preserve">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As of July 29, 2025, the registrant had 62,521,774 shares of Class A common stock, par value $0.0001 per share, and 24,957,389 shares of Class B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7"/>
        <w:gridCol w:w="251"/>
        <w:gridCol w:w="253"/>
        <w:gridCol w:w="2945"/>
        <w:gridCol w:w="2945"/>
        <w:gridCol w:w="2950"/>
        <w:gridCol w:w="167"/>
        <w:gridCol w:w="167"/>
        <w:gridCol w:w="240"/>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3">
              <w:r>
                <w:rPr>
                  <w:rStyle w:val="InternetLink"/>
                  <w:rFonts w:ascii="Times New Roman;serif" w:hAnsi="Times New Roman;serif"/>
                  <w:b/>
                  <w:color w:val="0000FF"/>
                  <w:sz w:val="20"/>
                  <w:u w:val="single"/>
                </w:rPr>
                <w:t>PART I.</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3">
              <w:r>
                <w:rPr>
                  <w:rStyle w:val="InternetLink"/>
                  <w:rFonts w:ascii="Times New Roman;serif" w:hAnsi="Times New Roman;serif"/>
                  <w:b/>
                  <w:color w:val="0000FF"/>
                  <w:sz w:val="20"/>
                  <w:u w:val="single"/>
                </w:rPr>
                <w:t>FINANCIAL INFORMATION</w:t>
              </w:r>
            </w:hyperlink>
          </w:p>
        </w:tc>
        <w:tc>
          <w:tcPr>
            <w:tcW w:w="5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6">
              <w:r>
                <w:rPr>
                  <w:rStyle w:val="InternetLink"/>
                  <w:rFonts w:ascii="Times New Roman;serif" w:hAnsi="Times New Roman;serif"/>
                  <w:b w:val="false"/>
                  <w:color w:val="0000FF"/>
                  <w:sz w:val="20"/>
                  <w:u w:val="single"/>
                </w:rPr>
                <w:t>Item 1.</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6">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6">
              <w:r>
                <w:rPr>
                  <w:rStyle w:val="InternetLink"/>
                  <w:rFonts w:ascii="Times New Roman;serif" w:hAnsi="Times New Roman;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9">
              <w:r>
                <w:rPr>
                  <w:rStyle w:val="InternetLink"/>
                  <w:rFonts w:ascii="Times New Roman;serif" w:hAnsi="Times New Roman;serif"/>
                  <w:b w:val="false"/>
                  <w:color w:val="000080"/>
                  <w:sz w:val="20"/>
                  <w:u w:val="single"/>
                </w:rPr>
                <w:t xml:space="preserve">Condensed Consolidated Statements of Financial Condition as of </w:t>
              </w:r>
            </w:hyperlink>
            <w:hyperlink w:anchor="i5efff3c7f54f42a383f3b5875c7b0820_19">
              <w:r>
                <w:rPr>
                  <w:rStyle w:val="InternetLink"/>
                  <w:rFonts w:ascii="Times New Roman;serif" w:hAnsi="Times New Roman;serif"/>
                  <w:b w:val="false"/>
                  <w:color w:val="000080"/>
                  <w:sz w:val="20"/>
                  <w:u w:val="single"/>
                </w:rPr>
                <w:t>June 30</w:t>
              </w:r>
            </w:hyperlink>
            <w:hyperlink w:anchor="i5efff3c7f54f42a383f3b5875c7b0820_19">
              <w:r>
                <w:rPr>
                  <w:rStyle w:val="InternetLink"/>
                  <w:rFonts w:ascii="Times New Roman;serif" w:hAnsi="Times New Roman;serif"/>
                  <w:b w:val="false"/>
                  <w:color w:val="000080"/>
                  <w:sz w:val="20"/>
                  <w:u w:val="single"/>
                </w:rPr>
                <w:t>, 2025 and December 31, 2024</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9">
              <w:r>
                <w:rPr>
                  <w:rStyle w:val="InternetLink"/>
                  <w:rFonts w:ascii="Times New Roman;serif" w:hAnsi="Times New Roman;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22">
              <w:r>
                <w:rPr>
                  <w:rStyle w:val="InternetLink"/>
                  <w:rFonts w:ascii="Times New Roman;serif" w:hAnsi="Times New Roman;serif"/>
                  <w:b w:val="false"/>
                  <w:color w:val="000080"/>
                  <w:sz w:val="20"/>
                  <w:u w:val="single"/>
                </w:rPr>
                <w:t xml:space="preserve">Condensed Consolidated Statements of Operations for the Three </w:t>
              </w:r>
            </w:hyperlink>
            <w:hyperlink w:anchor="i5efff3c7f54f42a383f3b5875c7b0820_22">
              <w:r>
                <w:rPr>
                  <w:rStyle w:val="InternetLink"/>
                  <w:rFonts w:ascii="Times New Roman;serif" w:hAnsi="Times New Roman;serif"/>
                  <w:b w:val="false"/>
                  <w:color w:val="000080"/>
                  <w:sz w:val="20"/>
                  <w:u w:val="single"/>
                </w:rPr>
                <w:t xml:space="preserve">and Six </w:t>
              </w:r>
            </w:hyperlink>
            <w:hyperlink w:anchor="i5efff3c7f54f42a383f3b5875c7b0820_22">
              <w:r>
                <w:rPr>
                  <w:rStyle w:val="InternetLink"/>
                  <w:rFonts w:ascii="Times New Roman;serif" w:hAnsi="Times New Roman;serif"/>
                  <w:b w:val="false"/>
                  <w:color w:val="000080"/>
                  <w:sz w:val="20"/>
                  <w:u w:val="single"/>
                </w:rPr>
                <w:t xml:space="preserve">Months Ended </w:t>
              </w:r>
            </w:hyperlink>
            <w:hyperlink w:anchor="i5efff3c7f54f42a383f3b5875c7b0820_22">
              <w:r>
                <w:rPr>
                  <w:rStyle w:val="InternetLink"/>
                  <w:rFonts w:ascii="Times New Roman;serif" w:hAnsi="Times New Roman;serif"/>
                  <w:b w:val="false"/>
                  <w:color w:val="000080"/>
                  <w:sz w:val="20"/>
                  <w:u w:val="single"/>
                </w:rPr>
                <w:t>June</w:t>
              </w:r>
            </w:hyperlink>
            <w:hyperlink w:anchor="i5efff3c7f54f42a383f3b5875c7b0820_22">
              <w:r>
                <w:rPr>
                  <w:rStyle w:val="InternetLink"/>
                  <w:rFonts w:ascii="Times New Roman;serif" w:hAnsi="Times New Roman;serif"/>
                  <w:b w:val="false"/>
                  <w:color w:val="000080"/>
                  <w:sz w:val="20"/>
                  <w:u w:val="single"/>
                </w:rPr>
                <w:t xml:space="preserve"> 30</w:t>
              </w:r>
            </w:hyperlink>
            <w:hyperlink w:anchor="i5efff3c7f54f42a383f3b5875c7b0820_22">
              <w:r>
                <w:rPr>
                  <w:rStyle w:val="InternetLink"/>
                  <w:rFonts w:ascii="Times New Roman;serif" w:hAnsi="Times New Roman;serif"/>
                  <w:b w:val="false"/>
                  <w:color w:val="000080"/>
                  <w:sz w:val="20"/>
                  <w:u w:val="single"/>
                </w:rPr>
                <w:t>, 2025 and 2024</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22">
              <w:r>
                <w:rPr>
                  <w:rStyle w:val="InternetLink"/>
                  <w:rFonts w:ascii="Times New Roman;serif" w:hAnsi="Times New Roman;serif"/>
                  <w:b w:val="false"/>
                  <w:color w:val="0000FF"/>
                  <w:sz w:val="20"/>
                  <w:u w:val="single"/>
                </w:rPr>
                <w:t>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25">
              <w:r>
                <w:rPr>
                  <w:rStyle w:val="InternetLink"/>
                  <w:rFonts w:ascii="Times New Roman;serif" w:hAnsi="Times New Roman;serif"/>
                  <w:b w:val="false"/>
                  <w:color w:val="000080"/>
                  <w:sz w:val="20"/>
                  <w:u w:val="single"/>
                </w:rPr>
                <w:t>Condensed Consolidated Statements of Comprehensive Income (Loss) for the Three</w:t>
              </w:r>
            </w:hyperlink>
            <w:hyperlink w:anchor="i5efff3c7f54f42a383f3b5875c7b0820_25">
              <w:r>
                <w:rPr>
                  <w:rStyle w:val="InternetLink"/>
                  <w:rFonts w:ascii="Times New Roman;serif" w:hAnsi="Times New Roman;serif"/>
                  <w:b w:val="false"/>
                  <w:color w:val="000080"/>
                  <w:sz w:val="20"/>
                  <w:u w:val="single"/>
                </w:rPr>
                <w:t xml:space="preserve"> and Six</w:t>
              </w:r>
            </w:hyperlink>
            <w:hyperlink w:anchor="i5efff3c7f54f42a383f3b5875c7b0820_25">
              <w:r>
                <w:rPr>
                  <w:rStyle w:val="InternetLink"/>
                  <w:rFonts w:ascii="Times New Roman;serif" w:hAnsi="Times New Roman;serif"/>
                  <w:b w:val="false"/>
                  <w:color w:val="000080"/>
                  <w:sz w:val="20"/>
                  <w:u w:val="single"/>
                </w:rPr>
                <w:t xml:space="preserve"> Months Ended </w:t>
              </w:r>
            </w:hyperlink>
            <w:hyperlink w:anchor="i5efff3c7f54f42a383f3b5875c7b0820_25">
              <w:r>
                <w:rPr>
                  <w:rStyle w:val="InternetLink"/>
                  <w:rFonts w:ascii="Times New Roman;serif" w:hAnsi="Times New Roman;serif"/>
                  <w:b w:val="false"/>
                  <w:color w:val="000080"/>
                  <w:sz w:val="20"/>
                  <w:u w:val="single"/>
                </w:rPr>
                <w:t>June</w:t>
              </w:r>
            </w:hyperlink>
            <w:hyperlink w:anchor="i5efff3c7f54f42a383f3b5875c7b0820_25">
              <w:r>
                <w:rPr>
                  <w:rStyle w:val="InternetLink"/>
                  <w:rFonts w:ascii="Times New Roman;serif" w:hAnsi="Times New Roman;serif"/>
                  <w:b w:val="false"/>
                  <w:color w:val="000080"/>
                  <w:sz w:val="20"/>
                  <w:u w:val="single"/>
                </w:rPr>
                <w:t xml:space="preserve"> 3</w:t>
              </w:r>
            </w:hyperlink>
            <w:hyperlink w:anchor="i5efff3c7f54f42a383f3b5875c7b0820_25">
              <w:r>
                <w:rPr>
                  <w:rStyle w:val="InternetLink"/>
                  <w:rFonts w:ascii="Times New Roman;serif" w:hAnsi="Times New Roman;serif"/>
                  <w:b w:val="false"/>
                  <w:color w:val="000080"/>
                  <w:sz w:val="20"/>
                  <w:u w:val="single"/>
                </w:rPr>
                <w:t>0</w:t>
              </w:r>
            </w:hyperlink>
            <w:hyperlink w:anchor="i5efff3c7f54f42a383f3b5875c7b0820_25">
              <w:r>
                <w:rPr>
                  <w:rStyle w:val="InternetLink"/>
                  <w:rFonts w:ascii="Times New Roman;serif" w:hAnsi="Times New Roman;serif"/>
                  <w:b w:val="false"/>
                  <w:color w:val="000080"/>
                  <w:sz w:val="20"/>
                  <w:u w:val="single"/>
                </w:rPr>
                <w:t>, 2025 and 2024</w:t>
              </w:r>
            </w:hyperlink>
            <w:r>
              <w:rPr>
                <w:color w:val="000000"/>
              </w:rPr>
              <w:t xml:space="preserve"> </w:t>
            </w:r>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25">
              <w:r>
                <w:rPr>
                  <w:rStyle w:val="InternetLink"/>
                  <w:rFonts w:ascii="Times New Roman;serif" w:hAnsi="Times New Roman;serif"/>
                  <w:b w:val="false"/>
                  <w:color w:val="0000FF"/>
                  <w:sz w:val="20"/>
                  <w:u w:val="single"/>
                </w:rPr>
                <w:t>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28">
              <w:r>
                <w:rPr>
                  <w:rStyle w:val="InternetLink"/>
                  <w:rFonts w:ascii="Times New Roman;serif" w:hAnsi="Times New Roman;serif"/>
                  <w:b w:val="false"/>
                  <w:color w:val="000080"/>
                  <w:sz w:val="20"/>
                  <w:u w:val="single"/>
                </w:rPr>
                <w:t>Condensed Consolidated Statements of Changes in Equity and Redeemable Non-Controlling Interests for the Three</w:t>
              </w:r>
            </w:hyperlink>
            <w:hyperlink w:anchor="i5efff3c7f54f42a383f3b5875c7b0820_28">
              <w:r>
                <w:rPr>
                  <w:rStyle w:val="InternetLink"/>
                  <w:rFonts w:ascii="Times New Roman;serif" w:hAnsi="Times New Roman;serif"/>
                  <w:b w:val="false"/>
                  <w:color w:val="000080"/>
                  <w:sz w:val="20"/>
                  <w:u w:val="single"/>
                </w:rPr>
                <w:t xml:space="preserve"> and Six</w:t>
              </w:r>
            </w:hyperlink>
            <w:hyperlink w:anchor="i5efff3c7f54f42a383f3b5875c7b0820_28">
              <w:r>
                <w:rPr>
                  <w:rStyle w:val="InternetLink"/>
                  <w:rFonts w:ascii="Times New Roman;serif" w:hAnsi="Times New Roman;serif"/>
                  <w:b w:val="false"/>
                  <w:color w:val="000080"/>
                  <w:sz w:val="20"/>
                  <w:u w:val="single"/>
                </w:rPr>
                <w:t xml:space="preserve"> Months Ended </w:t>
              </w:r>
            </w:hyperlink>
            <w:hyperlink w:anchor="i5efff3c7f54f42a383f3b5875c7b0820_28">
              <w:r>
                <w:rPr>
                  <w:rStyle w:val="InternetLink"/>
                  <w:rFonts w:ascii="Times New Roman;serif" w:hAnsi="Times New Roman;serif"/>
                  <w:b w:val="false"/>
                  <w:color w:val="000080"/>
                  <w:sz w:val="20"/>
                  <w:u w:val="single"/>
                </w:rPr>
                <w:t>June</w:t>
              </w:r>
            </w:hyperlink>
            <w:hyperlink w:anchor="i5efff3c7f54f42a383f3b5875c7b0820_28">
              <w:r>
                <w:rPr>
                  <w:rStyle w:val="InternetLink"/>
                  <w:rFonts w:ascii="Times New Roman;serif" w:hAnsi="Times New Roman;serif"/>
                  <w:b w:val="false"/>
                  <w:color w:val="000080"/>
                  <w:sz w:val="20"/>
                  <w:u w:val="single"/>
                </w:rPr>
                <w:t xml:space="preserve"> 3</w:t>
              </w:r>
            </w:hyperlink>
            <w:hyperlink w:anchor="i5efff3c7f54f42a383f3b5875c7b0820_28">
              <w:r>
                <w:rPr>
                  <w:rStyle w:val="InternetLink"/>
                  <w:rFonts w:ascii="Times New Roman;serif" w:hAnsi="Times New Roman;serif"/>
                  <w:b w:val="false"/>
                  <w:color w:val="000080"/>
                  <w:sz w:val="20"/>
                  <w:u w:val="single"/>
                </w:rPr>
                <w:t>0</w:t>
              </w:r>
            </w:hyperlink>
            <w:hyperlink w:anchor="i5efff3c7f54f42a383f3b5875c7b0820_28">
              <w:r>
                <w:rPr>
                  <w:rStyle w:val="InternetLink"/>
                  <w:rFonts w:ascii="Times New Roman;serif" w:hAnsi="Times New Roman;serif"/>
                  <w:b w:val="false"/>
                  <w:color w:val="000080"/>
                  <w:sz w:val="20"/>
                  <w:u w:val="single"/>
                </w:rPr>
                <w:t>, 2025 and 2024</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28">
              <w:r>
                <w:rPr>
                  <w:rStyle w:val="InternetLink"/>
                  <w:rFonts w:ascii="Times New Roman;serif" w:hAnsi="Times New Roman;serif"/>
                  <w:b w:val="false"/>
                  <w:color w:val="0000FF"/>
                  <w:sz w:val="20"/>
                  <w:u w:val="single"/>
                </w:rPr>
                <w:t>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34">
              <w:r>
                <w:rPr>
                  <w:rStyle w:val="InternetLink"/>
                  <w:rFonts w:ascii="Times New Roman;serif" w:hAnsi="Times New Roman;serif"/>
                  <w:b w:val="false"/>
                  <w:color w:val="000080"/>
                  <w:sz w:val="20"/>
                  <w:u w:val="single"/>
                </w:rPr>
                <w:t>Condensed Consolidated Statements of Cash Flows for the</w:t>
              </w:r>
            </w:hyperlink>
            <w:hyperlink w:anchor="i5efff3c7f54f42a383f3b5875c7b0820_34">
              <w:r>
                <w:rPr>
                  <w:rStyle w:val="InternetLink"/>
                  <w:rFonts w:ascii="Times New Roman;serif" w:hAnsi="Times New Roman;serif"/>
                  <w:b w:val="false"/>
                  <w:color w:val="000080"/>
                  <w:sz w:val="20"/>
                  <w:u w:val="single"/>
                </w:rPr>
                <w:t xml:space="preserve"> Six</w:t>
              </w:r>
            </w:hyperlink>
            <w:hyperlink w:anchor="i5efff3c7f54f42a383f3b5875c7b0820_34">
              <w:r>
                <w:rPr>
                  <w:rStyle w:val="InternetLink"/>
                  <w:rFonts w:ascii="Times New Roman;serif" w:hAnsi="Times New Roman;serif"/>
                  <w:b w:val="false"/>
                  <w:color w:val="000080"/>
                  <w:sz w:val="20"/>
                  <w:u w:val="single"/>
                </w:rPr>
                <w:t xml:space="preserve"> Months Ended </w:t>
              </w:r>
            </w:hyperlink>
            <w:hyperlink w:anchor="i5efff3c7f54f42a383f3b5875c7b0820_34">
              <w:r>
                <w:rPr>
                  <w:rStyle w:val="InternetLink"/>
                  <w:rFonts w:ascii="Times New Roman;serif" w:hAnsi="Times New Roman;serif"/>
                  <w:b w:val="false"/>
                  <w:color w:val="000080"/>
                  <w:sz w:val="20"/>
                  <w:u w:val="single"/>
                </w:rPr>
                <w:t>June</w:t>
              </w:r>
            </w:hyperlink>
            <w:hyperlink w:anchor="i5efff3c7f54f42a383f3b5875c7b0820_34">
              <w:r>
                <w:rPr>
                  <w:rStyle w:val="InternetLink"/>
                  <w:rFonts w:ascii="Times New Roman;serif" w:hAnsi="Times New Roman;serif"/>
                  <w:b w:val="false"/>
                  <w:color w:val="000080"/>
                  <w:sz w:val="20"/>
                  <w:u w:val="single"/>
                </w:rPr>
                <w:t xml:space="preserve"> 3</w:t>
              </w:r>
            </w:hyperlink>
            <w:hyperlink w:anchor="i5efff3c7f54f42a383f3b5875c7b0820_34">
              <w:r>
                <w:rPr>
                  <w:rStyle w:val="InternetLink"/>
                  <w:rFonts w:ascii="Times New Roman;serif" w:hAnsi="Times New Roman;serif"/>
                  <w:b w:val="false"/>
                  <w:color w:val="000080"/>
                  <w:sz w:val="20"/>
                  <w:u w:val="single"/>
                </w:rPr>
                <w:t>0</w:t>
              </w:r>
            </w:hyperlink>
            <w:hyperlink w:anchor="i5efff3c7f54f42a383f3b5875c7b0820_34">
              <w:r>
                <w:rPr>
                  <w:rStyle w:val="InternetLink"/>
                  <w:rFonts w:ascii="Times New Roman;serif" w:hAnsi="Times New Roman;serif"/>
                  <w:b w:val="false"/>
                  <w:color w:val="000080"/>
                  <w:sz w:val="20"/>
                  <w:u w:val="single"/>
                </w:rPr>
                <w:t>, 2025 and 2024</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34">
              <w:r>
                <w:rPr>
                  <w:rStyle w:val="InternetLink"/>
                  <w:rFonts w:ascii="Times New Roman;serif" w:hAnsi="Times New Roman;serif"/>
                  <w:b w:val="false"/>
                  <w:color w:val="0000FF"/>
                  <w:sz w:val="20"/>
                  <w:u w:val="single"/>
                </w:rPr>
                <w:t>8</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40">
              <w:r>
                <w:rPr>
                  <w:rStyle w:val="InternetLink"/>
                  <w:rFonts w:ascii="Times New Roman;serif" w:hAnsi="Times New Roman;serif"/>
                  <w:b w:val="false"/>
                  <w:color w:val="0000FF"/>
                  <w:sz w:val="20"/>
                  <w:u w:val="single"/>
                </w:rPr>
                <w:t>Notes to 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40">
              <w:r>
                <w:rPr>
                  <w:rStyle w:val="InternetLink"/>
                  <w:rFonts w:ascii="Times New Roman;serif" w:hAnsi="Times New Roman;serif"/>
                  <w:b w:val="false"/>
                  <w:color w:val="0000FF"/>
                  <w:sz w:val="20"/>
                  <w:u w:val="single"/>
                </w:rPr>
                <w:t>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18">
              <w:r>
                <w:rPr>
                  <w:rStyle w:val="InternetLink"/>
                  <w:rFonts w:ascii="Times New Roman;serif" w:hAnsi="Times New Roman;serif"/>
                  <w:b w:val="false"/>
                  <w:color w:val="0000FF"/>
                  <w:sz w:val="20"/>
                  <w:u w:val="single"/>
                </w:rPr>
                <w:t>Item 2.</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18">
              <w:r>
                <w:rPr>
                  <w:rStyle w:val="InternetLink"/>
                  <w:rFonts w:ascii="Times New Roman;serif" w:hAnsi="Times New Roman;serif"/>
                  <w:b w:val="false"/>
                  <w:color w:val="0000FF"/>
                  <w:sz w:val="20"/>
                  <w:u w:val="single"/>
                </w:rPr>
                <w:t>25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42">
              <w:r>
                <w:rPr>
                  <w:rStyle w:val="InternetLink"/>
                  <w:rFonts w:ascii="Times New Roman;serif" w:hAnsi="Times New Roman;serif"/>
                  <w:b w:val="false"/>
                  <w:color w:val="0000FF"/>
                  <w:sz w:val="20"/>
                  <w:u w:val="single"/>
                </w:rPr>
                <w:t>Item 3.</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42">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42">
              <w:r>
                <w:rPr>
                  <w:rStyle w:val="InternetLink"/>
                  <w:rFonts w:ascii="Times New Roman;serif" w:hAnsi="Times New Roman;serif"/>
                  <w:b w:val="false"/>
                  <w:color w:val="0000FF"/>
                  <w:sz w:val="20"/>
                  <w:u w:val="single"/>
                </w:rPr>
                <w:t>32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45">
              <w:r>
                <w:rPr>
                  <w:rStyle w:val="InternetLink"/>
                  <w:rFonts w:ascii="Times New Roman;serif" w:hAnsi="Times New Roman;serif"/>
                  <w:b w:val="false"/>
                  <w:color w:val="0000FF"/>
                  <w:sz w:val="20"/>
                  <w:u w:val="single"/>
                </w:rPr>
                <w:t>Item 4.</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45">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45">
              <w:r>
                <w:rPr>
                  <w:rStyle w:val="InternetLink"/>
                  <w:rFonts w:ascii="Times New Roman;serif" w:hAnsi="Times New Roman;serif"/>
                  <w:b w:val="false"/>
                  <w:color w:val="0000FF"/>
                  <w:sz w:val="20"/>
                  <w:u w:val="single"/>
                </w:rPr>
                <w:t>32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48">
              <w:r>
                <w:rPr>
                  <w:rStyle w:val="InternetLink"/>
                  <w:rFonts w:ascii="Times New Roman;serif" w:hAnsi="Times New Roman;serif"/>
                  <w:b/>
                  <w:color w:val="0000FF"/>
                  <w:sz w:val="20"/>
                  <w:u w:val="single"/>
                </w:rPr>
                <w:t>PART II.</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48">
              <w:r>
                <w:rPr>
                  <w:rStyle w:val="InternetLink"/>
                  <w:rFonts w:ascii="Times New Roman;serif" w:hAnsi="Times New Roman;serif"/>
                  <w:b/>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51">
              <w:r>
                <w:rPr>
                  <w:rStyle w:val="InternetLink"/>
                  <w:rFonts w:ascii="Times New Roman;serif" w:hAnsi="Times New Roman;serif"/>
                  <w:b w:val="false"/>
                  <w:color w:val="0000FF"/>
                  <w:sz w:val="20"/>
                  <w:u w:val="single"/>
                </w:rPr>
                <w:t>Item 1.</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51">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51">
              <w:r>
                <w:rPr>
                  <w:rStyle w:val="InternetLink"/>
                  <w:rFonts w:ascii="Times New Roman;serif" w:hAnsi="Times New Roman;serif"/>
                  <w:b w:val="false"/>
                  <w:color w:val="0000FF"/>
                  <w:sz w:val="20"/>
                  <w:u w:val="single"/>
                </w:rPr>
                <w:t>33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54">
              <w:r>
                <w:rPr>
                  <w:rStyle w:val="InternetLink"/>
                  <w:rFonts w:ascii="Times New Roman;serif" w:hAnsi="Times New Roman;serif"/>
                  <w:b w:val="false"/>
                  <w:color w:val="0000FF"/>
                  <w:sz w:val="20"/>
                  <w:u w:val="single"/>
                </w:rPr>
                <w:t>Item 1A.</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54">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54">
              <w:r>
                <w:rPr>
                  <w:rStyle w:val="InternetLink"/>
                  <w:rFonts w:ascii="Times New Roman;serif" w:hAnsi="Times New Roman;serif"/>
                  <w:b w:val="false"/>
                  <w:color w:val="0000FF"/>
                  <w:sz w:val="20"/>
                  <w:u w:val="single"/>
                </w:rPr>
                <w:t>33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57">
              <w:r>
                <w:rPr>
                  <w:rStyle w:val="InternetLink"/>
                  <w:rFonts w:ascii="Times New Roman;serif" w:hAnsi="Times New Roman;serif"/>
                  <w:b w:val="false"/>
                  <w:color w:val="0000FF"/>
                  <w:sz w:val="20"/>
                  <w:u w:val="single"/>
                </w:rPr>
                <w:t>Item 2.</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57">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57">
              <w:r>
                <w:rPr>
                  <w:rStyle w:val="InternetLink"/>
                  <w:rFonts w:ascii="Times New Roman;serif" w:hAnsi="Times New Roman;serif"/>
                  <w:b w:val="false"/>
                  <w:color w:val="0000FF"/>
                  <w:sz w:val="20"/>
                  <w:u w:val="single"/>
                </w:rPr>
                <w:t>33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63">
              <w:r>
                <w:rPr>
                  <w:rStyle w:val="InternetLink"/>
                  <w:rFonts w:ascii="Times New Roman;serif" w:hAnsi="Times New Roman;serif"/>
                  <w:b w:val="false"/>
                  <w:color w:val="0000FF"/>
                  <w:sz w:val="20"/>
                  <w:u w:val="single"/>
                </w:rPr>
                <w:t>Item 3.</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63">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63">
              <w:r>
                <w:rPr>
                  <w:rStyle w:val="InternetLink"/>
                  <w:rFonts w:ascii="Times New Roman;serif" w:hAnsi="Times New Roman;serif"/>
                  <w:b w:val="false"/>
                  <w:color w:val="0000FF"/>
                  <w:sz w:val="20"/>
                  <w:u w:val="single"/>
                </w:rPr>
                <w:t>33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66">
              <w:r>
                <w:rPr>
                  <w:rStyle w:val="InternetLink"/>
                  <w:rFonts w:ascii="Times New Roman;serif" w:hAnsi="Times New Roman;serif"/>
                  <w:b w:val="false"/>
                  <w:color w:val="0000FF"/>
                  <w:sz w:val="20"/>
                  <w:u w:val="single"/>
                </w:rPr>
                <w:t>Item 4.</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66">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66">
              <w:r>
                <w:rPr>
                  <w:rStyle w:val="InternetLink"/>
                  <w:rFonts w:ascii="Times New Roman;serif" w:hAnsi="Times New Roman;serif"/>
                  <w:b w:val="false"/>
                  <w:color w:val="0000FF"/>
                  <w:sz w:val="20"/>
                  <w:u w:val="single"/>
                </w:rPr>
                <w:t>33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69">
              <w:r>
                <w:rPr>
                  <w:rStyle w:val="InternetLink"/>
                  <w:rFonts w:ascii="Times New Roman;serif" w:hAnsi="Times New Roman;serif"/>
                  <w:b w:val="false"/>
                  <w:color w:val="0000FF"/>
                  <w:sz w:val="20"/>
                  <w:u w:val="single"/>
                </w:rPr>
                <w:t>Item 5.</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69">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69">
              <w:r>
                <w:rPr>
                  <w:rStyle w:val="InternetLink"/>
                  <w:rFonts w:ascii="Times New Roman;serif" w:hAnsi="Times New Roman;serif"/>
                  <w:b w:val="false"/>
                  <w:color w:val="0000FF"/>
                  <w:sz w:val="20"/>
                  <w:u w:val="single"/>
                </w:rPr>
                <w:t>33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75">
              <w:r>
                <w:rPr>
                  <w:rStyle w:val="InternetLink"/>
                  <w:rFonts w:ascii="Times New Roman;serif" w:hAnsi="Times New Roman;serif"/>
                  <w:b w:val="false"/>
                  <w:color w:val="0000FF"/>
                  <w:sz w:val="20"/>
                  <w:u w:val="single"/>
                </w:rPr>
                <w:t>Item 6.</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75">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75">
              <w:r>
                <w:rPr>
                  <w:rStyle w:val="InternetLink"/>
                  <w:rFonts w:ascii="Times New Roman;serif" w:hAnsi="Times New Roman;serif"/>
                  <w:b w:val="false"/>
                  <w:color w:val="0000FF"/>
                  <w:sz w:val="20"/>
                  <w:u w:val="single"/>
                </w:rPr>
                <w:t>34</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5efff3c7f54f42a383f3b5875c7b0820_178">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5efff3c7f54f42a383f3b5875c7b0820_178">
              <w:r>
                <w:rPr>
                  <w:rStyle w:val="InternetLink"/>
                  <w:rFonts w:ascii="Times New Roman;serif" w:hAnsi="Times New Roman;serif"/>
                  <w:b w:val="false"/>
                  <w:color w:val="0000FF"/>
                  <w:sz w:val="20"/>
                  <w:u w:val="single"/>
                </w:rPr>
                <w:t>35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24, 2021, Perella Weinberg Partners consummated a business combination (the “Business Combination”) pursuant to the Business Combination Agreement, dated as of December 29, 2020. Unless the context otherwise requires, all references to “PWP,” the “Company,” “we,” “us” or “our” refer to Perella Weinberg Partners and its consolidated subsidiaries.</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made in this Quarterly Report on Form 10-Q are “forward-looking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bidi w:val="0"/>
        <w:spacing w:lineRule="auto" w:line="240" w:before="240" w:after="240"/>
        <w:ind w:left="0" w:right="0" w:firstLine="360"/>
        <w:jc w:val="both"/>
        <w:rPr/>
      </w:pPr>
      <w:r>
        <w:rPr>
          <w:rFonts w:ascii="Times New Roman;serif" w:hAnsi="Times New Roman;serif"/>
          <w:b w:val="false"/>
          <w:color w:val="000000"/>
          <w:sz w:val="20"/>
        </w:rPr>
        <w:t>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under the section entitled “</w:t>
      </w:r>
      <w:r>
        <w:rPr>
          <w:rFonts w:ascii="Times New Roman;serif" w:hAnsi="Times New Roman;serif"/>
          <w:b w:val="false"/>
          <w:i/>
          <w:color w:val="000000"/>
          <w:sz w:val="20"/>
        </w:rPr>
        <w:t>Part I—Item 1A. Risk Factors</w:t>
      </w:r>
      <w:r>
        <w:rPr>
          <w:color w:val="000000"/>
        </w:rPr>
        <w:t xml:space="preserve">” </w:t>
      </w:r>
      <w:r>
        <w:rPr>
          <w:rFonts w:ascii="Times New Roman;serif" w:hAnsi="Times New Roman;serif"/>
          <w:b w:val="false"/>
          <w:color w:val="000000"/>
          <w:sz w:val="20"/>
        </w:rPr>
        <w:t>included in our Annual Report on Form 10-K.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Website Disclosure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10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Perella Weinberg Partners</w:t>
        <w:br/>
        <w:t>Condensed Consolidated Statements of Financial Condition</w:t>
        <w:br/>
        <w:t>(Unaudited)</w:t>
        <w:br/>
        <w:t>(Dollars in Thousands, Except Per Share and Per Unit Amounts)</w:t>
      </w:r>
    </w:p>
    <w:tbl>
      <w:tblPr>
        <w:tblW w:w="10205" w:type="dxa"/>
        <w:jc w:val="center"/>
        <w:tblInd w:w="0" w:type="dxa"/>
        <w:tblLayout w:type="fixed"/>
        <w:tblCellMar>
          <w:top w:w="28" w:type="dxa"/>
          <w:left w:w="28" w:type="dxa"/>
          <w:bottom w:w="28" w:type="dxa"/>
          <w:right w:w="28" w:type="dxa"/>
        </w:tblCellMar>
      </w:tblPr>
      <w:tblGrid>
        <w:gridCol w:w="2849"/>
        <w:gridCol w:w="2230"/>
        <w:gridCol w:w="2249"/>
        <w:gridCol w:w="217"/>
        <w:gridCol w:w="853"/>
        <w:gridCol w:w="112"/>
        <w:gridCol w:w="109"/>
        <w:gridCol w:w="109"/>
        <w:gridCol w:w="109"/>
        <w:gridCol w:w="241"/>
        <w:gridCol w:w="946"/>
        <w:gridCol w:w="181"/>
      </w:tblGrid>
      <w:tr>
        <w:trPr/>
        <w:tc>
          <w:tcPr>
            <w:tcW w:w="2849"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695" w:type="dxa"/>
            <w:gridSpan w:val="6"/>
            <w:tcBorders/>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32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145,037 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331,558 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short-term marketable debt securities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47,724 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73,293 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 of accumulated depreciation and amortization</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80,547 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84,886 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34,383 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34,383 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35,533 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29,224 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136,870 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139,637 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115,497 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92,969 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606,702 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876,751 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Liabilities, Redeemable Non-Controlling Interests, and Equity</w:t>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106,694 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325,225 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63,351 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184,995 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187,349 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Amount due pursuant to tax receivable agreement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75,566 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65,493 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430,606 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646,986 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1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 (24,957,389 units at redemption value of $19.81 per unit as of June 30, 2025; 27,460,600 units at redemption value of $23.71 per unit as of December 31, 2024)</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494,518 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651,140 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 (1,500,000,000 shares authorized, 77,289,741 issued and 62,606,861 outstanding at June 30, 2025; 1,500,000,000 shares authorized, 72,544,696 issued and 59,181,721 outstanding at December 31, 2024)</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$0.0001 per share (600,000,000 shares authorized, 24,957,389 issued and outstanding at June 30, 2025; 600,000,000 shares authorized, 27,460,600 issued and outstanding at December 31, 2024)</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$0.0001 per share (100,000,000 shares authorized, no shares issued and outstanding at June 30, 2025 and December 31, 2024)</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(179,429)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(303,708)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(6,193)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(14,682,880 and 13,362,975 shares of Class A common stock at June 30, 2025 and December 31, 2024, respectively)</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(138,282)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(111,484)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(318,422)</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(421,375)</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equity</w:t>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606,702 </w:t>
            </w:r>
          </w:p>
        </w:tc>
        <w:tc>
          <w:tcPr>
            <w:tcW w:w="1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876,751 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89"/>
        <w:gridCol w:w="1347"/>
        <w:gridCol w:w="1363"/>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1"/>
        <w:gridCol w:w="888"/>
        <w:gridCol w:w="156"/>
      </w:tblGrid>
      <w:tr>
        <w:trPr/>
        <w:tc>
          <w:tcPr>
            <w:tcW w:w="168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99"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155,267 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271,998 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367,098 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374,125 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108,314 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310,471 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257,558 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425,868 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infrastructure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occupancy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146,319 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354,230 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346,482 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509,920 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(82,232)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20,616 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(135,795)</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Non-operating income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income (expenses)</w:t>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(81,487)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(132,393)</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(80,845)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(150,845)</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(48,973)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Perella Weinberg Partners</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(66,028)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(101,872)</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Class A common shareholders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Weighted-average shares of Class A common stock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63,064,731 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54,589,542 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62,604,779 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51,894,913 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98,831,307 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54,589,542 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74,555,206 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51,894,913 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1896"/>
        <w:gridCol w:w="1494"/>
        <w:gridCol w:w="1507"/>
        <w:gridCol w:w="211"/>
        <w:gridCol w:w="616"/>
        <w:gridCol w:w="109"/>
        <w:gridCol w:w="109"/>
        <w:gridCol w:w="109"/>
        <w:gridCol w:w="109"/>
        <w:gridCol w:w="211"/>
        <w:gridCol w:w="779"/>
        <w:gridCol w:w="109"/>
        <w:gridCol w:w="109"/>
        <w:gridCol w:w="109"/>
        <w:gridCol w:w="109"/>
        <w:gridCol w:w="211"/>
        <w:gridCol w:w="721"/>
        <w:gridCol w:w="109"/>
        <w:gridCol w:w="109"/>
        <w:gridCol w:w="109"/>
        <w:gridCol w:w="109"/>
        <w:gridCol w:w="211"/>
        <w:gridCol w:w="884"/>
        <w:gridCol w:w="156"/>
      </w:tblGrid>
      <w:tr>
        <w:trPr/>
        <w:tc>
          <w:tcPr>
            <w:tcW w:w="189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97"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(80,845)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(150,845)</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(80,861)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33,393 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(152,051)</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(49,493)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Perella Weinberg Partners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(66,080)</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25,549 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(102,558)</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tbl>
      <w:tblPr>
        <w:tblW w:w="13268" w:type="dxa"/>
        <w:jc w:val="center"/>
        <w:tblInd w:w="0" w:type="dxa"/>
        <w:tblLayout w:type="fixed"/>
        <w:tblCellMar>
          <w:top w:w="28" w:type="dxa"/>
          <w:left w:w="28" w:type="dxa"/>
          <w:bottom w:w="28" w:type="dxa"/>
          <w:right w:w="28" w:type="dxa"/>
        </w:tblCellMar>
      </w:tblPr>
      <w:tblGrid>
        <w:gridCol w:w="485"/>
        <w:gridCol w:w="215"/>
        <w:gridCol w:w="216"/>
        <w:gridCol w:w="338"/>
        <w:gridCol w:w="338"/>
        <w:gridCol w:w="196"/>
        <w:gridCol w:w="109"/>
        <w:gridCol w:w="109"/>
        <w:gridCol w:w="109"/>
        <w:gridCol w:w="338"/>
        <w:gridCol w:w="338"/>
        <w:gridCol w:w="196"/>
        <w:gridCol w:w="109"/>
        <w:gridCol w:w="109"/>
        <w:gridCol w:w="109"/>
        <w:gridCol w:w="345"/>
        <w:gridCol w:w="346"/>
        <w:gridCol w:w="196"/>
        <w:gridCol w:w="109"/>
        <w:gridCol w:w="109"/>
        <w:gridCol w:w="109"/>
        <w:gridCol w:w="206"/>
        <w:gridCol w:w="243"/>
        <w:gridCol w:w="137"/>
        <w:gridCol w:w="109"/>
        <w:gridCol w:w="109"/>
        <w:gridCol w:w="109"/>
        <w:gridCol w:w="206"/>
        <w:gridCol w:w="243"/>
        <w:gridCol w:w="137"/>
        <w:gridCol w:w="109"/>
        <w:gridCol w:w="109"/>
        <w:gridCol w:w="109"/>
        <w:gridCol w:w="166"/>
        <w:gridCol w:w="541"/>
        <w:gridCol w:w="109"/>
        <w:gridCol w:w="109"/>
        <w:gridCol w:w="109"/>
        <w:gridCol w:w="109"/>
        <w:gridCol w:w="166"/>
        <w:gridCol w:w="406"/>
        <w:gridCol w:w="109"/>
        <w:gridCol w:w="109"/>
        <w:gridCol w:w="109"/>
        <w:gridCol w:w="109"/>
        <w:gridCol w:w="166"/>
        <w:gridCol w:w="566"/>
        <w:gridCol w:w="109"/>
        <w:gridCol w:w="109"/>
        <w:gridCol w:w="109"/>
        <w:gridCol w:w="109"/>
        <w:gridCol w:w="218"/>
        <w:gridCol w:w="554"/>
        <w:gridCol w:w="144"/>
        <w:gridCol w:w="109"/>
        <w:gridCol w:w="109"/>
        <w:gridCol w:w="109"/>
        <w:gridCol w:w="109"/>
        <w:gridCol w:w="109"/>
        <w:gridCol w:w="166"/>
        <w:gridCol w:w="541"/>
        <w:gridCol w:w="109"/>
        <w:gridCol w:w="109"/>
        <w:gridCol w:w="218"/>
        <w:gridCol w:w="194"/>
        <w:gridCol w:w="616"/>
        <w:gridCol w:w="181"/>
      </w:tblGrid>
      <w:tr>
        <w:trPr/>
        <w:tc>
          <w:tcPr>
            <w:tcW w:w="4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b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Redeemable Non-Controlling Interests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December 31, 2024</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72,544,696 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27,460,600 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(13,362,975)</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(111,484)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(303,708)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(6,193)</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(421,375)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651,140 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4,034 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3,366,995 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387,054 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(69,741)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(69,741)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cash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(1,270,086)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(28,792)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(749,432)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(3,207)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(139,162)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March 31, 2025</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75,911,691 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26,190,514 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(13,725,353)</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(121,282)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(197,595)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(4,261)</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(323,128)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484,834 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143,693 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25,530 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1,234,357 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(1,233,125)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(983,057)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June 30, 2025</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77,289,741 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24,957,389 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(14,682,880)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(138,282)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(179,429)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(721)</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(318,422)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494,518 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before="0" w:after="0"/>
        <w:jc w:val="left"/>
        <w:rPr/>
      </w:pPr>
      <w:r>
        <w:rPr/>
      </w:r>
    </w:p>
    <w:tbl>
      <w:tblPr>
        <w:tblW w:w="14313" w:type="dxa"/>
        <w:jc w:val="left"/>
        <w:tblInd w:w="0" w:type="dxa"/>
        <w:tblLayout w:type="fixed"/>
        <w:tblCellMar>
          <w:top w:w="28" w:type="dxa"/>
          <w:left w:w="28" w:type="dxa"/>
          <w:bottom w:w="28" w:type="dxa"/>
          <w:right w:w="28" w:type="dxa"/>
        </w:tblCellMar>
      </w:tblPr>
      <w:tblGrid>
        <w:gridCol w:w="500"/>
        <w:gridCol w:w="215"/>
        <w:gridCol w:w="216"/>
        <w:gridCol w:w="338"/>
        <w:gridCol w:w="338"/>
        <w:gridCol w:w="196"/>
        <w:gridCol w:w="109"/>
        <w:gridCol w:w="109"/>
        <w:gridCol w:w="109"/>
        <w:gridCol w:w="338"/>
        <w:gridCol w:w="338"/>
        <w:gridCol w:w="196"/>
        <w:gridCol w:w="109"/>
        <w:gridCol w:w="109"/>
        <w:gridCol w:w="109"/>
        <w:gridCol w:w="345"/>
        <w:gridCol w:w="346"/>
        <w:gridCol w:w="196"/>
        <w:gridCol w:w="109"/>
        <w:gridCol w:w="109"/>
        <w:gridCol w:w="109"/>
        <w:gridCol w:w="206"/>
        <w:gridCol w:w="243"/>
        <w:gridCol w:w="137"/>
        <w:gridCol w:w="109"/>
        <w:gridCol w:w="109"/>
        <w:gridCol w:w="109"/>
        <w:gridCol w:w="206"/>
        <w:gridCol w:w="243"/>
        <w:gridCol w:w="137"/>
        <w:gridCol w:w="109"/>
        <w:gridCol w:w="109"/>
        <w:gridCol w:w="109"/>
        <w:gridCol w:w="166"/>
        <w:gridCol w:w="541"/>
        <w:gridCol w:w="109"/>
        <w:gridCol w:w="109"/>
        <w:gridCol w:w="109"/>
        <w:gridCol w:w="109"/>
        <w:gridCol w:w="166"/>
        <w:gridCol w:w="526"/>
        <w:gridCol w:w="109"/>
        <w:gridCol w:w="109"/>
        <w:gridCol w:w="109"/>
        <w:gridCol w:w="109"/>
        <w:gridCol w:w="166"/>
        <w:gridCol w:w="566"/>
        <w:gridCol w:w="109"/>
        <w:gridCol w:w="109"/>
        <w:gridCol w:w="109"/>
        <w:gridCol w:w="109"/>
        <w:gridCol w:w="218"/>
        <w:gridCol w:w="554"/>
        <w:gridCol w:w="144"/>
        <w:gridCol w:w="109"/>
        <w:gridCol w:w="109"/>
        <w:gridCol w:w="109"/>
        <w:gridCol w:w="166"/>
        <w:gridCol w:w="526"/>
        <w:gridCol w:w="109"/>
        <w:gridCol w:w="109"/>
        <w:gridCol w:w="109"/>
        <w:gridCol w:w="109"/>
        <w:gridCol w:w="166"/>
        <w:gridCol w:w="541"/>
        <w:gridCol w:w="109"/>
        <w:gridCol w:w="327"/>
        <w:gridCol w:w="194"/>
        <w:gridCol w:w="616"/>
        <w:gridCol w:w="181"/>
      </w:tblGrid>
      <w:tr>
        <w:trPr/>
        <w:tc>
          <w:tcPr>
            <w:tcW w:w="5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b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br/>
              <w:t>Controlling</w:t>
              <w:br/>
              <w:t xml:space="preserve">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 Non-Controlling Interests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December 31, 2023</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57,361,073 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41,589,339 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(12,718,224)</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(100,747)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312,523 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(54,650)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(4,480)</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115,590 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268,246 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(34,156)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partners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2,086,273 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113,673 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(24,568)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(24,568)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in public offering (Note 9—Stockholders’ Equity and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794,146 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(793,354)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March 31, 2024</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65,991,492 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40,795,985 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(12,604,551)</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(99,383)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362,377 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(95,980)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(5,114)</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117,110 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279,021 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Effect of the Merger and related transactions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(6,149,211)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(109,737)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(109,674)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97,496 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(14,817)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60,794 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partners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(2,331)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123,733 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25,027 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 and equity-classified ACUs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(12,534)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cash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(1,343,257)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(10,862)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(37,735)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426,305 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June 30, 2024</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66,115,225 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33,303,517 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(13,579,524)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(114,082)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(167,852)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(5,166)</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(282,975)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506,366 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865"/>
        <w:gridCol w:w="2409"/>
        <w:gridCol w:w="2418"/>
        <w:gridCol w:w="196"/>
        <w:gridCol w:w="736"/>
        <w:gridCol w:w="109"/>
        <w:gridCol w:w="109"/>
        <w:gridCol w:w="109"/>
        <w:gridCol w:w="109"/>
        <w:gridCol w:w="196"/>
        <w:gridCol w:w="793"/>
        <w:gridCol w:w="156"/>
      </w:tblGrid>
      <w:tr>
        <w:trPr/>
        <w:tc>
          <w:tcPr>
            <w:tcW w:w="2865"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9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(150,845)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awards vesting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54,618 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137,392 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3,544 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revaluation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operating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(46,903)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operating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(222,375)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(106,841)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29,361 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(120,394)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(116,336)</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(14,724)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investments in short-term marketable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91,188 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73,080 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76,464 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Class A common stock in public offering, net of underwriting discount and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65,986 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Exchange of PWP OpCo Units and corresponding Class B common stock for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(28,258)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(19,382)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Withholding tax payments for vested PWP Incentive Plan Awards and equity-classified ACUs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(71,965)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(38,366)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partners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Class A and Class B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(8,628)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(144,719)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(22,957)</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5,452 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(186,581)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(63,591)</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250,102 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146,190 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186,511 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arising from obtaining right-of-use lease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 and dividend equivalent units on unvested PWP Incentive Plan Awards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paydown of Partner promissory notes</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effect resulting from changes in ownership and exchanges of PWP OpCo Units, net of amounts payable under tax receivable agreement</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Cash paid (refunded)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1—Organization and Nature of Business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Perella Weinberg Partners and its consolidated subsidiaries, including PWP Holdings LP (“PWP OpCo”) (collectively, “PWP” and the “Company”), is a 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 capital markets advisory, and private capital placement, as well as specialized underwriting and research services primarily for the energy and related industries.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24, 2021, the Company consummated a business combination that resulted in PWP OpCo becoming jointly-owned by Perella Weinberg Partners, PWP Professional Partners LP (together with its successors (including pursuant to the Division and Merger (each as defined below)) and assigns, as applicable, “Professional Partners”) and certain existing partners of PWP OpCo as part of an umbrella limited partnership C-corporation (Up-C) structure (the “Business Combination”).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Professionals LP.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 2024, as part of this internal reorganization, AdCo Professionals merged with and into PWP OpCo (the “Merger”). At the time of the Merger, (i) the original capital units (“OCUs”), value capital units (“VCUs”), and alignment capital units (“ACUs”) of AdCo Professionals 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 quarterly exchanges in cash or shares at the Company’s discretion. The principal purpose of the internal reorganization was to simplify 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 GP”), or any limited partner with respect to PWP OpCo. Refer to Note 9—Stockholders’ Equity and Redeemable Non-Controlling Interests and Note 11—Equity-Based Compensation for additional information on the Merger and related transactions.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 the 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of the Company have been prepared in accordance with generally accepted accounting principles in the United States (“U.S. GAAP”) and all intercompany balances and transactions have been eliminated.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2024,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the condensed consolidated financial statements, management makes certain estimates regarding the measurement of amounts due pursuant to the tax receivable agreement, measurement and timing of revenue recognition, assumptions used in the provision for income taxes, measurement of equity-based compensation, expected insurance reimbursements related to litigation costs, evaluation of goodwill and intangible assets, fair value measurement of financial instruments, and other matters that affect the reported amounts and disclosures of contingencies in the condensed consolidated financial statements and notes thereto.</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 is not readily available for general purpose cash needs. As of June 30, 2025 and December 31, 2024, the Company had restricted cash of $1.2 million maintained as collateral for letters of credit related to certain office leases. As of June 30, 2025, the Company held no cash equivalents. The Company held cash equivalents of $20.2 million as of December 31, 2024, which was composed of investments in U.S. Treasury securities. The sum of Cash and cash equivalents and Restricted cash on the Condensed Consolidated Statements of Financial Condition corresponds to the total cash, cash equivalents, and restricted cash presented on the Condensed Consolidated Statements of Cash Flows.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June 30, 2025 and December 31, 2024, the net assets of PWP OpCo were $141.0 million and $197.6 million, respectively. As of June 30, 2025 and December 31, 2024, the Company did not consolidate any VIEs other than PWP OpCo.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11—Equity-Based Compensation for further information.</w:t>
      </w:r>
    </w:p>
    <w:p>
      <w:pPr>
        <w:pStyle w:val="TextBody"/>
        <w:bidi w:val="0"/>
        <w:spacing w:lineRule="auto" w:line="240" w:before="240" w:after="240"/>
        <w:ind w:left="0" w:right="0" w:firstLine="360"/>
        <w:jc w:val="both"/>
        <w:rPr/>
      </w:pPr>
      <w:r>
        <w:rPr>
          <w:rFonts w:ascii="Times New Roman;serif" w:hAnsi="Times New Roman;serif"/>
          <w:b w:val="false"/>
          <w:color w:val="000000"/>
          <w:sz w:val="20"/>
        </w:rPr>
        <w:t xml:space="preserve">As a result of the Merger, Non-controlling interests presented within equity on the Condensed Consolidated Statements of Financial Condition were reclassified to Redeemable non-controlling interests within temporary equity. Redeemable non-controlling interests are recorded at the higher of: (i) their redemption value as of the reporting date, which corresponds to the price of the Company’s Class A common stock, or (ii) their measurement pursuant to </w:t>
      </w:r>
      <w:r>
        <w:rPr>
          <w:rFonts w:ascii="Times New Roman;serif" w:hAnsi="Times New Roman;serif"/>
          <w:b w:val="false"/>
          <w:color w:val="000000"/>
          <w:sz w:val="20"/>
          <w:shd w:fill="FFFFFF" w:val="clear"/>
        </w:rPr>
        <w:t>Accounting Standards Codification (“ASC” or the “Codification”) Topic 810, Consolidation</w:t>
      </w:r>
      <w:r>
        <w:rPr>
          <w:rFonts w:ascii="Times New Roman;serif" w:hAnsi="Times New Roman;serif"/>
          <w:b w:val="false"/>
          <w:color w:val="000000"/>
          <w:sz w:val="20"/>
        </w:rPr>
        <w:t>. Changes in the current redemption value are recorded to Additional paid-in capital, or Retained earnings (Accumulated deficit) to the extent Additional paid-in capital has been fully utilized, immediately as they occur.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$45.4 million has been recorded to Accumulated deficit for changes in the redemption value of Redeemable non-controlling interests as well as normal course equity transactions due to the full utilization of Additional paid-in capital. The Company tracks amounts recorded directly to Accumulated deficit when Additional paid-in capital has been fully utilized and will not record any additional amounts to Additional paid-in capital until the cumulative amount recorded to Accumulated deficit has been fully offset.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the Company has an unconditional obligation to purchase the Redeemable non-controlling interests for cash, the mandatorily redeemable interests are reclassified from temporary equity to a liability with changes in fair value recorded to Other income (expense) on the Condensed Consolidated Statements of Operations. As of June 30, 2025, there were no non-controlling interests considered mandatorily redeemable.</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Equity-based compensation relates to equity-based awards granted to employees and partners of the Company. Equity-based compensation expense is 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Condensed Consolidated Statements of Operations and equity-based compensation expense for non-employees is included in Professional fees on the Condensed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Foreign Currencies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and its subsidiaries may enter into transactions denominated in a non-functional currency. The Company recognized net foreign exchange gains (losses) arising from such transactions of $(2.7) million and $(4.5) million during the three and six months ended June 30, 2025, respectively, and $(0.2) million and $0.3 million for the three and six months ended June 30, 2024, respectively, which are included in Other income (expense) on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income (loss) on the Condensed Consolidated Statements of Changes in Equity and Redeemable Non-Controlling Interests.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recently adopted accounting pronouncements that had a material effect on the Company’s condensed consolidated financial statements.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Future Adoption of Accounting Pronouncements</w:t>
      </w:r>
    </w:p>
    <w:p>
      <w:pPr>
        <w:pStyle w:val="TextBody"/>
        <w:bidi w:val="0"/>
        <w:spacing w:lineRule="auto" w:line="240" w:before="240" w:after="240"/>
        <w:ind w:left="0" w:right="0" w:firstLine="360"/>
        <w:jc w:val="both"/>
        <w:rPr/>
      </w:pPr>
      <w:r>
        <w:rPr>
          <w:rFonts w:ascii="Times New Roman;serif" w:hAnsi="Times New Roman;serif"/>
          <w:b w:val="false"/>
          <w:i/>
          <w:color w:val="000000"/>
          <w:sz w:val="20"/>
          <w:shd w:fill="FFFFFF" w:val="clear"/>
        </w:rPr>
        <w:t>Income Taxes</w:t>
      </w:r>
      <w:r>
        <w:rPr>
          <w:color w:val="000000"/>
          <w:shd w:fill="FFFFFF" w:val="clear"/>
        </w:rPr>
        <w:t>—</w:t>
      </w:r>
      <w:r>
        <w:rPr>
          <w:rFonts w:ascii="Times New Roman;serif" w:hAnsi="Times New Roman;serif"/>
          <w:b w:val="false"/>
          <w:color w:val="000000"/>
          <w:sz w:val="20"/>
          <w:shd w:fill="FFFFFF" w:val="clear"/>
        </w:rPr>
        <w:t xml:space="preserve">In December 2023, the Financial Accounting Standards Board (“FASB”) issued Accounting Standards Update 2023-09, </w:t>
      </w:r>
      <w:r>
        <w:rPr>
          <w:rFonts w:ascii="Times New Roman;serif" w:hAnsi="Times New Roman;serif"/>
          <w:b w:val="false"/>
          <w:i/>
          <w:color w:val="000000"/>
          <w:sz w:val="20"/>
          <w:shd w:fill="FFFFFF" w:val="clear"/>
        </w:rPr>
        <w:t>Improvements to Income Tax Disclosures</w:t>
      </w:r>
      <w:r>
        <w:rPr>
          <w:color w:val="000000"/>
          <w:shd w:fill="FFFFFF" w:val="clear"/>
        </w:rPr>
        <w:t xml:space="preserve"> </w:t>
      </w:r>
      <w:r>
        <w:rPr>
          <w:rFonts w:ascii="Times New Roman;serif" w:hAnsi="Times New Roman;serif"/>
          <w:b w:val="false"/>
          <w:color w:val="000000"/>
          <w:sz w:val="20"/>
          <w:shd w:fill="FFFFFF" w:val="clear"/>
        </w:rPr>
        <w:t>(“ASU 2023-09”), which amends the guidance in ASC Topic 740, Income Taxes (“ASC 740”), to improve the transparency of income tax disclosures by requiring (1) consistent categories and greater disaggregation of information in the rate reconciliation and (2) income taxes paid disaggregated by jurisdiction. The amendments in ASU 2023-09 are effective for the Company beginning with the annual period ended December 31, 2025. The amendments are to be applied prospectively with both retrospective application and early adoption permitted. The Company does not expect the adoption of ASU 2023-09 to have a material impact on the consolidated financial statements.</w:t>
      </w:r>
    </w:p>
    <w:p>
      <w:pPr>
        <w:pStyle w:val="TextBody"/>
        <w:bidi w:val="0"/>
        <w:spacing w:lineRule="auto" w:line="240" w:before="240" w:after="240"/>
        <w:ind w:left="0" w:right="0" w:firstLine="360"/>
        <w:jc w:val="both"/>
        <w:rPr/>
      </w:pPr>
      <w:r>
        <w:rPr>
          <w:rFonts w:ascii="Times New Roman;serif" w:hAnsi="Times New Roman;serif"/>
          <w:b w:val="false"/>
          <w:i/>
          <w:color w:val="000000"/>
          <w:sz w:val="20"/>
          <w:shd w:fill="FFFFFF" w:val="clear"/>
        </w:rPr>
        <w:t>Expense Disaggregation</w:t>
      </w:r>
      <w:r>
        <w:rPr>
          <w:color w:val="000000"/>
          <w:shd w:fill="FFFFFF" w:val="clear"/>
        </w:rPr>
        <w:t>—</w:t>
      </w:r>
      <w:r>
        <w:rPr>
          <w:rFonts w:ascii="Times New Roman;serif" w:hAnsi="Times New Roman;serif"/>
          <w:b w:val="false"/>
          <w:color w:val="000000"/>
          <w:sz w:val="20"/>
          <w:shd w:fill="FFFFFF" w:val="clear"/>
        </w:rPr>
        <w:t xml:space="preserve">In November 2024, the FASB issued Accounting Standards Update 2024-03, </w:t>
      </w:r>
      <w:r>
        <w:rPr>
          <w:rFonts w:ascii="Times New Roman;serif" w:hAnsi="Times New Roman;serif"/>
          <w:b w:val="false"/>
          <w:i/>
          <w:color w:val="000000"/>
          <w:sz w:val="20"/>
          <w:shd w:fill="FFFFFF" w:val="clear"/>
        </w:rPr>
        <w:t>Disaggregation of Income Statement Expenses</w:t>
      </w:r>
      <w:r>
        <w:rPr>
          <w:color w:val="000000"/>
          <w:shd w:fill="FFFFFF" w:val="clear"/>
        </w:rPr>
        <w:t xml:space="preserve"> </w:t>
      </w:r>
      <w:r>
        <w:rPr>
          <w:rFonts w:ascii="Times New Roman;serif" w:hAnsi="Times New Roman;serif"/>
          <w:b w:val="false"/>
          <w:color w:val="000000"/>
          <w:sz w:val="20"/>
          <w:shd w:fill="FFFFFF" w:val="clear"/>
        </w:rPr>
        <w:t>(“ASU 2024-03”), which amends the guidance in ASC Topic 220, Income Statement—Reporting Comprehensive Income (“ASC 220”), to improve the transparency of expense disclosures by requiring more detailed information about the types of expenses in commonly presented expense captions. The amendments in ASU 2024-03 are effective for the Company beginning with the annual period ended December 31, 2027. The amendments are to be applied prospectively with both retrospective application and early adoption permitted. The Company does not expect the adoption of ASU 2024-03 to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3—Revenue and Receivables from Contracts with Customers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revenue between over time and point in time recognition:</w:t>
      </w:r>
    </w:p>
    <w:tbl>
      <w:tblPr>
        <w:tblW w:w="6855" w:type="dxa"/>
        <w:jc w:val="left"/>
        <w:tblInd w:w="0" w:type="dxa"/>
        <w:tblLayout w:type="fixed"/>
        <w:tblCellMar>
          <w:top w:w="28" w:type="dxa"/>
          <w:left w:w="28" w:type="dxa"/>
          <w:bottom w:w="28" w:type="dxa"/>
          <w:right w:w="28" w:type="dxa"/>
        </w:tblCellMar>
      </w:tblPr>
      <w:tblGrid>
        <w:gridCol w:w="451"/>
        <w:gridCol w:w="395"/>
        <w:gridCol w:w="39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154,391 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261,860 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363,122 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362,865 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155,267 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271,998 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367,098 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374,125 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Reimbursable expenses billed to clients were $1.3 million and $3.0 million for the three and six months ended June 30, 2025, respectively, and $1.5 million and $3.4 million for the three and six months ended June 30, 2024, respectively.</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Performance Obligations and Contract Balances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aggregate amount of the transaction price, as defined in the Codification, allocated to performance obligations yet to be satisfied was $3.4 million, and the Company generally expects to recognize this revenue within the next twelve months. Such amounts primarily relate to the Company’s performance obligations of providing transaction-related advisory services. A significant portion of total revenues in any given period often relates to performance obligations that were satisfied or partially satisfied in prior periods. These amounts are recognized upon the resolution of revenue constraints and uncertainties in the relevant period and are generally related to transaction-related advisory services.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recorded $3.7 million and $0.6 million, respectively, for contract liabilities which are presented within Accounts payable, accrued expenses and other liabilities on the Condensed Consolidated Statements of Financial Condition. The Company recognized previously deferred revenue of $0.4 million and $0.5 million for the three and six months ended June 30, 2025, respectively, and $1.6 million and $0.7 million for the three and six months ended June 30, 2024, respectively, which was primarily related to transaction-related advisory services that are recognized over time.</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$3.6 million and $13.3 million, respectively, of accrued revenue was included in Accounts receivable, net of allowance on the Condensed Consolidated Statements of Financial Condition. These amounts have been recognized as revenue in accordance with the Company’s revenue recognition policies but remained unbilled at the end of the period. As of June 30, 2025, certain accounts receivable in the aggregate amount of $25.1 million were individually greater than 10% of the Company’s gross accounts receivable and were concentrated with one client. Of that amount, all was subsequently received after June 30, 2025. As of December 31, 2024, certain accounts receivable in the aggregate amount of $23.9 million were individually greater than 10% of the Company’s gross accounts receivable and were concentrated with two clients. Of that amount, all was subsequently received after year end.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activity for the three and six months ended June 30, 2025 and 2024 was as follows:</w:t>
      </w:r>
    </w:p>
    <w:tbl>
      <w:tblPr>
        <w:tblW w:w="9014" w:type="dxa"/>
        <w:jc w:val="left"/>
        <w:tblInd w:w="0" w:type="dxa"/>
        <w:tblLayout w:type="fixed"/>
        <w:tblCellMar>
          <w:top w:w="28" w:type="dxa"/>
          <w:left w:w="28" w:type="dxa"/>
          <w:bottom w:w="28" w:type="dxa"/>
          <w:right w:w="28" w:type="dxa"/>
        </w:tblCellMar>
      </w:tblPr>
      <w:tblGrid>
        <w:gridCol w:w="1538"/>
        <w:gridCol w:w="1349"/>
        <w:gridCol w:w="135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4—Leases</w:t>
      </w:r>
    </w:p>
    <w:p>
      <w:pPr>
        <w:pStyle w:val="TextBody"/>
        <w:bidi w:val="0"/>
        <w:spacing w:lineRule="auto" w:line="240" w:before="240" w:after="240"/>
        <w:ind w:left="0" w:right="0" w:firstLine="360"/>
        <w:jc w:val="both"/>
        <w:rPr/>
      </w:pPr>
      <w:r>
        <w:rPr>
          <w:rFonts w:ascii="Times New Roman;serif" w:hAnsi="Times New Roman;serif"/>
          <w:b w:val="false"/>
          <w:color w:val="000000"/>
          <w:sz w:val="20"/>
        </w:rPr>
        <w:t>The Company</w:t>
      </w:r>
      <w:r>
        <w:rPr>
          <w:color w:val="000000"/>
        </w:rPr>
        <w:t xml:space="preserve"> </w:t>
      </w:r>
      <w:r>
        <w:rPr>
          <w:rFonts w:ascii="Times New Roman;serif" w:hAnsi="Times New Roman;serif"/>
          <w:b w:val="false"/>
          <w:color w:val="000000"/>
          <w:sz w:val="20"/>
        </w:rPr>
        <w:t xml:space="preserve">leases office space and equipment under operating lease agreements.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2025, the Company entered into a seven-year agreement to sublease a portion of its New York office. The expected commencement is in the third quarter of 2025. The Company estimates it will recognize sublease income of $27.5 million over the initial term, which will be presented net within Rent and occupancy on the Condensed Consolidated Statements of Operations. Variable lease payments for the subtenant’s portion of occupancy costs will be recognized as incurred.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as it relates to the Company’s operating leases is as follows:</w:t>
      </w:r>
    </w:p>
    <w:tbl>
      <w:tblPr>
        <w:tblW w:w="8200" w:type="dxa"/>
        <w:jc w:val="left"/>
        <w:tblInd w:w="0" w:type="dxa"/>
        <w:tblLayout w:type="fixed"/>
        <w:tblCellMar>
          <w:top w:w="28" w:type="dxa"/>
          <w:left w:w="28" w:type="dxa"/>
          <w:bottom w:w="28" w:type="dxa"/>
          <w:right w:w="28" w:type="dxa"/>
        </w:tblCellMar>
      </w:tblPr>
      <w:tblGrid>
        <w:gridCol w:w="1751"/>
        <w:gridCol w:w="1537"/>
        <w:gridCol w:w="1542"/>
        <w:gridCol w:w="424"/>
        <w:gridCol w:w="424"/>
        <w:gridCol w:w="426"/>
        <w:gridCol w:w="109"/>
        <w:gridCol w:w="109"/>
        <w:gridCol w:w="109"/>
        <w:gridCol w:w="517"/>
        <w:gridCol w:w="517"/>
        <w:gridCol w:w="735"/>
      </w:tblGrid>
      <w:tr>
        <w:trPr/>
        <w:tc>
          <w:tcPr>
            <w:tcW w:w="175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ind w:left="0" w:right="0" w:hanging="810"/>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2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12.8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13.3 years</w:t>
            </w:r>
          </w:p>
        </w:tc>
      </w:tr>
    </w:tbl>
    <w:tbl>
      <w:tblPr>
        <w:tblW w:w="9150" w:type="dxa"/>
        <w:jc w:val="left"/>
        <w:tblInd w:w="0" w:type="dxa"/>
        <w:tblLayout w:type="fixed"/>
        <w:tblCellMar>
          <w:top w:w="28" w:type="dxa"/>
          <w:left w:w="28" w:type="dxa"/>
          <w:bottom w:w="28" w:type="dxa"/>
          <w:right w:w="28" w:type="dxa"/>
        </w:tblCellMar>
      </w:tblPr>
      <w:tblGrid>
        <w:gridCol w:w="1482"/>
        <w:gridCol w:w="1302"/>
        <w:gridCol w:w="1311"/>
        <w:gridCol w:w="211"/>
        <w:gridCol w:w="616"/>
        <w:gridCol w:w="109"/>
        <w:gridCol w:w="109"/>
        <w:gridCol w:w="109"/>
        <w:gridCol w:w="109"/>
        <w:gridCol w:w="211"/>
        <w:gridCol w:w="691"/>
        <w:gridCol w:w="109"/>
        <w:gridCol w:w="109"/>
        <w:gridCol w:w="109"/>
        <w:gridCol w:w="109"/>
        <w:gridCol w:w="211"/>
        <w:gridCol w:w="721"/>
        <w:gridCol w:w="109"/>
        <w:gridCol w:w="109"/>
        <w:gridCol w:w="109"/>
        <w:gridCol w:w="109"/>
        <w:gridCol w:w="211"/>
        <w:gridCol w:w="721"/>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Net cash outflows (inflows) on operating leases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(1)Presented net of lease incentives received.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maturities of undiscounted operating lease liabilities of the Company are as follows:</w:t>
      </w:r>
    </w:p>
    <w:tbl>
      <w:tblPr>
        <w:tblW w:w="3629" w:type="dxa"/>
        <w:jc w:val="left"/>
        <w:tblInd w:w="0" w:type="dxa"/>
        <w:tblLayout w:type="fixed"/>
        <w:tblCellMar>
          <w:top w:w="28" w:type="dxa"/>
          <w:left w:w="28" w:type="dxa"/>
          <w:bottom w:w="28" w:type="dxa"/>
          <w:right w:w="28" w:type="dxa"/>
        </w:tblCellMar>
      </w:tblPr>
      <w:tblGrid>
        <w:gridCol w:w="721"/>
        <w:gridCol w:w="634"/>
        <w:gridCol w:w="640"/>
        <w:gridCol w:w="289"/>
        <w:gridCol w:w="1134"/>
        <w:gridCol w:w="211"/>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Years Ending:</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9,966 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21,520 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21,261 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19,368 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19,172 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158,227 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Total lease payments</w:t>
            </w:r>
            <w:r>
              <w:rPr>
                <w:rFonts w:ascii="Times New Roman;serif" w:hAnsi="Times New Roman;serif"/>
                <w:b w:val="false"/>
                <w:color w:val="000000"/>
                <w:sz w:val="13"/>
              </w:rPr>
              <w:t>(1)</w:t>
            </w:r>
          </w:p>
        </w:tc>
        <w:tc>
          <w:tcPr>
            <w:tcW w:w="14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249,514 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(64,519)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184,995 </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(1)Total future lease payments are presented net of expected lease incentives.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5—Intangible Assets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detail of the Company’s intangible assets:</w:t>
      </w:r>
    </w:p>
    <w:tbl>
      <w:tblPr>
        <w:tblW w:w="8781" w:type="dxa"/>
        <w:jc w:val="left"/>
        <w:tblInd w:w="0" w:type="dxa"/>
        <w:tblLayout w:type="fixed"/>
        <w:tblCellMar>
          <w:top w:w="28" w:type="dxa"/>
          <w:left w:w="28" w:type="dxa"/>
          <w:bottom w:w="28" w:type="dxa"/>
          <w:right w:w="28" w:type="dxa"/>
        </w:tblCellMar>
      </w:tblPr>
      <w:tblGrid>
        <w:gridCol w:w="874"/>
        <w:gridCol w:w="769"/>
        <w:gridCol w:w="771"/>
        <w:gridCol w:w="267"/>
        <w:gridCol w:w="914"/>
        <w:gridCol w:w="138"/>
        <w:gridCol w:w="109"/>
        <w:gridCol w:w="109"/>
        <w:gridCol w:w="109"/>
        <w:gridCol w:w="477"/>
        <w:gridCol w:w="1672"/>
        <w:gridCol w:w="250"/>
        <w:gridCol w:w="109"/>
        <w:gridCol w:w="109"/>
        <w:gridCol w:w="109"/>
        <w:gridCol w:w="429"/>
        <w:gridCol w:w="1253"/>
        <w:gridCol w:w="31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367"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(40,685)</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65,800 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(56,478)</w:t>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9,322 </w:t>
            </w:r>
          </w:p>
        </w:tc>
        <w:tc>
          <w:tcPr>
            <w:tcW w:w="3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81" w:type="dxa"/>
        <w:jc w:val="left"/>
        <w:tblInd w:w="0" w:type="dxa"/>
        <w:tblLayout w:type="fixed"/>
        <w:tblCellMar>
          <w:top w:w="28" w:type="dxa"/>
          <w:left w:w="28" w:type="dxa"/>
          <w:bottom w:w="28" w:type="dxa"/>
          <w:right w:w="28" w:type="dxa"/>
        </w:tblCellMar>
      </w:tblPr>
      <w:tblGrid>
        <w:gridCol w:w="874"/>
        <w:gridCol w:w="769"/>
        <w:gridCol w:w="771"/>
        <w:gridCol w:w="267"/>
        <w:gridCol w:w="914"/>
        <w:gridCol w:w="138"/>
        <w:gridCol w:w="109"/>
        <w:gridCol w:w="109"/>
        <w:gridCol w:w="109"/>
        <w:gridCol w:w="477"/>
        <w:gridCol w:w="1672"/>
        <w:gridCol w:w="250"/>
        <w:gridCol w:w="109"/>
        <w:gridCol w:w="109"/>
        <w:gridCol w:w="109"/>
        <w:gridCol w:w="387"/>
        <w:gridCol w:w="1325"/>
        <w:gridCol w:w="28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7"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(38,315)</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(14,873)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65,800 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(53,188)</w:t>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2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intangible assets are being amortized over an average useful life of 10 years and resulted in amortization expense of $1.6 million and $3.3 million for the three and six months ended, respectively, for both June 30, 2025 and 2024, all of which is included in Depreciation and amortization on the Condensed Consolidated Statements of Operations. Amortization of intangible assets held at June 30, 2025 is expected to be $6.6 million and $6.0 million for the years ending December 31, 2025 and 2026, respectively. These intangible assets will be fully amortized by November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6—Regulatory Requirements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number of consolidated subsidiaries registered as broker-dealers with regulatory agencies in their respective countries. The SEC-regulated subsidiary does not hold funds or securities for, or owe money or securities to clients or carry accounts of or for clients, and as such is exempt from the SEC Customer Protection Rule (Rule 15c3-3). As of June 30, 2025 and December 31, 2024, all regulated subsidiaries had capital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7—Fixed Assets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assets are recorded at cost less accumulated depreciation and amortization and consist of the following as of June 30, 2025 and December 31, 2024:</w:t>
      </w:r>
    </w:p>
    <w:tbl>
      <w:tblPr>
        <w:tblW w:w="7526" w:type="dxa"/>
        <w:jc w:val="left"/>
        <w:tblInd w:w="0" w:type="dxa"/>
        <w:tblLayout w:type="fixed"/>
        <w:tblCellMar>
          <w:top w:w="28" w:type="dxa"/>
          <w:left w:w="28" w:type="dxa"/>
          <w:bottom w:w="28" w:type="dxa"/>
          <w:right w:w="28" w:type="dxa"/>
        </w:tblCellMar>
      </w:tblPr>
      <w:tblGrid>
        <w:gridCol w:w="1505"/>
        <w:gridCol w:w="1322"/>
        <w:gridCol w:w="1328"/>
        <w:gridCol w:w="258"/>
        <w:gridCol w:w="883"/>
        <w:gridCol w:w="133"/>
        <w:gridCol w:w="109"/>
        <w:gridCol w:w="109"/>
        <w:gridCol w:w="109"/>
        <w:gridCol w:w="344"/>
        <w:gridCol w:w="1175"/>
        <w:gridCol w:w="251"/>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82,818 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81,860 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13,439 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117,310 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114,439 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(36,763)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(29,553)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2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80,547 </w:t>
            </w:r>
          </w:p>
        </w:tc>
        <w:tc>
          <w:tcPr>
            <w:tcW w:w="1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84,886 </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fixed assets was $3.3 million and $6.6 million for the three and six months ended June 30, 2025, respectively, and $3.4 million and $6.8 million for the three and six months ended June 30, 2024, respectively. Amortization expense related to software costs was immaterial for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8—Income Taxes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tax position for the periods presented: </w:t>
      </w:r>
    </w:p>
    <w:tbl>
      <w:tblPr>
        <w:tblW w:w="8853" w:type="dxa"/>
        <w:jc w:val="left"/>
        <w:tblInd w:w="0" w:type="dxa"/>
        <w:tblLayout w:type="fixed"/>
        <w:tblCellMar>
          <w:top w:w="28" w:type="dxa"/>
          <w:left w:w="28" w:type="dxa"/>
          <w:bottom w:w="28" w:type="dxa"/>
          <w:right w:w="28" w:type="dxa"/>
        </w:tblCellMar>
      </w:tblPr>
      <w:tblGrid>
        <w:gridCol w:w="1037"/>
        <w:gridCol w:w="910"/>
        <w:gridCol w:w="918"/>
        <w:gridCol w:w="211"/>
        <w:gridCol w:w="616"/>
        <w:gridCol w:w="271"/>
        <w:gridCol w:w="109"/>
        <w:gridCol w:w="109"/>
        <w:gridCol w:w="109"/>
        <w:gridCol w:w="211"/>
        <w:gridCol w:w="796"/>
        <w:gridCol w:w="271"/>
        <w:gridCol w:w="109"/>
        <w:gridCol w:w="109"/>
        <w:gridCol w:w="109"/>
        <w:gridCol w:w="211"/>
        <w:gridCol w:w="721"/>
        <w:gridCol w:w="271"/>
        <w:gridCol w:w="109"/>
        <w:gridCol w:w="109"/>
        <w:gridCol w:w="109"/>
        <w:gridCol w:w="211"/>
        <w:gridCol w:w="901"/>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(81,487)</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(132,393)</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overall effective income tax rate in each of the periods presented above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permanent differences related to 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Neither the Company nor its subsidiaries recognized any gain or loss for income tax purposes as a result of the Division or the Merger.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recorded a liability for unrecognized tax benefits of $2.7 million and $2.2 million, respectively, primarily related to potential double taxation at certain of its foreign subsidiaries. The Company does not expect there to be any material changes to uncertain tax positions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9—Stockholders’ Equity and Redeemable Non-Controlling Interests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Class A Common Stock Offering</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 2024, the Company issued and sold 5,750,000 shares of Class A common stock at a price of $12.00 per share for net proceeds of $66.0 million after deducting underwriting discounts and offering costs.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On June 3, 2024, the Company repurchased 1,000,000 founder shares at a purchase price of $15.00 per share for a total purchase price of $15.0 million. Since inception of the share repurchase program, 14,653,188 shares have been purchased at an average price per share of $9.41 through June 30, 2025 for a total purchase price of $137.9 million. Prior to the implementation of the stock repurchase program, on August 9, 2021, the Company repurchased 1,000,000 founder shares at a purchase price of $12.00 per share for a total purchase price of $12.0 million.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Merger, the Non-controlling interests on the Condensed Consolidated Statements of Financial Condition were reclassified to Redeemable non-controlling interests within temporary equity. Redeemable non-controlling interests are presented at their redemption value as of the reporting date and represent the ownership interests in PWP OpCo held by holders other than Perella Weinberg Partners. As of June 30, 2025, the current and former working partners collectively own 24,957,389 PWP OpCo Units, which represents a 28.5% non-controlling ownership interest in PWP OpCo.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Rights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PWP OpCo Units (the “PWP OpCo Unitholders”) other than the Company may exchange their units for (i) shares of Class A common stock on a one-for-one basis or (ii) cash from an offering of shares of Class A common stock and (iii) subsequent to the Merger,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 exchange for their PWP OpCo Units and Class B common stock is at the Company’s discretion. Working partners are restricted in their ability to exchange PWP OpCo Units for a period between three to five years after the Business Combination. PWP GP may waive, and in certain cases has waived, the foregoing restrictions for any holder with respect to all or a portion of such holder’s units, with no obligation to do so for any other holder.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the Company settled exchanges of certain PWP OpCo Units and corresponding shares of Class B common stock for 1,234,357 shares of Class A common stock. In the first quarter of 2025, the Company settled exchanges of 1,270,086 PWP OpCo Units and corresponding shares of Class B common stock at a price $22.65 per OpCo Unit for $28.3 million in cash as well as the non-cash settlement of certain partner loans (refer to Note 15—Related Party Transactions for more information). During the three months ended June 30, 2024, the Company settled exchanges of 1,343,257 PWP OpCo Units and corresponding shares of Class B common stock for $19.5 million in cash. In the first quarter of 2024, the Company settled exchanges of certain PWP OpCo Units and corresponding shares of Class B common stock for 794,146 shares of Class A common stock.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an exchange creates a step-up in tax basis, the Company records an increase in Deferred tax assets, net, Amounts due pursuant to tax receivable agreement, and Additional paid-in-capital.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10—Debt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Company had no outstanding debt. The Company has a revolving credit facility (the “Revolving Credit Facility”) through an amended and restated credit agreement with Cadence Bank, N.A. (“Cadence Bank”), dated November 30, 2016 (as amended, the “Credit Agreement”), with an available line of credit of $50.0 million with up to $20.0 million of available incremental revolving commitments, and a maturity date of July 1, 2028. Issuance costs incurred related to the Credit Agreement are amortized as interest expense using the effective interest method over the life of the Revolving Credit Facility. The Company is also charged a quarterly commitment fee of 0.25% on any unused portion of the line of credit, which is recorded as interest expense. Interest expense related to the Revolving Credit Facility was immaterial during the three and six months ended June 30, 2025 and 2024 and is included within Other income (expense) on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11—Equity-Based Compensation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information regarding the Company’s equity-based compensation awards is described in Note 11—Equity-Based Compensation in the Notes to Consolidated Financial Statements in “Part II. Item 8. Financial Statements and Supplementary Data” in the Company’s Annual Report on Form 10-K for the year ended December 31, 2024.</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PWP Omnibus Incentive Plan Awards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Concurrent with the Business Combination, the Company adopted the Perella Weinberg Partners 2021 Omnibus Incentive Plan (the “PWP Incentive 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granted awards (the “Business Combination Awards”) in the form of (a) RSUs that vest upon the achievement of service conditions (“Transaction RSUs”) and (b) PSUs that only vest upon the achievement of both service and market conditions, including certain long-term incentive awards granted to management (“Transaction PSUs”). During the six months ended June 30, 2025 and 2024, 1,301,449 and 307,961 Business Combination Awards vested with a total fair value of $31.1 million and $4.0 million, respectively. As of June 30, 2025, the price targets ranging from $12.00 to $20.00 as well substantially all of the $25.00 price target were met for the Transaction PSUs.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 During the six months ended June 30, 2025 and 2024, the Company granted 5,182,555 and 6,773,129 General RSUs at a weighted average grant date fair value of $23.73 and $13.47 per award, respectively. During the six months ended June 30, 2025 and 2024, 5,730,085 and 4,009,592 General RSUs vested with a total fair value of $131.1 million and $53.2 million, respectively. During the six months ended June 30, 2025 and 2024, no General PSUs vested and none were granted. As of June 30, 2025, the price targets ranging from $15.00 to $20.00 as well substantially all of the $25.00 price target were met for the General PSUs.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Professional Partners Awards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and a related internal reorganization of Professional Partners, existing equity-based awards were canceled and replaced by converting each limited partner’s capital interests in Professional Partners attributable to PWP OpCo into OCUs, VCUs, and/or ACUs. The OCUs were fully vested upon recapitalization. The VCUs and ACUs (collectively, “Professional Partners Awards”) were held by current working partners and required services to be performed on behalf of PWP OpCo. The Professional Partners Awards were generally subject to a service-based graded vesting schedule over a three to five-year requisite service period. Once vested, the Professional Partners Awards became OCUs, other than the cash-settled ACUs referenced below, and are eligible for the same exchange rights as other PWP OpCo Units, subject to certain lock-up periods. Refer to Note 9—Stockholders’ Equity and Redeemable Non-Controlling Interests for more information on exchange rights.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time of the Merger, the Company entered into vesting acceleration agreements with certain holders of Professional Partners Awards (the “Accelerated Units”) to accelerate vesting during the second quarter of 2024 (the “Vesting Acceleration”). The Accelerated Units are generally subject to a lock-up period that is identical to the lockup period applicable to such units prior to the Vesting Acceleration. The Company also provided each holder of Accelerated Units that are ACUs the ability to convert a portion of such holder’s ACUs into cash upon vesting in an aggregate amount up to such holder’s estimated tax liability. The principal purpose of the Vesting Acceleration was to facilitate the payment of taxes associated with ACU vesting to align with the treatment of vested restricted stock units of the Company.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Merger and Vesting Acceleration, certain Professional Partners Awards were modified from equity-classified to liability-classified awards with changes in fair value generally recorded as incremental equity-based compensation expense through the date of vesting. During the three months ended June 30, 2024, the Company recorded $130.0 million of equity-based compensation expense related to the acceleration of the Professional Partners Awards. Of that amount, $69.2 million was related to liability-classified awards.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Vesting Acceleration, the Company paid or accrued a combined $86.6 million in settlement of 6,149,211 ACUs and corresponding shares of Class B common stock. Of that amount, the Company paid $60.6 million in settlement of liability-classified ACUs and $15.7 million for withholding tax payments on equity-classified ACUs and the settlement of other liabilities. These amounts are included within cash flows from operating activities and financing activities, respectively, on the Condensed Consolidated Statement of Cash Flows for the six months ended June 30, 2024. As of June 30, 2025 and December 31, 2024, $2.9 million and $10.3 million, respectively, of withholding taxes payable related to the Vesting Acceleration is included in Accounts payable, accrued expenses and other liabilities on the Condensed Consolidated Statement of Financial Condition.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Merger, all of the compensation expense and corresponding capital contribution associated with the Professional Partners Awards were allocated to Non-controlling interests on the Condensed Consolidated Statements of Operations and Condensed Consolidated Statements of Financial Condition as the granting of the Professional Partners Awards did not change Professional Partners’ interest in PWP OpCo and did not economically dilute Perella Weinberg Partners shareholders relative to Professional Partners. As a result of the Merger, the Professional Partners Awards are held directly at PWP OpCo and PWP OpCo as a whole bears the cost of the cash settlement feature of the awards. As a result, subsequent to the Merger, the Company allocated the remaining cost associated with the Professional Partners Awards between Perella Weinberg Partners and non-controlling interests in proportion to their ownership interests, which is consistent with the allocation of the other profit and loss activity of PWP OpCo.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expense related to equity-based awards that were recorded in Professional fees and components of Equity-based compensation included on the Condensed Consolidated Statements of Operations:</w:t>
      </w:r>
    </w:p>
    <w:tbl>
      <w:tblPr>
        <w:tblW w:w="9495" w:type="dxa"/>
        <w:jc w:val="left"/>
        <w:tblInd w:w="0" w:type="dxa"/>
        <w:tblLayout w:type="fixed"/>
        <w:tblCellMar>
          <w:top w:w="28" w:type="dxa"/>
          <w:left w:w="28" w:type="dxa"/>
          <w:bottom w:w="28" w:type="dxa"/>
          <w:right w:w="28" w:type="dxa"/>
        </w:tblCellMar>
      </w:tblPr>
      <w:tblGrid>
        <w:gridCol w:w="1484"/>
        <w:gridCol w:w="1305"/>
        <w:gridCol w:w="1306"/>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Professional fees</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Incentive Plan Awards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Equity-based compensation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Incentive Plan Awards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Partners Awards (equity-classified)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Partners Awards (liability-classified)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160,498 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equity-based awards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total unrecognized compensation expense related to all unvested equity-based awards was $187.1 million, which is expected to be recognized over a weighted average period of 2.1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12—Other Compensation and Benefits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Benefit Plans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employees participate in employee benefit plans, which consist of defined contribution plans including (i) profit-sharing plans qualified under Section 401(k) of the Internal Revenue Code, (ii) a U.K. pension scheme for U.K. employees and (iii) a German pension plan for employees in Germany. Expenses related to the Company’s employee benefit plans were $1.7 million and $3.4 million for the three and six months ended June 30, 2025, respectively, and $1.8 million and $3.6 million for the three and six months ended June 30, 2024, respectively, and are included in Compensation and benefits on the Condensed Consolidated Statements of Operations.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Business Realignment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2024, the Company incurred the remainder of expenses related to a prior year business realignment, including separation and transition benefits of $1.8 million and the acceleration of equity-based compensation amortization of $1.5 million. Such amounts are presented in Compensation and benefits and Equity-based compensation on the Condensed Consolidated Statements of Operations, respectively. Business realignment payments of $2.4 million and $13.6 million were made during the three and six months ended June 30, 2024, respectively, and there were no remaining liabilities outstanding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13—Net Income (Loss) Per Share Attributable to Class A Common Shareholders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calculations of basic and diluted net income (loss) per share attributable to Class A common shareholders are presented below:</w:t>
      </w:r>
    </w:p>
    <w:tbl>
      <w:tblPr>
        <w:tblW w:w="10205" w:type="dxa"/>
        <w:jc w:val="left"/>
        <w:tblInd w:w="0" w:type="dxa"/>
        <w:tblLayout w:type="fixed"/>
        <w:tblCellMar>
          <w:top w:w="28" w:type="dxa"/>
          <w:left w:w="28" w:type="dxa"/>
          <w:bottom w:w="28" w:type="dxa"/>
          <w:right w:w="28" w:type="dxa"/>
        </w:tblCellMar>
      </w:tblPr>
      <w:tblGrid>
        <w:gridCol w:w="1660"/>
        <w:gridCol w:w="1367"/>
        <w:gridCol w:w="1376"/>
        <w:gridCol w:w="275"/>
        <w:gridCol w:w="806"/>
        <w:gridCol w:w="109"/>
        <w:gridCol w:w="109"/>
        <w:gridCol w:w="109"/>
        <w:gridCol w:w="109"/>
        <w:gridCol w:w="240"/>
        <w:gridCol w:w="841"/>
        <w:gridCol w:w="109"/>
        <w:gridCol w:w="109"/>
        <w:gridCol w:w="109"/>
        <w:gridCol w:w="109"/>
        <w:gridCol w:w="244"/>
        <w:gridCol w:w="837"/>
        <w:gridCol w:w="109"/>
        <w:gridCol w:w="109"/>
        <w:gridCol w:w="109"/>
        <w:gridCol w:w="109"/>
        <w:gridCol w:w="211"/>
        <w:gridCol w:w="883"/>
        <w:gridCol w:w="157"/>
      </w:tblGrid>
      <w:tr>
        <w:trPr/>
        <w:tc>
          <w:tcPr>
            <w:tcW w:w="16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0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Perella Weinberg Partners – basic</w:t>
            </w:r>
          </w:p>
        </w:tc>
        <w:tc>
          <w:tcPr>
            <w:tcW w:w="275"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(101,872)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from assumed exchange of PWP OpCo Units,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from assumed vesting of PWP Incentive Plan Awards,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Perella Weinberg Partners – diluted</w:t>
            </w:r>
          </w:p>
        </w:tc>
        <w:tc>
          <w:tcPr>
            <w:tcW w:w="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(66,028)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21,255 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(101,872)</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63,064,731 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54,589,542 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62,604,779 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51,894,913 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incremental shares from assumed exchange of PWP OpCo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25,567,176 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incremental shares from assumed vesting of PWP Incentive Plan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10,199,400 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11,950,427 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 – diluted</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98,831,307 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54,589,542 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74,555,206 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51,894,913 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Class A common shareholders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Diluted</w:t>
            </w:r>
            <w:r>
              <w:rPr>
                <w:rFonts w:ascii="Times New Roman;serif" w:hAnsi="Times New Roman;serif"/>
                <w:b w:val="false"/>
                <w:color w:val="000000"/>
                <w:sz w:val="13"/>
              </w:rPr>
              <w:t>(1)</w:t>
            </w:r>
          </w:p>
        </w:tc>
        <w:tc>
          <w:tcPr>
            <w:tcW w:w="275"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pPr>
      <w:r>
        <w:rPr>
          <w:rFonts w:ascii="Times New Roman;serif" w:hAnsi="Times New Roman;serif"/>
          <w:b w:val="false"/>
          <w:color w:val="000000"/>
          <w:sz w:val="22"/>
        </w:rPr>
        <w:br/>
      </w:r>
      <w:r>
        <w:rPr>
          <w:rFonts w:ascii="Times New Roman;serif" w:hAnsi="Times New Roman;serif"/>
          <w:b w:val="false"/>
          <w:color w:val="000000"/>
          <w:sz w:val="20"/>
        </w:rPr>
        <w:t>__________________</w:t>
      </w:r>
    </w:p>
    <w:p>
      <w:pPr>
        <w:pStyle w:val="TextBody"/>
        <w:bidi w:val="0"/>
        <w:spacing w:lineRule="auto" w:line="240" w:before="60" w:after="283"/>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(1)Basic and Diluted EPS for the three months ended June 30, 2025 are the same due to rounding.</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Class B common shareholders has not been presented as these shares are entitled to an insignificant amount of economic participation.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tbl>
      <w:tblPr>
        <w:tblW w:w="8360" w:type="dxa"/>
        <w:jc w:val="left"/>
        <w:tblInd w:w="0" w:type="dxa"/>
        <w:tblLayout w:type="fixed"/>
        <w:tblCellMar>
          <w:top w:w="28" w:type="dxa"/>
          <w:left w:w="28" w:type="dxa"/>
          <w:bottom w:w="28" w:type="dxa"/>
          <w:right w:w="28" w:type="dxa"/>
        </w:tblCellMar>
      </w:tblPr>
      <w:tblGrid>
        <w:gridCol w:w="856"/>
        <w:gridCol w:w="753"/>
        <w:gridCol w:w="761"/>
        <w:gridCol w:w="208"/>
        <w:gridCol w:w="208"/>
        <w:gridCol w:w="208"/>
        <w:gridCol w:w="208"/>
        <w:gridCol w:w="208"/>
        <w:gridCol w:w="208"/>
        <w:gridCol w:w="540"/>
        <w:gridCol w:w="541"/>
        <w:gridCol w:w="208"/>
        <w:gridCol w:w="109"/>
        <w:gridCol w:w="109"/>
        <w:gridCol w:w="109"/>
        <w:gridCol w:w="540"/>
        <w:gridCol w:w="541"/>
        <w:gridCol w:w="178"/>
        <w:gridCol w:w="178"/>
        <w:gridCol w:w="178"/>
        <w:gridCol w:w="178"/>
        <w:gridCol w:w="540"/>
        <w:gridCol w:w="541"/>
        <w:gridCol w:w="252"/>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53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OpCo Units</w:t>
            </w:r>
          </w:p>
        </w:tc>
        <w:tc>
          <w:tcPr>
            <w:tcW w:w="4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33,022,579 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26,305,163 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37,170,827 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Incentive Plan Awards</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9,133,806 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7,205,942 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42,156,385 </w:t>
            </w:r>
          </w:p>
        </w:tc>
        <w:tc>
          <w:tcPr>
            <w:tcW w:w="2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26,305,163 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44,376,769 </w:t>
            </w:r>
          </w:p>
        </w:tc>
        <w:tc>
          <w:tcPr>
            <w:tcW w:w="2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14—Fair Value Measurements and Investments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measured and reported at fair value are classified and disclosed in one of the following categories (from highest to lowest) based on inputs:</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1—Unadjusted quoted prices are available in active markets for identical financial instruments as of the reporting date. </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2—Pricing inputs are observable inputs other than quoted prices included in Level 1, such as quoted prices for similar assets or liabilities in active markets or quoted prices for identical assets or liabilities in inactive markets. </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3—Pricing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fair values of cash, restricted cash, accounts receivable, due from related parties, accounts payable and certain accrued liabilities approximate their carrying amounts due to the short-term nature of these items.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categorization and fair value estimate of the Company’s financial instruments that were measured on a recurring basis pursuant to the above fair value hierarchy levels as of December 31, 2024:</w:t>
      </w:r>
    </w:p>
    <w:tbl>
      <w:tblPr>
        <w:tblW w:w="6586" w:type="dxa"/>
        <w:jc w:val="left"/>
        <w:tblInd w:w="0" w:type="dxa"/>
        <w:tblLayout w:type="fixed"/>
        <w:tblCellMar>
          <w:top w:w="28" w:type="dxa"/>
          <w:left w:w="28" w:type="dxa"/>
          <w:bottom w:w="28" w:type="dxa"/>
          <w:right w:w="28" w:type="dxa"/>
        </w:tblCellMar>
      </w:tblPr>
      <w:tblGrid>
        <w:gridCol w:w="728"/>
        <w:gridCol w:w="638"/>
        <w:gridCol w:w="644"/>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576"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1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held no financial instruments subject to fair value measurement as of June 30, 2025. The Company had no transfers between fair value levels during the three and six months ended June 30, 2025 and 2024.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held investments in U.S. Treasury securities with original maturities greater than three months from the date of purchase, which are presented at fair value as Investments in short-term marketable debt securities on the Condensed Consolidated Statements of Financial Condition. These investments had an aggregate cost basis of $74.9 million as of December 31, 2024. As of December 31, 2024, the Company also held $20.2 million of investments in U.S. Treasury securities with original maturities of three months or less from the date of purchase, which are presented within Cash and cash equivalents on the Condensed Consolidated Statements of Financial Condition. The Company had nominal interest income and net unrealized gains (losses) on U.S. Treasury securities for the three and six months ended June 30, 2025 and 2024, respectively, which is included in Other income (expense)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15—Related Party Transactions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PWP Capital Holdings LP</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advisory business and (ii) PWP Capital Holdings LP (“Capital Holdings”), which holds the asset management business. Capital Holdings entered 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Condensed Consolidated Statements of Operations.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entered into a tax receivable agreement with PWP OpCo, Professional Partners and 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June 30, 2025, the Company had a liability of $75.6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Statements of Financial Condition. The Company expects to make the following payments with respect to the tax receivable agreement, which are exclusive of potential payments in respect of future exchanges and may differ significantly from actual payments made:</w:t>
      </w:r>
    </w:p>
    <w:tbl>
      <w:tblPr>
        <w:tblW w:w="6464" w:type="dxa"/>
        <w:jc w:val="left"/>
        <w:tblInd w:w="0" w:type="dxa"/>
        <w:tblLayout w:type="fixed"/>
        <w:tblCellMar>
          <w:top w:w="28" w:type="dxa"/>
          <w:left w:w="28" w:type="dxa"/>
          <w:bottom w:w="28" w:type="dxa"/>
          <w:right w:w="28" w:type="dxa"/>
        </w:tblCellMar>
      </w:tblPr>
      <w:tblGrid>
        <w:gridCol w:w="607"/>
        <w:gridCol w:w="534"/>
        <w:gridCol w:w="539"/>
        <w:gridCol w:w="929"/>
        <w:gridCol w:w="3177"/>
        <w:gridCol w:w="678"/>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Years Ending:</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Payments Under Tax Receivable Agreement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9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6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1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41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59,150 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9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75,566 </w:t>
            </w:r>
          </w:p>
        </w:tc>
        <w:tc>
          <w:tcPr>
            <w:tcW w:w="6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Partner Promissory Notes and Other Partner Loans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loaned money pursuant to promissory note agreements (the “Partner Promissory Notes”) to certain partners. The Partner Promissory Notes bear interest at a semi-annual rate equal to the Federal Mid-Term Rate.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Condensed Consolidated Statements of Financial Condition. During the six months ended June 30, 2024, $0.9 million of principal and interest related to Partner Promissory Notes was effectively repaid through the cancellation of PWP OpCo units held by such partners. As of June 30, 2025 and December 31, 2024, substantially all of the Partner Promissory Notes were settled.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PWP OpCo and certain of its subsidiaries have agreed to provide loans to or make payments on behalf of certain partners. As of June 30, 2025 and December 31, 2024, $0.6 million and $1.1 million, respectively, of amounts due from partners are recognized in Due from related parties on the Condensed Consolidated Statements of Financial Condition. During the six months ended June 30, 2025, $0.5 million of principal and interest related to partner loans was effectively repaid through the cancellation of PWP OpCo units held by such partners.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Other Related Party Transactions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on April 1, 2024 was effected to simplify the structure for the partners in Professional Partners with respect to their indirect interests in PWP OpCo. The purpose of the related Vesting Acceleration was to facilitate the payment of taxes associated with ACU vesting to align with the treatment of vested restricted stock units of the Company. Certain holders of these interests in PWP OpCo, including holders of Accelerated Units, are directors and officers of the Company. Refer to Note 11—Equity-Based Compensation for additional information on the Merger and related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16—Commitments and Contingencies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certain contracts that contain a variety of indemnification provisions. The Company’s maximum exposure under these arrangements is unknown. As of June 30, 2025 and December 31, 2024, the Company expects no claims or losses pursuant to these contracts; therefore, no liability has been recorded related to these indemnification provisions.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June 30, 2025 and December 31, 2024 and for the three and six months ended June 30, 2025 and 2024.</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2015, the Company filed a complaint against three former partners and one former employee which alleges they entered into a scheme while at PWP to lift out the Company’s restructuring group to form a new competing firm that they were secretly forming in breach of their contractual and fiduciary duties. The complaint contains 14 causes of action and seeks declaratory relief as well as damages. A bench trial took place from January 24, 2025 through March 14, 2025. The court has yet to issue a decision.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incurred $11.3 million during the six months ended June 30, 2025 and $3.6 million and $5.9 million during the three and six months ended June 30, 2024, respectively, in legal and professional fees, net of expected insurance reimbursement, related to this litigation, and nominal amounts during the three months ended June 30, 2025. These litigation costs are included in Professional fees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17—Segment and Geographic Information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global independent advisory firm, the Company provides a range of advisory services depending on the needs of its clients, including advice related to M&amp;A execution, shareholder engagement advisory, financing and capital solutions, as well as underwriting and research services primarily for the energy and related industries. The Company provides advisory services to multiple industry sectors, geographic markets and clients, but the nature, process, delivery and regulatory complexities of advisory services are similar across the business. The Company is organized under an integrated approach to maximize the value of advice to clients by drawing upon the diversified expertise and broad relationships of its senior professionals. As such, the Company is managed on a consolidated basis, which results in one reportable segment: Advisory.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the Chief Executive Officer, evaluates the performance of the Advisory segment and allocates resources based on consolidated net income (loss), as presented on the Consolidated Statements of Operations. The CODM uses consolidated net income (loss) to evaluate the profitability generated by segment assets and personnel and decides whether to reinvest any profits in the Advisory segment, such as through hiring, compensation management, and capital expenditures, or to return value to shareholders and partners, such as through share repurchases, cash-settled exchanges, net-settlement of equity-based awards, distributions, and dividends. The CODM is regularly provided with both actual and budgeted expense information on a consolidated basis that aligns with the expense categories as presented on the Consolidated Statements of Operations.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CODM does not review assets of the Advisory segment at a different level or category than what is presented as Total assets on the Consolidated Statements of Financial Condition. The accounting policies of the Company’s Advisory segment are the same as those described in Note 2—Summary of Significant Accounting Policies.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no individual client accounted for more than 10% of aggregate revenues, and for the six months ended June 30, 2024, two individual clients accounted for more than 10% of aggregate revenues.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tbl>
      <w:tblPr>
        <w:tblW w:w="6810" w:type="dxa"/>
        <w:jc w:val="left"/>
        <w:tblInd w:w="0" w:type="dxa"/>
        <w:tblLayout w:type="fixed"/>
        <w:tblCellMar>
          <w:top w:w="28" w:type="dxa"/>
          <w:left w:w="28" w:type="dxa"/>
          <w:bottom w:w="28" w:type="dxa"/>
          <w:right w:w="28" w:type="dxa"/>
        </w:tblCellMar>
      </w:tblPr>
      <w:tblGrid>
        <w:gridCol w:w="435"/>
        <w:gridCol w:w="381"/>
        <w:gridCol w:w="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322,477 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155,267 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271,998 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367,098 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374,125 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569" w:type="dxa"/>
        <w:jc w:val="left"/>
        <w:tblInd w:w="0" w:type="dxa"/>
        <w:tblLayout w:type="fixed"/>
        <w:tblCellMar>
          <w:top w:w="28" w:type="dxa"/>
          <w:left w:w="28" w:type="dxa"/>
          <w:bottom w:w="28" w:type="dxa"/>
          <w:right w:w="28" w:type="dxa"/>
        </w:tblCellMar>
      </w:tblPr>
      <w:tblGrid>
        <w:gridCol w:w="433"/>
        <w:gridCol w:w="381"/>
        <w:gridCol w:w="385"/>
        <w:gridCol w:w="234"/>
        <w:gridCol w:w="919"/>
        <w:gridCol w:w="121"/>
        <w:gridCol w:w="109"/>
        <w:gridCol w:w="109"/>
        <w:gridCol w:w="109"/>
        <w:gridCol w:w="313"/>
        <w:gridCol w:w="1228"/>
        <w:gridCol w:w="228"/>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19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439,441 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687,784 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167,261 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188,967 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606,702 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876,751 </w:t>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18—Subsequent Events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subsequent events through the issuance date of these condensed consolidated financial statements.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 2025, the Company’s Board of Directors declared a cash dividend of $0.07 per outstanding share of Class A common stock. This dividend will be paid on September 10, 2025 to Class A common stockholders of record on August 29, 2025. Holders of Class B common stock will also receive dividends equal to the amount of dividends declared on 0.001 shares of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an agreement to acquire Devon Park Advisors, LLC, including its subsidiary Devon Park Securities, LLC (collectively, “Devon Park”), a premier GP-led secondaries advisory firm founded in 2021. Devon Park specializes in transactions related to GP-led secondaries, GP advisory, and fund secondaries. The transaction is expected to be completed early in the fourth quarter, following regulatory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40"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global independent advisory firm that provides strategic and financial advice to clients across some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our business, refer to “Part I. Item 1. Business” and “Part I. Item 1A. Risk Factors” in the Company’s Annual Report on Form 10-K for the year ended December 31, 2024 as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Business Environment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and global financial market conditions impact our financial performance. 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“Risk Factors” included in our Annual Report on Form 10-K for a discussion of some of the factors that can affect our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Key Financial Measures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expenses are classified as (i) total compensation and benefits expenses, including equity-based compensation, and (ii) non-compensation expenses.</w:t>
      </w:r>
    </w:p>
    <w:p>
      <w:pPr>
        <w:pStyle w:val="TextBody"/>
        <w:bidi w:val="0"/>
        <w:spacing w:lineRule="auto" w:line="240" w:before="240" w:after="240"/>
        <w:jc w:val="both"/>
        <w:rPr>
          <w:rFonts w:ascii="Times New Roman;serif" w:hAnsi="Times New Roman;serif"/>
          <w:b w:val="false"/>
          <w:i/>
          <w:color w:val="000000"/>
          <w:sz w:val="20"/>
        </w:rPr>
      </w:pPr>
      <w:r>
        <w:rPr>
          <w:rFonts w:ascii="Times New Roman;serif" w:hAnsi="Times New Roman;serif"/>
          <w:b w:val="false"/>
          <w:i/>
          <w:color w:val="000000"/>
          <w:sz w:val="20"/>
        </w:rPr>
        <w:t>Compensation and Benefits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compensation and benefits expenses consist of salaries, bonuses (discretionary awards and guaranteed amounts), severance, payroll and related 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is determined by management based on revenues earned, headcount, labor market conditions, and anticipated compensation requirements for our employees. Such factors can fluctuate, including headcount and revenues earned, and as a result, our compensation expenses may fluctuate materially in any particular period.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Merger, the amortization expense for certain equity-based awards granted by Professional Partners was allocated fully to non-controlling interests. As a result of the Merger, these awards were considered granted by PWP OpCo and PWP OpCo as a whole bore the cost of the cash settlement feature of the awards, which was added in conjunction with the Merger. As a result, subsequent to the Merger, the Company allocated the costs associated with these awards between Perella Weinberg Partners and non-controlling interests in proportion to their ownership interests, which is consistent with the allocation of the other profit and loss activity of PWP OpCo.</w:t>
      </w:r>
    </w:p>
    <w:p>
      <w:pPr>
        <w:pStyle w:val="TextBody"/>
        <w:bidi w:val="0"/>
        <w:spacing w:lineRule="auto" w:line="240" w:before="240" w:after="240"/>
        <w:jc w:val="both"/>
        <w:rPr>
          <w:rFonts w:ascii="Times New Roman;serif" w:hAnsi="Times New Roman;serif"/>
          <w:b w:val="false"/>
          <w:i/>
          <w:color w:val="000000"/>
          <w:sz w:val="20"/>
        </w:rPr>
      </w:pPr>
      <w:r>
        <w:rPr>
          <w:rFonts w:ascii="Times New Roman;serif" w:hAnsi="Times New Roman;serif"/>
          <w:b w:val="false"/>
          <w:i/>
          <w:color w:val="000000"/>
          <w:sz w:val="20"/>
        </w:rPr>
        <w:t>Non-Compensation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Non-Operating Income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 of their basis, with an exception for certain equity-based compensation expense which was fully allocated to non-controlling interests prior to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respective periods indicated: </w:t>
      </w:r>
    </w:p>
    <w:tbl>
      <w:tblPr>
        <w:tblW w:w="10205" w:type="dxa"/>
        <w:jc w:val="left"/>
        <w:tblInd w:w="0" w:type="dxa"/>
        <w:tblLayout w:type="fixed"/>
        <w:tblCellMar>
          <w:top w:w="28" w:type="dxa"/>
          <w:left w:w="28" w:type="dxa"/>
          <w:bottom w:w="28" w:type="dxa"/>
          <w:right w:w="28" w:type="dxa"/>
        </w:tblCellMar>
      </w:tblPr>
      <w:tblGrid>
        <w:gridCol w:w="1215"/>
        <w:gridCol w:w="666"/>
        <w:gridCol w:w="631"/>
        <w:gridCol w:w="211"/>
        <w:gridCol w:w="826"/>
        <w:gridCol w:w="109"/>
        <w:gridCol w:w="109"/>
        <w:gridCol w:w="109"/>
        <w:gridCol w:w="109"/>
        <w:gridCol w:w="211"/>
        <w:gridCol w:w="826"/>
        <w:gridCol w:w="109"/>
        <w:gridCol w:w="109"/>
        <w:gridCol w:w="109"/>
        <w:gridCol w:w="109"/>
        <w:gridCol w:w="232"/>
        <w:gridCol w:w="232"/>
        <w:gridCol w:w="233"/>
        <w:gridCol w:w="109"/>
        <w:gridCol w:w="109"/>
        <w:gridCol w:w="109"/>
        <w:gridCol w:w="211"/>
        <w:gridCol w:w="826"/>
        <w:gridCol w:w="109"/>
        <w:gridCol w:w="109"/>
        <w:gridCol w:w="109"/>
        <w:gridCol w:w="109"/>
        <w:gridCol w:w="211"/>
        <w:gridCol w:w="855"/>
        <w:gridCol w:w="109"/>
        <w:gridCol w:w="109"/>
        <w:gridCol w:w="109"/>
        <w:gridCol w:w="109"/>
        <w:gridCol w:w="217"/>
        <w:gridCol w:w="217"/>
        <w:gridCol w:w="314"/>
      </w:tblGrid>
      <w:tr>
        <w:trPr/>
        <w:tc>
          <w:tcPr>
            <w:tcW w:w="121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 vs. 2024</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Non-operating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Total non-operating income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(132,393)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Perella Weinberg Partners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40" w:before="240" w:after="240"/>
        <w:ind w:left="0" w:right="0" w:firstLine="360"/>
        <w:jc w:val="both"/>
        <w:rPr/>
      </w:pPr>
      <w:r>
        <w:rPr>
          <w:rFonts w:ascii="Times New Roman;serif" w:hAnsi="Times New Roman;serif"/>
          <w:b w:val="false"/>
          <w:color w:val="000000"/>
          <w:sz w:val="20"/>
        </w:rPr>
        <w:t>The following table provides revenue statistics for the three and six</w:t>
      </w:r>
      <w:r>
        <w:rPr>
          <w:color w:val="000000"/>
        </w:rPr>
        <w:t xml:space="preserve"> </w:t>
      </w:r>
      <w:r>
        <w:rPr>
          <w:rFonts w:ascii="Times New Roman;serif" w:hAnsi="Times New Roman;serif"/>
          <w:b w:val="false"/>
          <w:color w:val="000000"/>
          <w:sz w:val="20"/>
        </w:rPr>
        <w:t>months ended June 30, 2025 and 2024:</w:t>
      </w:r>
    </w:p>
    <w:tbl>
      <w:tblPr>
        <w:tblW w:w="10205" w:type="dxa"/>
        <w:jc w:val="left"/>
        <w:tblInd w:w="0" w:type="dxa"/>
        <w:tblLayout w:type="fixed"/>
        <w:tblCellMar>
          <w:top w:w="28" w:type="dxa"/>
          <w:left w:w="28" w:type="dxa"/>
          <w:bottom w:w="28" w:type="dxa"/>
          <w:right w:w="28" w:type="dxa"/>
        </w:tblCellMar>
      </w:tblPr>
      <w:tblGrid>
        <w:gridCol w:w="1407"/>
        <w:gridCol w:w="1238"/>
        <w:gridCol w:w="1246"/>
        <w:gridCol w:w="175"/>
        <w:gridCol w:w="175"/>
        <w:gridCol w:w="176"/>
        <w:gridCol w:w="124"/>
        <w:gridCol w:w="124"/>
        <w:gridCol w:w="124"/>
        <w:gridCol w:w="175"/>
        <w:gridCol w:w="175"/>
        <w:gridCol w:w="176"/>
        <w:gridCol w:w="124"/>
        <w:gridCol w:w="124"/>
        <w:gridCol w:w="124"/>
        <w:gridCol w:w="406"/>
        <w:gridCol w:w="404"/>
        <w:gridCol w:w="406"/>
        <w:gridCol w:w="109"/>
        <w:gridCol w:w="109"/>
        <w:gridCol w:w="109"/>
        <w:gridCol w:w="175"/>
        <w:gridCol w:w="175"/>
        <w:gridCol w:w="176"/>
        <w:gridCol w:w="109"/>
        <w:gridCol w:w="109"/>
        <w:gridCol w:w="109"/>
        <w:gridCol w:w="175"/>
        <w:gridCol w:w="175"/>
        <w:gridCol w:w="176"/>
        <w:gridCol w:w="109"/>
        <w:gridCol w:w="109"/>
        <w:gridCol w:w="109"/>
        <w:gridCol w:w="371"/>
        <w:gridCol w:w="368"/>
        <w:gridCol w:w="530"/>
      </w:tblGrid>
      <w:tr>
        <w:trPr/>
        <w:tc>
          <w:tcPr>
            <w:tcW w:w="140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8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12"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 vs. 2024</w:t>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Advisory Clients</w:t>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Clients with Fees Greater than $1.0 million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were $155.3 million for the three months ended June 30, 2025 as compared to $272.0 million for the three months ended June 30, 2024, a decrease of 43%. The decrease was largely attributable to decreased mergers and acquisition activity in the current year period, as well as one significant fee event in the prior year period. This decrease was partially offset by an increase in financing and capital solutions activity.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were $367.1 million for the six months ended June 30, 2025 as compared to $374.1 million for the six months ended June 30, 2024, a decrease of 2%. The decrease was largely attributable to decreased mergers and acquisition activity in the current year period, as well as one significant fee event in the prior year period. This decrease was in large part offset by an increase in financing and capital solutions activity.</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Compensation and Benefits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total compensation and benefits expenses were $108.3 million, a decrease of 65% compared to $310.5 million for the three months ended June 30, 2024. The substantial decrease was primarily the result of the prior year Vesting Acceleration of the Professional Partners Awards that resulted in $130.0 million of equity-based compensation expense for the three months ended June 30, 2024, as well as the vesting of certain Business Combination Awards in the third quarter of 2024 which resulted in lower expense in the current year period. The overall decrease was also driven by a lower bonus accrual in the current year period due to a lower revenue base, despite a higher effective compensation margin versus the second quarter of 2024.</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total compensation and benefits expenses were $257.6 million, a decrease of 40% compared to $425.9 million for the six months ended June 30, 2024. The substantial decrease was primarily the result of the prior year Vesting Acceleration of the Professional Partners Awards that resulted in $144.0 million of equity-based compensation expense for the six months ended June 30, 2024, as well as the vesting of certain Business Combination Awards in the third quarter of 2024 which resulted in lower expense in the current year period. The current year period also included a lower bonus accrual due to decreased revenue and a slightly lower compensation margin.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Non-Compensation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total non-compensation expenses were $38.0 million, a decrease of 13% compared to $43.8 million for the three months ended June 30, 2024. The decrease was primarily the result of lower litigation spend and a decrease in bad debt expense, partially offset by an uptick in travel and related expenses due to volume and cost as well as an increase in rent and occupancy costs stemming from utilities and maintenance.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total non-compensation expenses were $88.9 million, an increase of 6% compared to $84.1 million for the six months ended June 30, 2024. The increase was primarily the result of higher litigation spend and an uptick in travel and related expenses due to the volume and cost of travel in addition to an increase in rent and occupancy costs as a result of utilities and maintenance and technology costs related to market data. These increases were partially offset by a reduction in bad debt expense and lower deal-related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Non-Operating Income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non-operating expenses were $2.7 million compared to non-operating income of $0.7 million for the three months ended June 30, 2024. In the current period, non-operating expenses included a net loss from foreign exchange rate fluctuations, which was partially offset by interest income. Non-operating income in the prior year period included higher interest income partially offset by a lower net loss from foreign exchange rate fluctuations. For both periods, the impact of foreign exchange rate fluctuations was largely related to U.S. dollar-denominated cash and intercompany receivables held by our foreign subsidiaries.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non-operating expenses were $2.5 million compared to non-operating income of $3.4 million for the six months ended June 30, 2024. In the current period, non-operating expenses included a net loss from foreign exchange rate fluctuations, which was partially offset by interest income. Non-operating income in the prior year period included higher interest income and a net gain from foreign exchange rate fluctuations. For both periods, the impact of foreign exchange rate fluctuations was largely related to U.S. dollar-denominated cash and intercompany receivables held by our foreign subsidiaries.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expense and effective tax rate were $2.0 million and 31.7%, respectively, for the three months ended June 30, 2025 compared to an income tax benefit and effective tax rate of $(0.6) million and 0.8%, respectively, for the three months ended June 30, 2024.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benefit and effective tax rate were $(7.5) million and (41.3)%, respectively, for the six months ended June 30, 2025 compared to an income tax expense and effective tax rate of $18.5 million and (13.9)%, respectively, for the six months ended June 30, 2024.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the effective tax rate for both periods was primarily due to the relative size of our permanent differences in relation to the pre-tax income (loss) in the respective periods. In addition, the Company recognized a $12.6 million tax benefit associated with the appreciation in our share price upon vesting of RSUs above the original grant price during the six months ended June 30, 2025 versus $1.8 million in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monitor our liquidity position, including cash and cash equivalents, working capital assets and liabilities, commitments and other liquidity requirements. Our primary sources of liquidity are generally our cash and cash equivalent balances, investments in short-term marketable debt securities, the net cash generated from operations, and the available borrowing capacity under our Revolving Credit Facility. Our primary cash needs are typically for working capital, operating expenses (including cash compensation for our employees), repurchasing shares of the Company’s Class A common stock, withholding tax payments for vested PWP Incentive Plan Awards, cash-settled exchanges of PWP OpCo Units, income taxes, dividends and distributions, capital expenditures, making payments pursuant to the tax receivable agreement, commitments, and strategic investments. We generally pay a significant portion of our annual cash incentive compensation during the first quarter of each calendar year with respect to the prior year’s results. Therefore, levels of cash and cash equivalents and/or investments in short-term marketable debt securities generally decline during the first quarter and build over the remainder of the year.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assets are typically composed of cash and cash equivalents, investments in short-term marketable debt securities, receivables related to fees 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interest-bearing money market accounts, and any short-term highly liquid investments that have original maturities of three months or less from the date of purchase. We had cash balances of $145.0 million with no cash equivalents as of June 30, 2025. As of December 31, 2024, our cash and cash equivalents totaled $331.6 million, which included $20.2 million of cash equivalents in the form of investments in U.S. Treasury securities. Additionally, as of December 31, 2024, the Company held U.S. Treasury securities of $75.8 million, which were classified as Investments in short-term marketable debt securities within the condensed consolidated financial statements.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liquidity is highly dependent upon cash receipts from clients, which generally require the successful completion of transactions. Accounts receivable typically have net terms of 30 days. Accounts receivable, net of allowance for credit losses, were $47.7 million and $73.3 million as of June 30, 2025 and December 31, 2024, respectively.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Revolving Credit Facility with Cadence Bank with an available line of credit of $50.0 million. Additionally, up to $20.0 million of incremental revolving commitments above the $50.0 million commitment amount may be incurred under the Credit Agreement. As of June 30, 2025, we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elected to settle exchanges of certain PWP OpCo Units and corresponding shares of Class B common stock for $28.3 million in cash. We also repurchased 1,732,489 shares at an average price per share of $18.33 pursuant to our share repurchase program.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current market conditions, we believe that our cash on hand,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operating, investing and financing cash flows is as follows:</w:t>
      </w:r>
    </w:p>
    <w:tbl>
      <w:tblPr>
        <w:tblW w:w="9069" w:type="dxa"/>
        <w:jc w:val="left"/>
        <w:tblInd w:w="0" w:type="dxa"/>
        <w:tblLayout w:type="fixed"/>
        <w:tblCellMar>
          <w:top w:w="28" w:type="dxa"/>
          <w:left w:w="28" w:type="dxa"/>
          <w:bottom w:w="28" w:type="dxa"/>
          <w:right w:w="28" w:type="dxa"/>
        </w:tblCellMar>
      </w:tblPr>
      <w:tblGrid>
        <w:gridCol w:w="2291"/>
        <w:gridCol w:w="2017"/>
        <w:gridCol w:w="2022"/>
        <w:gridCol w:w="211"/>
        <w:gridCol w:w="826"/>
        <w:gridCol w:w="109"/>
        <w:gridCol w:w="109"/>
        <w:gridCol w:w="109"/>
        <w:gridCol w:w="109"/>
        <w:gridCol w:w="211"/>
        <w:gridCol w:w="901"/>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Cash Provided By (Used In)</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 and other operating activity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activities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(120,394)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(116,336)</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(186,581)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(63,591)</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186,511 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Six Months Ended June 30, 2025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activities resulted in a net cash outflow of $120.4 million primarily attributable to cash operating expense outflows, including discretionary bonuses paid during the first quarter of 2025 with respect to prior year compensation expense, partially offset by cash collections from clients.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activities resulted in a net cash inflow of $73.1 million attributable to the maturation of investments in U.S. Treasury securities, which was nominally offset by capital expenditures related to office space renovations.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Financing activities resulted in a net cash outflow of $144.7 million primarily due to withholding tax payments for vested PWP Incentive Plan Awards, the cash settlement of exchanges of PWP OpCo Units, share repurchases, and dividend payments.</w:t>
      </w:r>
    </w:p>
    <w:p>
      <w:pPr>
        <w:pStyle w:val="TextBody"/>
        <w:bidi w:val="0"/>
        <w:spacing w:lineRule="auto" w:line="240" w:before="240" w:after="24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2024</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activities resulted in a net cash outflow of $116.3 million primarily attributable to cash operating expense outflows, including discretionary bonuses paid during the first quarter of 2024 with respect to prior year compensation expense and the settlement of liability-classified ACUs during the second quarter, partially offset by cash collections from clients.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activities resulted in a net cash inflow of $76.5 million largely attributable to the maturation of investments in U.S. Treasury securities, partially offset by capital expenditures related to office space renovations.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Financing activities resulted in a net cash outflow of $23.0 million primarily due to withholding tax payments for vested PWP Incentive Plan Awards and equity-classified ACUs, the cash settlement of exchanges of PWP OpCo Units, share repurchases, dividend payments and distributions to partners, all of which was partially offset by a share issuance of 5,750,000 shares of Class A common stock for net proceeds of $66.0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approved a stock repurchase program under which we are authorized to repurchase up to $200.0 million of our Class A common stock with no requirement to purchase any minimum number of shares. As of June 30, 2025, $62.1 million remains of the $200.0 million authorized for share repurchases.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Rights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limited partnership agreement of PWP OpCo, holders of PWP OpCo Units (other than the Company) may exchange these units for (i) shares of Class A common stock on a one-for-one basis or (ii) cash from an offering of shares of Class A common stock and (iii) subsequent to the Merger, cash from any other source. Whether future exchanges are settled in cash or shares of Class A common stock is at our discretion and will depend on our liquidity and capital resources, market conditions, the timing and concentration of exchange elections and other factors. See Note 9—Stockholders’ Equity and Redeemable Non-Controlling Interests in the notes to the condensed consolidated financial statements included elsewhere in the Form 10-Q for further information.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Regulatory Capital</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we had an amount due of $75.6 million pursuant to the tax receivable agreement, which represents management’s best estimate of the amounts currently expected to be owed in connection with the tax receivable agreement for the Business Combination and subsequent exchanges made to date. See Note 15—Related Party Transactions in the notes to the condensed consolidated financial statements included elsewhere in the Form 10-Q for further information as well as the expected timing of payments.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various non-cancelable operating leases for our office space and certain equipment. As of June 30, 2025, we had $185.0 million of operating lease liabilities. See Note 4—Leases in the notes to condensed consolidated financial statements included elsewhere in this Form 10-Q for further information as well as the expected timing of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Market Risk and Credit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not capital-intensive and we do not invest in derivative instruments. We are not subject to significant market risk (including interest rate risk and commodity price risk) or significant credit risk.</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Risks Related to Cash and Cash Equivalents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 for credit losses that, in our opinion, provides for an adequate reserve to cover current expected credit losses. Refer to Note 2—Summary of Significant Accounting Policies in the notes to condensed consolidated financial statements included elsewhere in this Form 10-Q for further information.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we invest our excess cash, we manage our credit risk exposure by holding investments primarily with investment grade credit quality.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Rate Risk</w:t>
      </w:r>
    </w:p>
    <w:p>
      <w:pPr>
        <w:pStyle w:val="TextBody"/>
        <w:bidi w:val="0"/>
        <w:spacing w:lineRule="auto" w:line="240" w:before="240" w:after="240"/>
        <w:ind w:left="0" w:right="0" w:firstLine="360"/>
        <w:jc w:val="both"/>
        <w:rPr/>
      </w:pPr>
      <w:r>
        <w:rPr>
          <w:rFonts w:ascii="Times New Roman;serif" w:hAnsi="Times New Roman;serif"/>
          <w:b w:val="false"/>
          <w:color w:val="000000"/>
          <w:sz w:val="20"/>
        </w:rPr>
        <w:t>We are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 Canadian dollar and our reporting currency, the U.S. dollar.</w:t>
      </w:r>
      <w:r>
        <w:rPr>
          <w:color w:val="000000"/>
        </w:rPr>
        <w:t xml:space="preserve"> </w:t>
      </w:r>
      <w:r>
        <w:rPr>
          <w:rFonts w:ascii="Times New Roman;serif" w:hAnsi="Times New Roman;serif"/>
          <w:b w:val="false"/>
          <w:color w:val="000000"/>
          <w:sz w:val="20"/>
        </w:rPr>
        <w:t>For the six months ended June 30, 2025 and 2024, the net impact of non-functional currency related transaction gains (losses) recorded in Other income (expense) on our Condensed Consolidated Statements of Operations was $(4.5) million and $0.3 million, respectively, primarily related to U.S. dollar-denominated cash and intercompany receivables held by our foreign subsidiaries as the strength of the U.S. dollar fluctuated. For the six months ended June 30, 2025 and 2024, the net impact from the fluctuation of foreign currencies recorded in Foreign currency translation gain (loss) on our Condensed Consolidated Statements of Comprehensive Income (Loss) was $7.8 million and $(1.2) million, respectively. We have not entered into any transactions to hedge our exposure to these foreign currency fluctuations using derivative instruments or other methods but may do so if we deem appropriate in the future. As of June 30, 2025, we held cash balances of $39.2 million in non-U.S. dollar currencies, composed of pound sterling, euros, and Canadian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included elsewhere in this Form 10-Q are prepared in accordance with U.S. GAAP, which requires management to make estimates and assumptions that affect the reported amounts of assets, liabilities, revenues, expenses, and the disclosure of contingent assets and liabilities. Actual results could differ from those estimates. Estimates and the assumptions underlying these estimates are reviewed periodically, and the effects of revisions are reflected in the period in which they are determined to be necessary. For a discussion of our critical accounting estimates, refer to our Annual Report on Form 10-K filed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 are set forth above in “Management’s Discussion and Analysis of Financial Condition and Results of Operations – Market Risk and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Item 4 includes information concerning the controls and controls evaluation referred to in the certifications of our Chief Executive Officer and Chief Financial Officer required by Rule 13a-14 of the Exchange Act included in this Quarterly Report on Form 10-Q as Exhibits 31.1 and 31.2.</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June 30, 2025.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Exchange Act Rules 13a-15(f) and 15d-15(f)) during the six months ended June 30,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details on the current legal proceedings, refer to Note 16—Commitments and Contingencies in the notes to condensed consolidated financial statements included elsewhere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or updates to our risk factors that were previously disclosed in “Part I. Item 1A. Risk Factors” in the Company’s Annual Report on Form 10-K for the year ended December 31, 2024 as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Repurchases of Equity Securities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repurchase of equity securities during the three months ended June 30, 2025:</w:t>
      </w:r>
    </w:p>
    <w:tbl>
      <w:tblPr>
        <w:tblW w:w="10205" w:type="dxa"/>
        <w:jc w:val="left"/>
        <w:tblInd w:w="0" w:type="dxa"/>
        <w:tblLayout w:type="fixed"/>
        <w:tblCellMar>
          <w:top w:w="28" w:type="dxa"/>
          <w:left w:w="28" w:type="dxa"/>
          <w:bottom w:w="28" w:type="dxa"/>
          <w:right w:w="28" w:type="dxa"/>
        </w:tblCellMar>
      </w:tblPr>
      <w:tblGrid>
        <w:gridCol w:w="371"/>
        <w:gridCol w:w="327"/>
        <w:gridCol w:w="328"/>
        <w:gridCol w:w="109"/>
        <w:gridCol w:w="109"/>
        <w:gridCol w:w="109"/>
        <w:gridCol w:w="546"/>
        <w:gridCol w:w="525"/>
        <w:gridCol w:w="527"/>
        <w:gridCol w:w="109"/>
        <w:gridCol w:w="109"/>
        <w:gridCol w:w="109"/>
        <w:gridCol w:w="275"/>
        <w:gridCol w:w="804"/>
        <w:gridCol w:w="142"/>
        <w:gridCol w:w="109"/>
        <w:gridCol w:w="109"/>
        <w:gridCol w:w="109"/>
        <w:gridCol w:w="729"/>
        <w:gridCol w:w="729"/>
        <w:gridCol w:w="731"/>
        <w:gridCol w:w="109"/>
        <w:gridCol w:w="109"/>
        <w:gridCol w:w="109"/>
        <w:gridCol w:w="416"/>
        <w:gridCol w:w="2135"/>
        <w:gridCol w:w="312"/>
      </w:tblGrid>
      <w:tr>
        <w:trPr/>
        <w:tc>
          <w:tcPr>
            <w:tcW w:w="3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yet to be Purchased Under the Publicly Announced Plans or Programs</w:t>
            </w:r>
          </w:p>
        </w:tc>
      </w:tr>
      <w:tr>
        <w:trPr/>
        <w:tc>
          <w:tcPr>
            <w:tcW w:w="10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876,409 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64,074,631 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106,648 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62,074,357 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983,057 </w:t>
            </w:r>
          </w:p>
        </w:tc>
        <w:tc>
          <w:tcPr>
            <w:tcW w:w="5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7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Insider Trading Arrangements and Policies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636"/>
        <w:gridCol w:w="2636"/>
        <w:gridCol w:w="376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4" w:after="283"/>
              <w:jc w:val="left"/>
              <w:rPr/>
            </w:pPr>
            <w:hyperlink w:anchor="pwpq2202510-q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2202510-q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2202510-q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2202510-q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9" w:type="dxa"/>
            <w:gridSpan w:val="3"/>
            <w:tcBorders/>
            <w:vAlign w:val="center"/>
          </w:tcPr>
          <w:p>
            <w:pPr>
              <w:pStyle w:val="TableContents"/>
              <w:bidi w:val="0"/>
              <w:spacing w:before="0" w:after="283"/>
              <w:jc w:val="left"/>
              <w:rPr>
                <w:sz w:val="4"/>
                <w:szCs w:val="4"/>
              </w:rPr>
            </w:pPr>
            <w:r>
              <w:rPr>
                <w:sz w:val="4"/>
                <w:szCs w:val="4"/>
              </w:rPr>
            </w:r>
          </w:p>
        </w:tc>
      </w:tr>
      <w:tr>
        <w:trPr/>
        <w:tc>
          <w:tcPr>
            <w:tcW w:w="8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122" w:type="dxa"/>
        <w:jc w:val="left"/>
        <w:tblInd w:w="0" w:type="dxa"/>
        <w:tblLayout w:type="fixed"/>
        <w:tblCellMar>
          <w:top w:w="28" w:type="dxa"/>
          <w:left w:w="28" w:type="dxa"/>
          <w:bottom w:w="28" w:type="dxa"/>
          <w:right w:w="28" w:type="dxa"/>
        </w:tblCellMar>
      </w:tblPr>
      <w:tblGrid>
        <w:gridCol w:w="667"/>
        <w:gridCol w:w="587"/>
        <w:gridCol w:w="590"/>
        <w:gridCol w:w="328"/>
        <w:gridCol w:w="328"/>
        <w:gridCol w:w="328"/>
        <w:gridCol w:w="328"/>
        <w:gridCol w:w="328"/>
        <w:gridCol w:w="328"/>
        <w:gridCol w:w="1541"/>
        <w:gridCol w:w="1541"/>
        <w:gridCol w:w="22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PERELLA WEINBERG PARTNERS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 2025</w:t>
            </w:r>
          </w:p>
        </w:tc>
        <w:tc>
          <w:tcPr>
            <w:tcW w:w="9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 2025</w:t>
            </w:r>
          </w:p>
        </w:tc>
        <w:tc>
          <w:tcPr>
            <w:tcW w:w="9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Andrew Bednar,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Perella Weinberg Partners;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8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33"/>
        <w:gridCol w:w="733"/>
        <w:gridCol w:w="103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Alexandra Gottschalk,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Perella Weinberg Partners;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6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846"/>
        <w:gridCol w:w="846"/>
        <w:gridCol w:w="12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June 30, 2025,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08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33"/>
        <w:gridCol w:w="733"/>
        <w:gridCol w:w="103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June 30, 2025,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46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846"/>
        <w:gridCol w:w="846"/>
        <w:gridCol w:w="12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18463</Words>
  <Characters>105935</Characters>
  <CharactersWithSpaces>123393</CharactersWithSpaces>
  <Paragraphs>2441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