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4469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446905"/>
                    </a:xfrm>
                    <a:prstGeom prst="rect">
                      <a:avLst/>
                    </a:prstGeom>
                    <a:noFill/>
                  </pic:spPr>
                </pic:pic>
              </a:graphicData>
            </a:graphic>
          </wp:anchor>
        </w:drawing>
      </w:r>
    </w:p>
    <w:p>
      <w:pPr>
        <w:sectPr>
          <w:pgSz w:w="11900" w:h="16838" w:orient="portrait"/>
          <w:cols w:equalWidth="0" w:num="1">
            <w:col w:w="10940"/>
          </w:cols>
          <w:pgMar w:left="480" w:top="230" w:right="479" w:bottom="535"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PWP VoteCo Professionals LP</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2940" w:type="dxa"/>
            <w:vAlign w:val="bottom"/>
            <w:tcBorders>
              <w:top w:val="single" w:sz="8" w:color="0000EE"/>
              <w:bottom w:val="single" w:sz="8" w:color="9A9A9A"/>
            </w:tcBorders>
          </w:tcPr>
          <w:p>
            <w:pPr>
              <w:spacing w:after="0"/>
              <w:rPr>
                <w:sz w:val="17"/>
                <w:szCs w:val="17"/>
                <w:color w:val="auto"/>
              </w:rPr>
            </w:pPr>
          </w:p>
        </w:tc>
        <w:tc>
          <w:tcPr>
            <w:tcW w:w="12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12/31/2023</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3"/>
          <w:szCs w:val="23"/>
          <w:color w:val="0000EE"/>
        </w:rPr>
      </w:pPr>
      <w:hyperlink r:id="rId11">
        <w:r>
          <w:rPr>
            <w:rFonts w:ascii="Times New Roman" w:cs="Times New Roman" w:eastAsia="Times New Roman" w:hAnsi="Times New Roman"/>
            <w:sz w:val="23"/>
            <w:szCs w:val="23"/>
            <w:u w:val="single" w:color="auto"/>
            <w:color w:val="0000EE"/>
          </w:rPr>
          <w:t>Perella Weinberg Partners</w:t>
        </w:r>
        <w:r>
          <w:rPr>
            <w:rFonts w:ascii="Times New Roman" w:cs="Times New Roman" w:eastAsia="Times New Roman" w:hAnsi="Times New Roman"/>
            <w:sz w:val="23"/>
            <w:szCs w:val="23"/>
            <w:color w:val="0000EE"/>
          </w:rPr>
          <w:t xml:space="preserve"> </w:t>
        </w:r>
      </w:hyperlink>
      <w:r>
        <w:rPr>
          <w:rFonts w:ascii="Times New Roman" w:cs="Times New Roman" w:eastAsia="Times New Roman" w:hAnsi="Times New Roman"/>
          <w:sz w:val="23"/>
          <w:szCs w:val="23"/>
          <w:color w:val="000000"/>
        </w:rPr>
        <w:t>[</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18"/>
          <w:szCs w:val="18"/>
          <w:color w:val="0000FF"/>
        </w:rPr>
        <w:t>PWP</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23"/>
          <w:szCs w:val="23"/>
          <w:color w:val="000000"/>
        </w:rPr>
        <w:t>]</w:t>
      </w:r>
    </w:p>
    <w:p>
      <w:pPr>
        <w:spacing w:after="0" w:line="339" w:lineRule="exact"/>
        <w:rPr>
          <w:sz w:val="24"/>
          <w:szCs w:val="24"/>
          <w:color w:val="auto"/>
        </w:rPr>
      </w:pPr>
    </w:p>
    <w:p>
      <w:pPr>
        <w:sectPr>
          <w:pgSz w:w="11900" w:h="16838" w:orient="portrait"/>
          <w:cols w:equalWidth="0" w:num="2">
            <w:col w:w="4720" w:space="280"/>
            <w:col w:w="5940"/>
          </w:cols>
          <w:pgMar w:left="480" w:top="230" w:right="479" w:bottom="535" w:gutter="0" w:footer="0" w:header="0"/>
          <w:type w:val="continuous"/>
        </w:sectPr>
      </w:pPr>
    </w:p>
    <w:p>
      <w:pPr>
        <w:spacing w:after="0" w:line="105"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820" w:type="dxa"/>
            <w:vAlign w:val="bottom"/>
          </w:tcPr>
          <w:p>
            <w:pPr>
              <w:ind w:left="40"/>
              <w:spacing w:after="0"/>
              <w:rPr>
                <w:sz w:val="20"/>
                <w:szCs w:val="20"/>
                <w:color w:val="auto"/>
              </w:rPr>
            </w:pPr>
            <w:r>
              <w:rPr>
                <w:rFonts w:ascii="Arial" w:cs="Arial" w:eastAsia="Arial" w:hAnsi="Arial"/>
                <w:sz w:val="15"/>
                <w:szCs w:val="15"/>
                <w:color w:val="auto"/>
              </w:rPr>
              <w:t>(Last)</w:t>
            </w:r>
          </w:p>
        </w:tc>
        <w:tc>
          <w:tcPr>
            <w:tcW w:w="1000" w:type="dxa"/>
            <w:vAlign w:val="bottom"/>
          </w:tcPr>
          <w:p>
            <w:pPr>
              <w:ind w:left="240"/>
              <w:spacing w:after="0"/>
              <w:rPr>
                <w:sz w:val="20"/>
                <w:szCs w:val="20"/>
                <w:color w:val="auto"/>
              </w:rPr>
            </w:pPr>
            <w:r>
              <w:rPr>
                <w:rFonts w:ascii="Arial" w:cs="Arial" w:eastAsia="Arial" w:hAnsi="Arial"/>
                <w:sz w:val="15"/>
                <w:szCs w:val="15"/>
                <w:color w:val="auto"/>
              </w:rPr>
              <w:t>(First)</w:t>
            </w:r>
          </w:p>
        </w:tc>
        <w:tc>
          <w:tcPr>
            <w:tcW w:w="1280" w:type="dxa"/>
            <w:vAlign w:val="bottom"/>
          </w:tcPr>
          <w:p>
            <w:pPr>
              <w:ind w:left="280"/>
              <w:spacing w:after="0"/>
              <w:rPr>
                <w:sz w:val="20"/>
                <w:szCs w:val="20"/>
                <w:color w:val="auto"/>
              </w:rPr>
            </w:pPr>
            <w:r>
              <w:rPr>
                <w:rFonts w:ascii="Arial" w:cs="Arial" w:eastAsia="Arial" w:hAnsi="Arial"/>
                <w:sz w:val="15"/>
                <w:szCs w:val="15"/>
                <w:color w:val="auto"/>
              </w:rPr>
              <w:t>(Middle)</w:t>
            </w:r>
          </w:p>
        </w:tc>
        <w:tc>
          <w:tcPr>
            <w:tcW w:w="0" w:type="dxa"/>
            <w:vAlign w:val="bottom"/>
          </w:tcPr>
          <w:p>
            <w:pPr>
              <w:spacing w:after="0"/>
              <w:rPr>
                <w:sz w:val="1"/>
                <w:szCs w:val="1"/>
                <w:color w:val="auto"/>
              </w:rPr>
            </w:pPr>
          </w:p>
        </w:tc>
      </w:tr>
      <w:tr>
        <w:trPr>
          <w:trHeight w:val="310"/>
        </w:trPr>
        <w:tc>
          <w:tcPr>
            <w:tcW w:w="182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767 5TH AVENUE</w:t>
            </w: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820" w:type="dxa"/>
            <w:vAlign w:val="bottom"/>
            <w:tcBorders>
              <w:bottom w:val="single" w:sz="8" w:color="9A9A9A"/>
            </w:tcBorders>
          </w:tcPr>
          <w:p>
            <w:pPr>
              <w:spacing w:after="0"/>
              <w:rPr>
                <w:sz w:val="20"/>
                <w:szCs w:val="20"/>
                <w:color w:val="auto"/>
              </w:rPr>
            </w:pPr>
          </w:p>
        </w:tc>
        <w:tc>
          <w:tcPr>
            <w:tcW w:w="1000" w:type="dxa"/>
            <w:vAlign w:val="bottom"/>
            <w:tcBorders>
              <w:bottom w:val="single" w:sz="8" w:color="9A9A9A"/>
            </w:tcBorders>
          </w:tcPr>
          <w:p>
            <w:pPr>
              <w:spacing w:after="0"/>
              <w:rPr>
                <w:sz w:val="20"/>
                <w:szCs w:val="20"/>
                <w:color w:val="auto"/>
              </w:rPr>
            </w:pPr>
          </w:p>
        </w:tc>
        <w:tc>
          <w:tcPr>
            <w:tcW w:w="1280" w:type="dxa"/>
            <w:vAlign w:val="bottom"/>
            <w:tcBorders>
              <w:bottom w:val="single" w:sz="8" w:color="9A9A9A"/>
            </w:tcBorders>
          </w:tcPr>
          <w:p>
            <w:pPr>
              <w:spacing w:after="0"/>
              <w:rPr>
                <w:sz w:val="20"/>
                <w:szCs w:val="20"/>
                <w:color w:val="auto"/>
              </w:rPr>
            </w:pPr>
          </w:p>
        </w:tc>
        <w:tc>
          <w:tcPr>
            <w:tcW w:w="0" w:type="dxa"/>
            <w:vAlign w:val="bottom"/>
          </w:tcPr>
          <w:p>
            <w:pPr>
              <w:spacing w:after="0"/>
              <w:rPr>
                <w:sz w:val="1"/>
                <w:szCs w:val="1"/>
                <w:color w:val="auto"/>
              </w:rPr>
            </w:pPr>
          </w:p>
        </w:tc>
      </w:tr>
      <w:tr>
        <w:trPr>
          <w:trHeight w:val="303"/>
        </w:trPr>
        <w:tc>
          <w:tcPr>
            <w:tcW w:w="820" w:type="dxa"/>
            <w:vAlign w:val="bottom"/>
          </w:tcPr>
          <w:p>
            <w:pPr>
              <w:spacing w:after="0"/>
              <w:rPr>
                <w:sz w:val="20"/>
                <w:szCs w:val="20"/>
                <w:color w:val="auto"/>
              </w:rPr>
            </w:pPr>
            <w:r>
              <w:rPr>
                <w:rFonts w:ascii="Arial" w:cs="Arial" w:eastAsia="Arial" w:hAnsi="Arial"/>
                <w:sz w:val="15"/>
                <w:szCs w:val="15"/>
                <w:color w:val="auto"/>
              </w:rPr>
              <w:t>(Street)</w:t>
            </w:r>
          </w:p>
        </w:tc>
        <w:tc>
          <w:tcPr>
            <w:tcW w:w="10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82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NEW</w:t>
            </w:r>
          </w:p>
        </w:tc>
        <w:tc>
          <w:tcPr>
            <w:tcW w:w="1000" w:type="dxa"/>
            <w:vAlign w:val="bottom"/>
            <w:vMerge w:val="restart"/>
          </w:tcPr>
          <w:p>
            <w:pPr>
              <w:ind w:left="240"/>
              <w:spacing w:after="0"/>
              <w:rPr>
                <w:sz w:val="20"/>
                <w:szCs w:val="20"/>
                <w:color w:val="auto"/>
              </w:rPr>
            </w:pPr>
            <w:r>
              <w:rPr>
                <w:rFonts w:ascii="Times New Roman" w:cs="Times New Roman" w:eastAsia="Times New Roman" w:hAnsi="Times New Roman"/>
                <w:sz w:val="20"/>
                <w:szCs w:val="20"/>
                <w:color w:val="0000FF"/>
              </w:rPr>
              <w:t>NY</w:t>
            </w:r>
          </w:p>
        </w:tc>
        <w:tc>
          <w:tcPr>
            <w:tcW w:w="1280" w:type="dxa"/>
            <w:vAlign w:val="bottom"/>
            <w:vMerge w:val="restart"/>
          </w:tcPr>
          <w:p>
            <w:pPr>
              <w:ind w:left="280"/>
              <w:spacing w:after="0"/>
              <w:rPr>
                <w:sz w:val="20"/>
                <w:szCs w:val="20"/>
                <w:color w:val="auto"/>
              </w:rPr>
            </w:pPr>
            <w:r>
              <w:rPr>
                <w:rFonts w:ascii="Times New Roman" w:cs="Times New Roman" w:eastAsia="Times New Roman" w:hAnsi="Times New Roman"/>
                <w:sz w:val="20"/>
                <w:szCs w:val="20"/>
                <w:color w:val="0000FF"/>
              </w:rPr>
              <w:t>10153</w:t>
            </w:r>
          </w:p>
        </w:tc>
        <w:tc>
          <w:tcPr>
            <w:tcW w:w="0" w:type="dxa"/>
            <w:vAlign w:val="bottom"/>
          </w:tcPr>
          <w:p>
            <w:pPr>
              <w:spacing w:after="0"/>
              <w:rPr>
                <w:sz w:val="1"/>
                <w:szCs w:val="1"/>
                <w:color w:val="auto"/>
              </w:rPr>
            </w:pPr>
          </w:p>
        </w:tc>
      </w:tr>
      <w:tr>
        <w:trPr>
          <w:trHeight w:val="134"/>
        </w:trPr>
        <w:tc>
          <w:tcPr>
            <w:tcW w:w="82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0000FF"/>
              </w:rPr>
              <w:t>YORK</w:t>
            </w:r>
          </w:p>
        </w:tc>
        <w:tc>
          <w:tcPr>
            <w:tcW w:w="1000" w:type="dxa"/>
            <w:vAlign w:val="bottom"/>
            <w:vMerge w:val="continue"/>
          </w:tcPr>
          <w:p>
            <w:pPr>
              <w:spacing w:after="0"/>
              <w:rPr>
                <w:sz w:val="11"/>
                <w:szCs w:val="11"/>
                <w:color w:val="auto"/>
              </w:rPr>
            </w:pPr>
          </w:p>
        </w:tc>
        <w:tc>
          <w:tcPr>
            <w:tcW w:w="12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820" w:type="dxa"/>
            <w:vAlign w:val="bottom"/>
            <w:vMerge w:val="continue"/>
          </w:tcPr>
          <w:p>
            <w:pPr>
              <w:spacing w:after="0"/>
              <w:rPr>
                <w:sz w:val="10"/>
                <w:szCs w:val="10"/>
                <w:color w:val="auto"/>
              </w:rPr>
            </w:pPr>
          </w:p>
        </w:tc>
        <w:tc>
          <w:tcPr>
            <w:tcW w:w="100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ind w:left="183"/>
        <w:spacing w:after="0"/>
        <w:tabs>
          <w:tab w:leader="none" w:pos="502" w:val="left"/>
          <w:tab w:leader="none" w:pos="2042" w:val="left"/>
        </w:tabs>
        <w:rPr>
          <w:sz w:val="20"/>
          <w:szCs w:val="20"/>
          <w:color w:val="auto"/>
        </w:rPr>
      </w:pPr>
      <w:r>
        <w:rPr>
          <w:rFonts w:ascii="Times New Roman" w:cs="Times New Roman" w:eastAsia="Times New Roman" w:hAnsi="Times New Roman"/>
          <w:sz w:val="20"/>
          <w:szCs w:val="20"/>
          <w:color w:val="0000FF"/>
        </w:rPr>
        <w:t>X</w:t>
      </w:r>
      <w:r>
        <w:rPr>
          <w:sz w:val="20"/>
          <w:szCs w:val="20"/>
          <w:color w:val="auto"/>
        </w:rPr>
        <w:tab/>
      </w: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10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65" w:lineRule="exact"/>
        <w:rPr>
          <w:rFonts w:ascii="Arial" w:cs="Arial" w:eastAsia="Arial" w:hAnsi="Arial"/>
          <w:sz w:val="15"/>
          <w:szCs w:val="15"/>
          <w:color w:val="auto"/>
        </w:rPr>
      </w:pPr>
    </w:p>
    <w:p>
      <w:pPr>
        <w:ind w:left="-9" w:right="480" w:firstLine="9"/>
        <w:spacing w:after="0" w:line="252"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13" w:lineRule="exact"/>
        <w:rPr>
          <w:sz w:val="24"/>
          <w:szCs w:val="24"/>
          <w:color w:val="auto"/>
        </w:rPr>
      </w:pPr>
    </w:p>
    <w:p>
      <w:pPr>
        <w:ind w:left="451" w:right="340" w:hanging="304"/>
        <w:spacing w:after="0" w:line="180" w:lineRule="auto"/>
        <w:tabs>
          <w:tab w:leader="none" w:pos="451" w:val="left"/>
        </w:tabs>
        <w:numPr>
          <w:ilvl w:val="0"/>
          <w:numId w:val="3"/>
        </w:numPr>
        <w:rPr>
          <w:rFonts w:ascii="Times New Roman" w:cs="Times New Roman" w:eastAsia="Times New Roman" w:hAnsi="Times New Roman"/>
          <w:sz w:val="29"/>
          <w:szCs w:val="29"/>
          <w:color w:val="0000FF"/>
          <w:vertAlign w:val="subscript"/>
        </w:rPr>
      </w:pPr>
      <w:r>
        <w:rPr>
          <w:rFonts w:ascii="Arial" w:cs="Arial" w:eastAsia="Arial" w:hAnsi="Arial"/>
          <w:sz w:val="13"/>
          <w:szCs w:val="13"/>
          <w:color w:val="auto"/>
        </w:rPr>
        <w:t>Form filed by One Reporting Person</w:t>
      </w:r>
    </w:p>
    <w:p>
      <w:pPr>
        <w:spacing w:after="0" w:line="27" w:lineRule="exact"/>
        <w:rPr>
          <w:rFonts w:ascii="Times New Roman" w:cs="Times New Roman" w:eastAsia="Times New Roman" w:hAnsi="Times New Roman"/>
          <w:sz w:val="29"/>
          <w:szCs w:val="29"/>
          <w:color w:val="0000FF"/>
          <w:vertAlign w:val="subscript"/>
        </w:rPr>
      </w:pPr>
    </w:p>
    <w:p>
      <w:pPr>
        <w:ind w:left="451" w:right="320"/>
        <w:spacing w:after="0" w:line="264" w:lineRule="auto"/>
        <w:rPr>
          <w:rFonts w:ascii="Times New Roman" w:cs="Times New Roman" w:eastAsia="Times New Roman" w:hAnsi="Times New Roman"/>
          <w:sz w:val="29"/>
          <w:szCs w:val="29"/>
          <w:color w:val="0000FF"/>
          <w:vertAlign w:val="subscript"/>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535" w:gutter="0" w:footer="0" w:header="0"/>
          <w:type w:val="continuous"/>
        </w:sectPr>
      </w:pPr>
    </w:p>
    <w:p>
      <w:pPr>
        <w:spacing w:after="0" w:line="36"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2880" w:type="dxa"/>
            <w:vAlign w:val="bottom"/>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8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2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88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8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 (Instr.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Indirect</w:t>
            </w:r>
          </w:p>
        </w:tc>
        <w:tc>
          <w:tcPr>
            <w:tcW w:w="0" w:type="dxa"/>
            <w:vAlign w:val="bottom"/>
          </w:tcPr>
          <w:p>
            <w:pPr>
              <w:spacing w:after="0"/>
              <w:rPr>
                <w:sz w:val="1"/>
                <w:szCs w:val="1"/>
                <w:color w:val="auto"/>
              </w:rPr>
            </w:pPr>
          </w:p>
        </w:tc>
      </w:tr>
      <w:tr>
        <w:trPr>
          <w:trHeight w:val="165"/>
        </w:trPr>
        <w:tc>
          <w:tcPr>
            <w:tcW w:w="288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70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4)</w:t>
            </w:r>
          </w:p>
        </w:tc>
        <w:tc>
          <w:tcPr>
            <w:tcW w:w="110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Beneficial</w:t>
            </w:r>
          </w:p>
        </w:tc>
        <w:tc>
          <w:tcPr>
            <w:tcW w:w="0" w:type="dxa"/>
            <w:vAlign w:val="bottom"/>
          </w:tcPr>
          <w:p>
            <w:pPr>
              <w:spacing w:after="0"/>
              <w:rPr>
                <w:sz w:val="1"/>
                <w:szCs w:val="1"/>
                <w:color w:val="auto"/>
              </w:rPr>
            </w:pPr>
          </w:p>
        </w:tc>
      </w:tr>
      <w:tr>
        <w:trPr>
          <w:trHeight w:val="85"/>
        </w:trPr>
        <w:tc>
          <w:tcPr>
            <w:tcW w:w="288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70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2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60"/>
        </w:trPr>
        <w:tc>
          <w:tcPr>
            <w:tcW w:w="288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700" w:type="dxa"/>
            <w:vAlign w:val="bottom"/>
          </w:tcPr>
          <w:p>
            <w:pPr>
              <w:spacing w:after="0"/>
              <w:rPr>
                <w:sz w:val="5"/>
                <w:szCs w:val="5"/>
                <w:color w:val="auto"/>
              </w:rPr>
            </w:pPr>
          </w:p>
        </w:tc>
        <w:tc>
          <w:tcPr>
            <w:tcW w:w="1100" w:type="dxa"/>
            <w:vAlign w:val="bottom"/>
            <w:vMerge w:val="restart"/>
          </w:tcPr>
          <w:p>
            <w:pPr>
              <w:ind w:left="140"/>
              <w:spacing w:after="0"/>
              <w:rPr>
                <w:sz w:val="20"/>
                <w:szCs w:val="20"/>
                <w:color w:val="auto"/>
              </w:rPr>
            </w:pPr>
            <w:r>
              <w:rPr>
                <w:rFonts w:ascii="Arial" w:cs="Arial" w:eastAsia="Arial" w:hAnsi="Arial"/>
                <w:sz w:val="15"/>
                <w:szCs w:val="15"/>
                <w:b w:val="1"/>
                <w:bCs w:val="1"/>
                <w:color w:val="auto"/>
              </w:rPr>
              <w:t>Amount or</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8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100" w:type="dxa"/>
            <w:vAlign w:val="bottom"/>
            <w:vMerge w:val="continue"/>
          </w:tcPr>
          <w:p>
            <w:pPr>
              <w:spacing w:after="0"/>
              <w:rPr>
                <w:sz w:val="13"/>
                <w:szCs w:val="13"/>
                <w:color w:val="auto"/>
              </w:rPr>
            </w:pPr>
          </w:p>
        </w:tc>
        <w:tc>
          <w:tcPr>
            <w:tcW w:w="98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2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165"/>
        </w:trPr>
        <w:tc>
          <w:tcPr>
            <w:tcW w:w="288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700" w:type="dxa"/>
            <w:vAlign w:val="bottom"/>
            <w:vMerge w:val="restart"/>
          </w:tcPr>
          <w:p>
            <w:pPr>
              <w:ind w:left="60"/>
              <w:spacing w:after="0"/>
              <w:rPr>
                <w:sz w:val="20"/>
                <w:szCs w:val="20"/>
                <w:color w:val="auto"/>
              </w:rPr>
            </w:pPr>
            <w:r>
              <w:rPr>
                <w:rFonts w:ascii="Arial" w:cs="Arial" w:eastAsia="Arial" w:hAnsi="Arial"/>
                <w:sz w:val="15"/>
                <w:szCs w:val="15"/>
                <w:b w:val="1"/>
                <w:bCs w:val="1"/>
                <w:color w:val="auto"/>
              </w:rPr>
              <w:t>Title</w:t>
            </w:r>
          </w:p>
        </w:tc>
        <w:tc>
          <w:tcPr>
            <w:tcW w:w="110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Number of</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88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00" w:type="dxa"/>
            <w:vAlign w:val="bottom"/>
            <w:vMerge w:val="continue"/>
          </w:tcPr>
          <w:p>
            <w:pPr>
              <w:spacing w:after="0"/>
              <w:rPr>
                <w:sz w:val="17"/>
                <w:szCs w:val="17"/>
                <w:color w:val="auto"/>
              </w:rPr>
            </w:pPr>
          </w:p>
        </w:tc>
        <w:tc>
          <w:tcPr>
            <w:tcW w:w="1100" w:type="dxa"/>
            <w:vAlign w:val="bottom"/>
          </w:tcPr>
          <w:p>
            <w:pPr>
              <w:ind w:left="14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88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288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Class B-1 Common Stock</w:t>
            </w:r>
            <w:r>
              <w:rPr>
                <w:rFonts w:ascii="Times New Roman" w:cs="Times New Roman" w:eastAsia="Times New Roman" w:hAnsi="Times New Roman"/>
                <w:sz w:val="25"/>
                <w:szCs w:val="25"/>
                <w:color w:val="008000"/>
                <w:vertAlign w:val="superscript"/>
              </w:rPr>
              <w:t>(1)(2)</w:t>
            </w:r>
          </w:p>
        </w:tc>
        <w:tc>
          <w:tcPr>
            <w:tcW w:w="980" w:type="dxa"/>
            <w:vAlign w:val="bottom"/>
            <w:vMerge w:val="restart"/>
          </w:tcPr>
          <w:p>
            <w:pPr>
              <w:ind w:left="420"/>
              <w:spacing w:after="0"/>
              <w:rPr>
                <w:sz w:val="20"/>
                <w:szCs w:val="20"/>
                <w:color w:val="auto"/>
              </w:rPr>
            </w:pPr>
            <w:r>
              <w:rPr>
                <w:rFonts w:ascii="Times New Roman" w:cs="Times New Roman" w:eastAsia="Times New Roman" w:hAnsi="Times New Roman"/>
                <w:sz w:val="13"/>
                <w:szCs w:val="13"/>
                <w:color w:val="008000"/>
              </w:rPr>
              <w:t>(3)</w:t>
            </w:r>
          </w:p>
        </w:tc>
        <w:tc>
          <w:tcPr>
            <w:tcW w:w="900" w:type="dxa"/>
            <w:vAlign w:val="bottom"/>
            <w:vMerge w:val="restart"/>
          </w:tcPr>
          <w:p>
            <w:pPr>
              <w:jc w:val="right"/>
              <w:ind w:right="309"/>
              <w:spacing w:after="0"/>
              <w:rPr>
                <w:sz w:val="20"/>
                <w:szCs w:val="20"/>
                <w:color w:val="auto"/>
              </w:rPr>
            </w:pPr>
            <w:r>
              <w:rPr>
                <w:rFonts w:ascii="Times New Roman" w:cs="Times New Roman" w:eastAsia="Times New Roman" w:hAnsi="Times New Roman"/>
                <w:sz w:val="13"/>
                <w:szCs w:val="13"/>
                <w:color w:val="008000"/>
              </w:rPr>
              <w:t>(3)</w:t>
            </w:r>
          </w:p>
        </w:tc>
        <w:tc>
          <w:tcPr>
            <w:tcW w:w="1700" w:type="dxa"/>
            <w:vAlign w:val="bottom"/>
          </w:tcPr>
          <w:p>
            <w:pPr>
              <w:ind w:left="180"/>
              <w:spacing w:after="0"/>
              <w:rPr>
                <w:sz w:val="20"/>
                <w:szCs w:val="20"/>
                <w:color w:val="auto"/>
              </w:rPr>
            </w:pPr>
            <w:r>
              <w:rPr>
                <w:rFonts w:ascii="Times New Roman" w:cs="Times New Roman" w:eastAsia="Times New Roman" w:hAnsi="Times New Roman"/>
                <w:sz w:val="20"/>
                <w:szCs w:val="20"/>
                <w:color w:val="0000FF"/>
              </w:rPr>
              <w:t>Class A Common</w:t>
            </w:r>
          </w:p>
        </w:tc>
        <w:tc>
          <w:tcPr>
            <w:tcW w:w="1100" w:type="dxa"/>
            <w:vAlign w:val="bottom"/>
            <w:vMerge w:val="restart"/>
          </w:tcPr>
          <w:p>
            <w:pPr>
              <w:ind w:left="140"/>
              <w:spacing w:after="0"/>
              <w:rPr>
                <w:sz w:val="20"/>
                <w:szCs w:val="20"/>
                <w:color w:val="auto"/>
              </w:rPr>
            </w:pPr>
            <w:r>
              <w:rPr>
                <w:rFonts w:ascii="Times New Roman" w:cs="Times New Roman" w:eastAsia="Times New Roman" w:hAnsi="Times New Roman"/>
                <w:sz w:val="20"/>
                <w:szCs w:val="20"/>
                <w:color w:val="0000FF"/>
              </w:rPr>
              <w:t>40,467.075</w:t>
            </w:r>
          </w:p>
        </w:tc>
        <w:tc>
          <w:tcPr>
            <w:tcW w:w="980" w:type="dxa"/>
            <w:vAlign w:val="bottom"/>
            <w:vMerge w:val="restart"/>
          </w:tcPr>
          <w:p>
            <w:pPr>
              <w:ind w:left="420"/>
              <w:spacing w:after="0"/>
              <w:rPr>
                <w:sz w:val="20"/>
                <w:szCs w:val="20"/>
                <w:color w:val="auto"/>
              </w:rPr>
            </w:pPr>
            <w:r>
              <w:rPr>
                <w:rFonts w:ascii="Times New Roman" w:cs="Times New Roman" w:eastAsia="Times New Roman" w:hAnsi="Times New Roman"/>
                <w:sz w:val="13"/>
                <w:szCs w:val="13"/>
                <w:color w:val="008000"/>
              </w:rPr>
              <w:t>(3)</w:t>
            </w:r>
          </w:p>
        </w:tc>
        <w:tc>
          <w:tcPr>
            <w:tcW w:w="94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880" w:type="dxa"/>
            <w:vAlign w:val="bottom"/>
            <w:vMerge w:val="continue"/>
          </w:tcPr>
          <w:p>
            <w:pPr>
              <w:spacing w:after="0"/>
              <w:rPr>
                <w:sz w:val="17"/>
                <w:szCs w:val="17"/>
                <w:color w:val="auto"/>
              </w:rPr>
            </w:pPr>
          </w:p>
        </w:tc>
        <w:tc>
          <w:tcPr>
            <w:tcW w:w="980" w:type="dxa"/>
            <w:vAlign w:val="bottom"/>
            <w:vMerge w:val="continue"/>
          </w:tcPr>
          <w:p>
            <w:pPr>
              <w:spacing w:after="0"/>
              <w:rPr>
                <w:sz w:val="17"/>
                <w:szCs w:val="17"/>
                <w:color w:val="auto"/>
              </w:rPr>
            </w:pPr>
          </w:p>
        </w:tc>
        <w:tc>
          <w:tcPr>
            <w:tcW w:w="900" w:type="dxa"/>
            <w:vAlign w:val="bottom"/>
            <w:vMerge w:val="continue"/>
          </w:tcPr>
          <w:p>
            <w:pPr>
              <w:spacing w:after="0"/>
              <w:rPr>
                <w:sz w:val="17"/>
                <w:szCs w:val="17"/>
                <w:color w:val="auto"/>
              </w:rPr>
            </w:pPr>
          </w:p>
        </w:tc>
        <w:tc>
          <w:tcPr>
            <w:tcW w:w="1700" w:type="dxa"/>
            <w:vAlign w:val="bottom"/>
            <w:vMerge w:val="restart"/>
          </w:tcPr>
          <w:p>
            <w:pPr>
              <w:ind w:left="660"/>
              <w:spacing w:after="0"/>
              <w:rPr>
                <w:sz w:val="20"/>
                <w:szCs w:val="20"/>
                <w:color w:val="auto"/>
              </w:rPr>
            </w:pPr>
            <w:r>
              <w:rPr>
                <w:rFonts w:ascii="Times New Roman" w:cs="Times New Roman" w:eastAsia="Times New Roman" w:hAnsi="Times New Roman"/>
                <w:sz w:val="20"/>
                <w:szCs w:val="20"/>
                <w:color w:val="0000FF"/>
              </w:rPr>
              <w:t>Stock</w:t>
            </w:r>
          </w:p>
        </w:tc>
        <w:tc>
          <w:tcPr>
            <w:tcW w:w="1100" w:type="dxa"/>
            <w:vAlign w:val="bottom"/>
            <w:vMerge w:val="continue"/>
          </w:tcPr>
          <w:p>
            <w:pPr>
              <w:spacing w:after="0"/>
              <w:rPr>
                <w:sz w:val="17"/>
                <w:szCs w:val="17"/>
                <w:color w:val="auto"/>
              </w:rPr>
            </w:pPr>
          </w:p>
        </w:tc>
        <w:tc>
          <w:tcPr>
            <w:tcW w:w="980" w:type="dxa"/>
            <w:vAlign w:val="bottom"/>
            <w:vMerge w:val="continue"/>
          </w:tcPr>
          <w:p>
            <w:pPr>
              <w:spacing w:after="0"/>
              <w:rPr>
                <w:sz w:val="17"/>
                <w:szCs w:val="17"/>
                <w:color w:val="auto"/>
              </w:rPr>
            </w:pPr>
          </w:p>
        </w:tc>
        <w:tc>
          <w:tcPr>
            <w:tcW w:w="940" w:type="dxa"/>
            <w:vAlign w:val="bottom"/>
            <w:vMerge w:val="continue"/>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8"/>
        </w:trPr>
        <w:tc>
          <w:tcPr>
            <w:tcW w:w="288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70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980" w:type="dxa"/>
            <w:vAlign w:val="bottom"/>
          </w:tcPr>
          <w:p>
            <w:pPr>
              <w:spacing w:after="0"/>
              <w:rPr>
                <w:sz w:val="5"/>
                <w:szCs w:val="5"/>
                <w:color w:val="auto"/>
              </w:rPr>
            </w:pPr>
          </w:p>
        </w:tc>
        <w:tc>
          <w:tcPr>
            <w:tcW w:w="940" w:type="dxa"/>
            <w:vAlign w:val="bottom"/>
          </w:tcPr>
          <w:p>
            <w:pPr>
              <w:spacing w:after="0"/>
              <w:rPr>
                <w:sz w:val="5"/>
                <w:szCs w:val="5"/>
                <w:color w:val="auto"/>
              </w:rPr>
            </w:pPr>
          </w:p>
        </w:tc>
        <w:tc>
          <w:tcPr>
            <w:tcW w:w="14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22"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40" w:right="60" w:firstLine="5"/>
        <w:spacing w:after="0" w:line="237"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PWP Professional Partners LP ("Professional Partners") is an aggregator partnership through which certain partners hold interests in PWP Holdings LP ("PWP OpCo"), the entity through which Perella Weinberg Partners (the "Issuer") holds its advisory business. On December 31, 2023 (the "Effective Date"), as part of an internal reorganization and in accordance with Section 17-220 of the Delaware Revised Uniform Limited Partnership Act (the "Act"), Professional Partners was divided into: (i) PWP VoteCo Professionals LP ("VoteCo Professionals"), (ii) PWP AdCo Professionals LP ("AdCo Professionals") and (iii) Professional Partners, which is the "surviving partnership" under the Act (the "Division").</w:t>
      </w:r>
    </w:p>
    <w:p>
      <w:pPr>
        <w:spacing w:after="0" w:line="33" w:lineRule="exact"/>
        <w:rPr>
          <w:rFonts w:ascii="Times New Roman" w:cs="Times New Roman" w:eastAsia="Times New Roman" w:hAnsi="Times New Roman"/>
          <w:sz w:val="15"/>
          <w:szCs w:val="15"/>
          <w:color w:val="008000"/>
        </w:rPr>
      </w:pPr>
    </w:p>
    <w:p>
      <w:pPr>
        <w:jc w:val="both"/>
        <w:ind w:left="40" w:right="100" w:firstLine="5"/>
        <w:spacing w:after="0" w:line="239"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Professional Partners changed its name to PWP AmCo Professionals LP ("AmCo Professionals") in connection with the Division. In the Division, (i) 40,467,075 shares of Issuer Class B-1 common stock ("Class B-1 Shares") previously held by Professional Partners were allocated to the Reporting Person, a Delaware limited partnership, and (ii) 40,467,075 PWP OpCo Units (as defined below) previously held by Professional Partners were allocated to AdCo Professionals. This Division did not involve any purchase or sale of Issuer securities.</w:t>
      </w:r>
    </w:p>
    <w:p>
      <w:pPr>
        <w:spacing w:after="0" w:line="33" w:lineRule="exact"/>
        <w:rPr>
          <w:rFonts w:ascii="Times New Roman" w:cs="Times New Roman" w:eastAsia="Times New Roman" w:hAnsi="Times New Roman"/>
          <w:sz w:val="15"/>
          <w:szCs w:val="15"/>
          <w:color w:val="008000"/>
        </w:rPr>
      </w:pPr>
    </w:p>
    <w:p>
      <w:pPr>
        <w:ind w:left="40" w:right="40" w:firstLine="5"/>
        <w:spacing w:after="0" w:line="236"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PWP OpCo Common Units (which represent Class A partnership units of PWP Holdings LP) ("PWP OpCo Units") held by AdCo Professionals and partners other than the Issuer can be exchanged for Issuer stock or cash on certain dates. Concurrently with an exchange of PWP OpCo Units for shares of Issuer Class A common stock ("Class A Shares") or cash by an exchanging PWP Holdings LP unitholder ("Unitholder"), such Unitholder will be required to surrender to the Issuer a number of Class B-1 Shares equal to the number of PWP OpCo Units exchanged, and such Class B-1 Shares will be converted into Class A Shares or, at the option of the Issuer, an equivalent amount of cash, which will be delivered to such Unitholder at a conversion rate of 0.001 Class A Share for one Class B-1 Share. VoteCo Professionals will distribute such Class B-1 Shares to the applicable Unitholder immediately prior to any such exchange.</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jc w:val="both"/>
        <w:ind w:left="40" w:right="80"/>
        <w:spacing w:after="0" w:line="244" w:lineRule="auto"/>
        <w:rPr>
          <w:sz w:val="20"/>
          <w:szCs w:val="20"/>
          <w:color w:val="auto"/>
        </w:rPr>
      </w:pPr>
      <w:r>
        <w:rPr>
          <w:rFonts w:ascii="Times New Roman" w:cs="Times New Roman" w:eastAsia="Times New Roman" w:hAnsi="Times New Roman"/>
          <w:sz w:val="15"/>
          <w:szCs w:val="15"/>
          <w:color w:val="008000"/>
        </w:rPr>
        <w:t>Solely for purposes of Section 16 of the Securities Exchange Act of 1934, as amended, the Reporting Person may be deemed a director by deputization with respect to the Issuer by virtue of the Reporting Person's right to designate a majority of the Issuer's board of directors, subject to certain conditions, pursuant to the Stockholder's Agreement, dated June 24, 2021, by and between the Issuer and the Reporting Person.</w:t>
      </w:r>
    </w:p>
    <w:p>
      <w:pPr>
        <w:spacing w:after="0" w:line="39"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7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6"/>
              </w:rPr>
              <w:t>/s/ Mark Polemeni, as</w:t>
            </w:r>
          </w:p>
        </w:tc>
        <w:tc>
          <w:tcPr>
            <w:tcW w:w="480" w:type="dxa"/>
            <w:vAlign w:val="bottom"/>
          </w:tcPr>
          <w:p>
            <w:pPr>
              <w:spacing w:after="0"/>
              <w:rPr>
                <w:sz w:val="19"/>
                <w:szCs w:val="19"/>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01/09/2024</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460" w:type="dxa"/>
            <w:vAlign w:val="bottom"/>
            <w:vMerge w:val="restart"/>
          </w:tcPr>
          <w:p>
            <w:pPr>
              <w:spacing w:after="0" w:line="220" w:lineRule="exact"/>
              <w:rPr>
                <w:sz w:val="20"/>
                <w:szCs w:val="20"/>
                <w:color w:val="auto"/>
              </w:rPr>
            </w:pPr>
            <w:r>
              <w:rPr>
                <w:rFonts w:ascii="Times New Roman" w:cs="Times New Roman" w:eastAsia="Times New Roman" w:hAnsi="Times New Roman"/>
                <w:sz w:val="20"/>
                <w:szCs w:val="20"/>
                <w:color w:val="0000FF"/>
                <w:w w:val="96"/>
              </w:rPr>
              <w:t>Authorized Person</w:t>
            </w:r>
          </w:p>
        </w:tc>
        <w:tc>
          <w:tcPr>
            <w:tcW w:w="720" w:type="dxa"/>
            <w:vAlign w:val="bottom"/>
            <w:gridSpan w:val="2"/>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460" w:type="dxa"/>
            <w:vAlign w:val="bottom"/>
            <w:tcBorders>
              <w:bottom w:val="single" w:sz="8" w:color="auto"/>
            </w:tcBorders>
            <w:vMerge w:val="continue"/>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40"/>
      </w:cols>
      <w:pgMar w:left="480" w:top="230" w:right="479" w:bottom="535"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2006612" TargetMode="External"/><Relationship Id="rId11" Type="http://schemas.openxmlformats.org/officeDocument/2006/relationships/hyperlink" Target="http://www.sec.gov/cgi-bin/browse-edgar?action=getcompany&amp;CIK=000177783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2024-01-09T20:43:19Z</dcterms:created>
  <dcterms:modified xsi:type="dcterms:W3CDTF">2024-01-09T20:43:19Z</dcterms:modified>
</cp:coreProperties>
</file>