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7, 2025</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2025, Perella Weinberg Partners (the “Company”) issued a press release announcing its financial results for the third quarter ended September 30, 2025.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November 7, 2025</w:t>
            </w:r>
          </w:p>
        </w:tc>
        <w:tc>
          <w:tcPr>
            <w:tcW w:w="532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3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2025</w:t>
      </w:r>
    </w:p>
    <w:p>
      <w:pPr>
        <w:sectPr>
          <w:pgSz w:w="11900" w:h="16838" w:orient="portrait"/>
          <w:cols w:equalWidth="0" w:num="1">
            <w:col w:w="10920"/>
          </w:cols>
          <w:pgMar w:left="320" w:top="779"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89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27"/>
          <w:szCs w:val="27"/>
          <w:color w:val="auto"/>
        </w:rPr>
        <w:t>Perella Weinberg Reports Third Quarter 2025 Results</w:t>
      </w:r>
    </w:p>
    <w:p>
      <w:pPr>
        <w:spacing w:after="0" w:line="34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Third Quarter</w:t>
      </w:r>
    </w:p>
    <w:p>
      <w:pPr>
        <w:spacing w:after="0" w:line="123"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Revenues of $165 Million, Down 41% From a Record a Year Ago</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Adjusted Pre-Tax Income of $20 Million, GAAP Pre-Tax Income of $12 Million</w:t>
      </w:r>
    </w:p>
    <w:p>
      <w:pPr>
        <w:spacing w:after="0" w:line="107" w:lineRule="exact"/>
        <w:rPr>
          <w:rFonts w:ascii="Arial" w:cs="Arial" w:eastAsia="Arial" w:hAnsi="Arial"/>
          <w:sz w:val="20"/>
          <w:szCs w:val="20"/>
          <w:i w:val="1"/>
          <w:iCs w:val="1"/>
          <w:color w:val="auto"/>
        </w:rPr>
      </w:pPr>
    </w:p>
    <w:p>
      <w:pPr>
        <w:ind w:left="560" w:hanging="309"/>
        <w:spacing w:after="0"/>
        <w:tabs>
          <w:tab w:leader="none" w:pos="56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Adjusted EPS of $0.13; GAAP Diluted EPS of $0.08</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Nine Months</w:t>
      </w:r>
    </w:p>
    <w:p>
      <w:pPr>
        <w:spacing w:after="0" w:line="110" w:lineRule="exact"/>
        <w:rPr>
          <w:sz w:val="20"/>
          <w:szCs w:val="20"/>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Revenues of $532 Million, Down 18% From a Record a Year Ago</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Adjusted Pre-Tax Income of $53 Million, GAAP Pre-Tax Income of $30 Million</w:t>
      </w:r>
    </w:p>
    <w:p>
      <w:pPr>
        <w:spacing w:after="0" w:line="107" w:lineRule="exact"/>
        <w:rPr>
          <w:rFonts w:ascii="Arial" w:cs="Arial" w:eastAsia="Arial" w:hAnsi="Arial"/>
          <w:sz w:val="20"/>
          <w:szCs w:val="20"/>
          <w:i w:val="1"/>
          <w:iCs w:val="1"/>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Adjusted EPS of $0.51; GAAP Diluted EPS of $0.37</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Talent Investment</w:t>
      </w:r>
    </w:p>
    <w:p>
      <w:pPr>
        <w:spacing w:after="0" w:line="123" w:lineRule="exact"/>
        <w:rPr>
          <w:sz w:val="20"/>
          <w:szCs w:val="20"/>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Year-to-Date Added Twelve Partners and Nine Managing Directors</w:t>
      </w:r>
    </w:p>
    <w:p>
      <w:pPr>
        <w:spacing w:after="0" w:line="107" w:lineRule="exact"/>
        <w:rPr>
          <w:rFonts w:ascii="Arial" w:cs="Arial" w:eastAsia="Arial" w:hAnsi="Arial"/>
          <w:sz w:val="20"/>
          <w:szCs w:val="20"/>
          <w:i w:val="1"/>
          <w:iCs w:val="1"/>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Two Additional Partners and Two Additional Managing Directors to Join Firm in Coming Months</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Closed Acquisition of Devon Park Advisors</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Capital Management</w:t>
      </w:r>
    </w:p>
    <w:p>
      <w:pPr>
        <w:spacing w:after="0" w:line="123" w:lineRule="exact"/>
        <w:rPr>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Strong Balance Sheet with $186 Million of Cash and No Debt</w:t>
      </w:r>
    </w:p>
    <w:p>
      <w:pPr>
        <w:spacing w:after="0" w:line="121" w:lineRule="exact"/>
        <w:rPr>
          <w:rFonts w:ascii="Arial" w:cs="Arial" w:eastAsia="Arial" w:hAnsi="Arial"/>
          <w:sz w:val="20"/>
          <w:szCs w:val="20"/>
          <w:i w:val="1"/>
          <w:iCs w:val="1"/>
          <w:color w:val="auto"/>
        </w:rPr>
      </w:pPr>
    </w:p>
    <w:p>
      <w:pPr>
        <w:ind w:left="580" w:hanging="329"/>
        <w:spacing w:after="0" w:line="271" w:lineRule="auto"/>
        <w:tabs>
          <w:tab w:leader="none" w:pos="568"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Year-to-Date Retired More Than Six Million Shares and Share Equivalents through Purchase, Exchange and Net Settlement</w:t>
      </w:r>
    </w:p>
    <w:p>
      <w:pPr>
        <w:spacing w:after="0" w:line="61" w:lineRule="exact"/>
        <w:rPr>
          <w:rFonts w:ascii="Arial" w:cs="Arial" w:eastAsia="Arial" w:hAnsi="Arial"/>
          <w:sz w:val="20"/>
          <w:szCs w:val="20"/>
          <w:i w:val="1"/>
          <w:iCs w:val="1"/>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Year-to-Date have Returned More than $157 Million in Aggregate to Equity Holders</w:t>
      </w:r>
    </w:p>
    <w:p>
      <w:pPr>
        <w:spacing w:after="0" w:line="107"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Declared Quarterly Dividend of $0.07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8890"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240" w:right="140"/>
        <w:spacing w:after="0" w:line="320" w:lineRule="auto"/>
        <w:rPr>
          <w:sz w:val="20"/>
          <w:szCs w:val="20"/>
          <w:color w:val="auto"/>
        </w:rPr>
      </w:pPr>
      <w:r>
        <w:rPr>
          <w:rFonts w:ascii="Arial" w:cs="Arial" w:eastAsia="Arial" w:hAnsi="Arial"/>
          <w:sz w:val="20"/>
          <w:szCs w:val="20"/>
          <w:color w:val="auto"/>
        </w:rPr>
        <w:t>“Our strategic investments this year — adding 25 senior bankers and closing the Devon Park acquisition — position us well in an increasingly active transaction environment and demonstrate our commitment to build scale. We’ve hired in some of the most attractive sectors in our markets, with a singular focus on providing the best strategic and financial advice to our clients,” stated Andrew Bednar, Chief Executive Officer.</w:t>
      </w:r>
    </w:p>
    <w:p>
      <w:pPr>
        <w:spacing w:after="0" w:line="200" w:lineRule="exact"/>
        <w:rPr>
          <w:sz w:val="20"/>
          <w:szCs w:val="20"/>
          <w:color w:val="auto"/>
        </w:rPr>
      </w:pPr>
    </w:p>
    <w:p>
      <w:pPr>
        <w:spacing w:after="0" w:line="232" w:lineRule="exact"/>
        <w:rPr>
          <w:sz w:val="20"/>
          <w:szCs w:val="20"/>
          <w:color w:val="auto"/>
        </w:rPr>
      </w:pPr>
    </w:p>
    <w:p>
      <w:pPr>
        <w:ind w:right="200"/>
        <w:spacing w:after="0" w:line="344" w:lineRule="auto"/>
        <w:rPr>
          <w:sz w:val="20"/>
          <w:szCs w:val="20"/>
          <w:color w:val="auto"/>
        </w:rPr>
      </w:pPr>
      <w:r>
        <w:rPr>
          <w:rFonts w:ascii="Arial" w:cs="Arial" w:eastAsia="Arial" w:hAnsi="Arial"/>
          <w:sz w:val="20"/>
          <w:szCs w:val="20"/>
          <w:b w:val="1"/>
          <w:bCs w:val="1"/>
          <w:color w:val="auto"/>
        </w:rPr>
        <w:t xml:space="preserve">NEW YORK, NY, November 7, 2025 </w:t>
      </w:r>
      <w:r>
        <w:rPr>
          <w:rFonts w:ascii="Arial" w:cs="Arial" w:eastAsia="Arial" w:hAnsi="Arial"/>
          <w:sz w:val="20"/>
          <w:szCs w:val="20"/>
          <w:color w:val="auto"/>
        </w:rPr>
        <w:t>– Perella Weinberg Partners (the “Firm,” “Perella Weinberg,” or “PWP”) (NASDAQ:PWP)</w:t>
      </w:r>
      <w:r>
        <w:rPr>
          <w:rFonts w:ascii="Arial" w:cs="Arial" w:eastAsia="Arial" w:hAnsi="Arial"/>
          <w:sz w:val="20"/>
          <w:szCs w:val="20"/>
          <w:b w:val="1"/>
          <w:bCs w:val="1"/>
          <w:color w:val="auto"/>
        </w:rPr>
        <w:t xml:space="preserve"> </w:t>
      </w:r>
      <w:r>
        <w:rPr>
          <w:rFonts w:ascii="Arial" w:cs="Arial" w:eastAsia="Arial" w:hAnsi="Arial"/>
          <w:sz w:val="20"/>
          <w:szCs w:val="20"/>
          <w:color w:val="auto"/>
        </w:rPr>
        <w:t>today reported financial results for the third quarter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8" w:right="339" w:bottom="1440" w:gutter="0" w:footer="0" w:header="0"/>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Revenues</w:t>
      </w:r>
    </w:p>
    <w:p>
      <w:pPr>
        <w:spacing w:after="0" w:line="312"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For the third quarter of 2025, revenues were $164.6 million, a decrease of 41% from a record $278.2 million reported in the third quarter of 2024, driven by fewer closings in M&amp;A. For the nine months ended September 30, 2025, revenues were $531.7 million, a decrease of 18% from a record $652.4 million for the nine months ended September 30, 2024, driven by fewer closings in M&amp;A partially offset by increased contribution from restructuring and liability management.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Expenses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0" w:type="dxa"/>
            <w:vAlign w:val="bottom"/>
            <w:gridSpan w:val="8"/>
          </w:tcPr>
          <w:p>
            <w:pPr>
              <w:ind w:left="420"/>
              <w:spacing w:after="0"/>
              <w:rPr>
                <w:sz w:val="20"/>
                <w:szCs w:val="20"/>
                <w:color w:val="auto"/>
              </w:rPr>
            </w:pPr>
            <w:r>
              <w:rPr>
                <w:rFonts w:ascii="Arial" w:cs="Arial" w:eastAsia="Arial" w:hAnsi="Arial"/>
                <w:sz w:val="18"/>
                <w:szCs w:val="18"/>
                <w:b w:val="1"/>
                <w:bCs w:val="1"/>
                <w:color w:val="503C64"/>
              </w:rPr>
              <w:t>Three Months Ended September 30,</w:t>
            </w:r>
          </w:p>
        </w:tc>
        <w:tc>
          <w:tcPr>
            <w:tcW w:w="240" w:type="dxa"/>
            <w:vAlign w:val="bottom"/>
          </w:tcPr>
          <w:p>
            <w:pPr>
              <w:spacing w:after="0"/>
              <w:rPr>
                <w:sz w:val="20"/>
                <w:szCs w:val="20"/>
                <w:color w:val="auto"/>
              </w:rPr>
            </w:pPr>
          </w:p>
        </w:tc>
        <w:tc>
          <w:tcPr>
            <w:tcW w:w="4180" w:type="dxa"/>
            <w:vAlign w:val="bottom"/>
            <w:gridSpan w:val="7"/>
          </w:tcPr>
          <w:p>
            <w:pPr>
              <w:ind w:left="500"/>
              <w:spacing w:after="0"/>
              <w:rPr>
                <w:sz w:val="20"/>
                <w:szCs w:val="20"/>
                <w:color w:val="auto"/>
              </w:rPr>
            </w:pPr>
            <w:r>
              <w:rPr>
                <w:rFonts w:ascii="Arial" w:cs="Arial" w:eastAsia="Arial" w:hAnsi="Arial"/>
                <w:sz w:val="18"/>
                <w:szCs w:val="18"/>
                <w:b w:val="1"/>
                <w:bCs w:val="1"/>
                <w:color w:val="503C64"/>
              </w:rPr>
              <w:t>Nine Months Ended September 30,</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B6B6B6"/>
            </w:tcBorders>
          </w:tcPr>
          <w:p>
            <w:pPr>
              <w:spacing w:after="0"/>
              <w:rPr>
                <w:sz w:val="19"/>
                <w:szCs w:val="19"/>
                <w:color w:val="auto"/>
              </w:rPr>
            </w:pPr>
          </w:p>
        </w:tc>
        <w:tc>
          <w:tcPr>
            <w:tcW w:w="240" w:type="dxa"/>
            <w:vAlign w:val="bottom"/>
            <w:tcBorders>
              <w:top w:val="single" w:sz="8" w:color="B6B6B6"/>
              <w:bottom w:val="single" w:sz="8" w:color="B6B6B6"/>
            </w:tcBorders>
          </w:tcPr>
          <w:p>
            <w:pPr>
              <w:spacing w:after="0"/>
              <w:rPr>
                <w:sz w:val="19"/>
                <w:szCs w:val="19"/>
                <w:color w:val="auto"/>
              </w:rPr>
            </w:pPr>
          </w:p>
        </w:tc>
        <w:tc>
          <w:tcPr>
            <w:tcW w:w="1140" w:type="dxa"/>
            <w:vAlign w:val="bottom"/>
            <w:tcBorders>
              <w:top w:val="single" w:sz="8" w:color="B6B6B6"/>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2025</w:t>
            </w:r>
          </w:p>
        </w:tc>
        <w:tc>
          <w:tcPr>
            <w:tcW w:w="940" w:type="dxa"/>
            <w:vAlign w:val="bottom"/>
            <w:tcBorders>
              <w:top w:val="single" w:sz="8" w:color="B6B6B6"/>
              <w:bottom w:val="single" w:sz="8" w:color="B6B6B6"/>
            </w:tcBorders>
          </w:tcPr>
          <w:p>
            <w:pPr>
              <w:spacing w:after="0"/>
              <w:rPr>
                <w:sz w:val="19"/>
                <w:szCs w:val="19"/>
                <w:color w:val="auto"/>
              </w:rPr>
            </w:pPr>
          </w:p>
        </w:tc>
        <w:tc>
          <w:tcPr>
            <w:tcW w:w="240" w:type="dxa"/>
            <w:vAlign w:val="bottom"/>
            <w:tcBorders>
              <w:top w:val="single" w:sz="8" w:color="B6B6B6"/>
              <w:bottom w:val="single" w:sz="8" w:color="B6B6B6"/>
            </w:tcBorders>
          </w:tcPr>
          <w:p>
            <w:pPr>
              <w:spacing w:after="0"/>
              <w:rPr>
                <w:sz w:val="19"/>
                <w:szCs w:val="19"/>
                <w:color w:val="auto"/>
              </w:rPr>
            </w:pPr>
          </w:p>
        </w:tc>
        <w:tc>
          <w:tcPr>
            <w:tcW w:w="1020" w:type="dxa"/>
            <w:vAlign w:val="bottom"/>
            <w:tcBorders>
              <w:top w:val="single" w:sz="8" w:color="B6B6B6"/>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2024</w:t>
            </w:r>
          </w:p>
        </w:tc>
        <w:tc>
          <w:tcPr>
            <w:tcW w:w="780" w:type="dxa"/>
            <w:vAlign w:val="bottom"/>
            <w:tcBorders>
              <w:top w:val="single" w:sz="8" w:color="B6B6B6"/>
              <w:bottom w:val="single" w:sz="8" w:color="B6B6B6"/>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240" w:type="dxa"/>
            <w:vAlign w:val="bottom"/>
            <w:tcBorders>
              <w:top w:val="single" w:sz="8" w:color="B6B6B6"/>
              <w:bottom w:val="single" w:sz="8" w:color="B6B6B6"/>
            </w:tcBorders>
          </w:tcPr>
          <w:p>
            <w:pPr>
              <w:spacing w:after="0"/>
              <w:rPr>
                <w:sz w:val="19"/>
                <w:szCs w:val="19"/>
                <w:color w:val="auto"/>
              </w:rPr>
            </w:pPr>
          </w:p>
        </w:tc>
        <w:tc>
          <w:tcPr>
            <w:tcW w:w="1180" w:type="dxa"/>
            <w:vAlign w:val="bottom"/>
            <w:tcBorders>
              <w:top w:val="single" w:sz="8" w:color="B6B6B6"/>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2025</w:t>
            </w:r>
          </w:p>
        </w:tc>
        <w:tc>
          <w:tcPr>
            <w:tcW w:w="940" w:type="dxa"/>
            <w:vAlign w:val="bottom"/>
            <w:tcBorders>
              <w:top w:val="single" w:sz="8" w:color="B6B6B6"/>
              <w:bottom w:val="single" w:sz="8" w:color="B6B6B6"/>
            </w:tcBorders>
          </w:tcPr>
          <w:p>
            <w:pPr>
              <w:spacing w:after="0"/>
              <w:rPr>
                <w:sz w:val="19"/>
                <w:szCs w:val="19"/>
                <w:color w:val="auto"/>
              </w:rPr>
            </w:pPr>
          </w:p>
        </w:tc>
        <w:tc>
          <w:tcPr>
            <w:tcW w:w="240" w:type="dxa"/>
            <w:vAlign w:val="bottom"/>
            <w:tcBorders>
              <w:top w:val="single" w:sz="8" w:color="B6B6B6"/>
              <w:bottom w:val="single" w:sz="8" w:color="B6B6B6"/>
            </w:tcBorders>
          </w:tcPr>
          <w:p>
            <w:pPr>
              <w:spacing w:after="0"/>
              <w:rPr>
                <w:sz w:val="19"/>
                <w:szCs w:val="19"/>
                <w:color w:val="auto"/>
              </w:rPr>
            </w:pPr>
          </w:p>
        </w:tc>
        <w:tc>
          <w:tcPr>
            <w:tcW w:w="1020" w:type="dxa"/>
            <w:vAlign w:val="bottom"/>
            <w:tcBorders>
              <w:top w:val="single" w:sz="8" w:color="B6B6B6"/>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2024</w:t>
            </w:r>
          </w:p>
        </w:tc>
        <w:tc>
          <w:tcPr>
            <w:tcW w:w="800" w:type="dxa"/>
            <w:vAlign w:val="bottom"/>
            <w:tcBorders>
              <w:top w:val="single" w:sz="8" w:color="B6B6B6"/>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300" w:type="dxa"/>
            <w:vAlign w:val="bottom"/>
            <w:vMerge w:val="restart"/>
          </w:tcPr>
          <w:p>
            <w:pPr>
              <w:jc w:val="center"/>
              <w:ind w:right="450"/>
              <w:spacing w:after="0"/>
              <w:rPr>
                <w:sz w:val="20"/>
                <w:szCs w:val="20"/>
                <w:color w:val="auto"/>
              </w:rPr>
            </w:pPr>
            <w:r>
              <w:rPr>
                <w:rFonts w:ascii="Arial" w:cs="Arial" w:eastAsia="Arial" w:hAnsi="Arial"/>
                <w:sz w:val="18"/>
                <w:szCs w:val="18"/>
                <w:b w:val="1"/>
                <w:bCs w:val="1"/>
                <w:color w:val="auto"/>
                <w:w w:val="99"/>
              </w:rPr>
              <w:t>Operating expenses</w:t>
            </w:r>
          </w:p>
        </w:tc>
        <w:tc>
          <w:tcPr>
            <w:tcW w:w="240" w:type="dxa"/>
            <w:vAlign w:val="bottom"/>
          </w:tcPr>
          <w:p>
            <w:pPr>
              <w:spacing w:after="0"/>
              <w:rPr>
                <w:sz w:val="16"/>
                <w:szCs w:val="16"/>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503C64"/>
              </w:rPr>
              <w:t>GAAP</w:t>
            </w:r>
          </w:p>
        </w:tc>
        <w:tc>
          <w:tcPr>
            <w:tcW w:w="240" w:type="dxa"/>
            <w:vAlign w:val="bottom"/>
          </w:tcPr>
          <w:p>
            <w:pPr>
              <w:spacing w:after="0"/>
              <w:rPr>
                <w:sz w:val="16"/>
                <w:szCs w:val="16"/>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503C64"/>
              </w:rPr>
              <w:t>Adjusted</w:t>
            </w:r>
          </w:p>
        </w:tc>
        <w:tc>
          <w:tcPr>
            <w:tcW w:w="240" w:type="dxa"/>
            <w:vAlign w:val="bottom"/>
          </w:tcPr>
          <w:p>
            <w:pPr>
              <w:spacing w:after="0"/>
              <w:rPr>
                <w:sz w:val="16"/>
                <w:szCs w:val="16"/>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503C64"/>
              </w:rPr>
              <w:t>GAAP</w:t>
            </w:r>
          </w:p>
        </w:tc>
        <w:tc>
          <w:tcPr>
            <w:tcW w:w="26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503C64"/>
              </w:rPr>
              <w:t>Adjusted</w:t>
            </w:r>
          </w:p>
        </w:tc>
        <w:tc>
          <w:tcPr>
            <w:tcW w:w="240" w:type="dxa"/>
            <w:vAlign w:val="bottom"/>
          </w:tcPr>
          <w:p>
            <w:pPr>
              <w:spacing w:after="0"/>
              <w:rPr>
                <w:sz w:val="16"/>
                <w:szCs w:val="16"/>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503C64"/>
              </w:rPr>
              <w:t>GAAP</w:t>
            </w:r>
          </w:p>
        </w:tc>
        <w:tc>
          <w:tcPr>
            <w:tcW w:w="260" w:type="dxa"/>
            <w:vAlign w:val="bottom"/>
          </w:tcPr>
          <w:p>
            <w:pPr>
              <w:spacing w:after="0"/>
              <w:rPr>
                <w:sz w:val="16"/>
                <w:szCs w:val="16"/>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503C64"/>
              </w:rPr>
              <w:t>Adjusted</w:t>
            </w:r>
          </w:p>
        </w:tc>
        <w:tc>
          <w:tcPr>
            <w:tcW w:w="240" w:type="dxa"/>
            <w:vAlign w:val="bottom"/>
          </w:tcPr>
          <w:p>
            <w:pPr>
              <w:spacing w:after="0"/>
              <w:rPr>
                <w:sz w:val="16"/>
                <w:szCs w:val="16"/>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503C64"/>
              </w:rPr>
              <w:t>GAAP</w:t>
            </w:r>
          </w:p>
        </w:tc>
        <w:tc>
          <w:tcPr>
            <w:tcW w:w="260" w:type="dxa"/>
            <w:vAlign w:val="bottom"/>
          </w:tcPr>
          <w:p>
            <w:pPr>
              <w:spacing w:after="0"/>
              <w:rPr>
                <w:sz w:val="16"/>
                <w:szCs w:val="16"/>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503C64"/>
              </w:rPr>
              <w:t>Adjusted</w:t>
            </w:r>
          </w:p>
        </w:tc>
        <w:tc>
          <w:tcPr>
            <w:tcW w:w="0" w:type="dxa"/>
            <w:vAlign w:val="bottom"/>
          </w:tcPr>
          <w:p>
            <w:pPr>
              <w:spacing w:after="0"/>
              <w:rPr>
                <w:sz w:val="1"/>
                <w:szCs w:val="1"/>
                <w:color w:val="auto"/>
              </w:rPr>
            </w:pPr>
          </w:p>
        </w:tc>
      </w:tr>
      <w:tr>
        <w:trPr>
          <w:trHeight w:val="205"/>
        </w:trPr>
        <w:tc>
          <w:tcPr>
            <w:tcW w:w="2300" w:type="dxa"/>
            <w:vAlign w:val="bottom"/>
            <w:vMerge w:val="continue"/>
          </w:tcPr>
          <w:p>
            <w:pPr>
              <w:spacing w:after="0"/>
              <w:rPr>
                <w:sz w:val="17"/>
                <w:szCs w:val="17"/>
                <w:color w:val="auto"/>
              </w:rPr>
            </w:pPr>
          </w:p>
        </w:tc>
        <w:tc>
          <w:tcPr>
            <w:tcW w:w="240" w:type="dxa"/>
            <w:vAlign w:val="bottom"/>
            <w:tcBorders>
              <w:top w:val="single" w:sz="8" w:color="B6B6B6"/>
            </w:tcBorders>
          </w:tcPr>
          <w:p>
            <w:pPr>
              <w:spacing w:after="0"/>
              <w:rPr>
                <w:sz w:val="17"/>
                <w:szCs w:val="17"/>
                <w:color w:val="auto"/>
              </w:rPr>
            </w:pPr>
          </w:p>
        </w:tc>
        <w:tc>
          <w:tcPr>
            <w:tcW w:w="900" w:type="dxa"/>
            <w:vAlign w:val="bottom"/>
            <w:tcBorders>
              <w:top w:val="single" w:sz="8" w:color="B6B6B6"/>
            </w:tcBorders>
          </w:tcPr>
          <w:p>
            <w:pPr>
              <w:spacing w:after="0"/>
              <w:rPr>
                <w:sz w:val="17"/>
                <w:szCs w:val="17"/>
                <w:color w:val="auto"/>
              </w:rPr>
            </w:pPr>
          </w:p>
        </w:tc>
        <w:tc>
          <w:tcPr>
            <w:tcW w:w="240" w:type="dxa"/>
            <w:vAlign w:val="bottom"/>
            <w:tcBorders>
              <w:top w:val="single" w:sz="8" w:color="B6B6B6"/>
            </w:tcBorders>
          </w:tcPr>
          <w:p>
            <w:pPr>
              <w:spacing w:after="0"/>
              <w:rPr>
                <w:sz w:val="17"/>
                <w:szCs w:val="17"/>
                <w:color w:val="auto"/>
              </w:rPr>
            </w:pPr>
          </w:p>
        </w:tc>
        <w:tc>
          <w:tcPr>
            <w:tcW w:w="1940" w:type="dxa"/>
            <w:vAlign w:val="bottom"/>
            <w:tcBorders>
              <w:top w:val="single" w:sz="8" w:color="B6B6B6"/>
            </w:tcBorders>
            <w:gridSpan w:val="3"/>
          </w:tcPr>
          <w:p>
            <w:pPr>
              <w:jc w:val="right"/>
              <w:ind w:right="393"/>
              <w:spacing w:after="0"/>
              <w:rPr>
                <w:sz w:val="20"/>
                <w:szCs w:val="20"/>
                <w:color w:val="auto"/>
              </w:rPr>
            </w:pPr>
            <w:r>
              <w:rPr>
                <w:rFonts w:ascii="Arial" w:cs="Arial" w:eastAsia="Arial" w:hAnsi="Arial"/>
                <w:sz w:val="14"/>
                <w:szCs w:val="14"/>
                <w:b w:val="1"/>
                <w:bCs w:val="1"/>
                <w:color w:val="503C64"/>
              </w:rPr>
              <w:t>(Dollars in Millions)</w:t>
            </w:r>
          </w:p>
        </w:tc>
        <w:tc>
          <w:tcPr>
            <w:tcW w:w="260" w:type="dxa"/>
            <w:vAlign w:val="bottom"/>
            <w:tcBorders>
              <w:top w:val="single" w:sz="8" w:color="B6B6B6"/>
            </w:tcBorders>
          </w:tcPr>
          <w:p>
            <w:pPr>
              <w:spacing w:after="0"/>
              <w:rPr>
                <w:sz w:val="17"/>
                <w:szCs w:val="17"/>
                <w:color w:val="auto"/>
              </w:rPr>
            </w:pPr>
          </w:p>
        </w:tc>
        <w:tc>
          <w:tcPr>
            <w:tcW w:w="780" w:type="dxa"/>
            <w:vAlign w:val="bottom"/>
            <w:tcBorders>
              <w:top w:val="single" w:sz="8" w:color="B6B6B6"/>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B6B6B6"/>
            </w:tcBorders>
          </w:tcPr>
          <w:p>
            <w:pPr>
              <w:spacing w:after="0"/>
              <w:rPr>
                <w:sz w:val="17"/>
                <w:szCs w:val="17"/>
                <w:color w:val="auto"/>
              </w:rPr>
            </w:pPr>
          </w:p>
        </w:tc>
        <w:tc>
          <w:tcPr>
            <w:tcW w:w="920" w:type="dxa"/>
            <w:vAlign w:val="bottom"/>
            <w:tcBorders>
              <w:top w:val="single" w:sz="8" w:color="B6B6B6"/>
            </w:tcBorders>
          </w:tcPr>
          <w:p>
            <w:pPr>
              <w:spacing w:after="0"/>
              <w:rPr>
                <w:sz w:val="17"/>
                <w:szCs w:val="17"/>
                <w:color w:val="auto"/>
              </w:rPr>
            </w:pPr>
          </w:p>
        </w:tc>
        <w:tc>
          <w:tcPr>
            <w:tcW w:w="260" w:type="dxa"/>
            <w:vAlign w:val="bottom"/>
            <w:tcBorders>
              <w:top w:val="single" w:sz="8" w:color="B6B6B6"/>
            </w:tcBorders>
          </w:tcPr>
          <w:p>
            <w:pPr>
              <w:spacing w:after="0"/>
              <w:rPr>
                <w:sz w:val="17"/>
                <w:szCs w:val="17"/>
                <w:color w:val="auto"/>
              </w:rPr>
            </w:pPr>
          </w:p>
        </w:tc>
        <w:tc>
          <w:tcPr>
            <w:tcW w:w="1940" w:type="dxa"/>
            <w:vAlign w:val="bottom"/>
            <w:tcBorders>
              <w:top w:val="single" w:sz="8" w:color="B6B6B6"/>
            </w:tcBorders>
            <w:gridSpan w:val="3"/>
          </w:tcPr>
          <w:p>
            <w:pPr>
              <w:jc w:val="right"/>
              <w:ind w:right="393"/>
              <w:spacing w:after="0"/>
              <w:rPr>
                <w:sz w:val="20"/>
                <w:szCs w:val="20"/>
                <w:color w:val="auto"/>
              </w:rPr>
            </w:pPr>
            <w:r>
              <w:rPr>
                <w:rFonts w:ascii="Arial" w:cs="Arial" w:eastAsia="Arial" w:hAnsi="Arial"/>
                <w:sz w:val="14"/>
                <w:szCs w:val="14"/>
                <w:b w:val="1"/>
                <w:bCs w:val="1"/>
                <w:color w:val="503C64"/>
              </w:rPr>
              <w:t>(Dollars in Millions)</w:t>
            </w:r>
          </w:p>
        </w:tc>
        <w:tc>
          <w:tcPr>
            <w:tcW w:w="260" w:type="dxa"/>
            <w:vAlign w:val="bottom"/>
            <w:tcBorders>
              <w:top w:val="single" w:sz="8" w:color="B6B6B6"/>
            </w:tcBorders>
          </w:tcPr>
          <w:p>
            <w:pPr>
              <w:spacing w:after="0"/>
              <w:rPr>
                <w:sz w:val="17"/>
                <w:szCs w:val="17"/>
                <w:color w:val="auto"/>
              </w:rPr>
            </w:pPr>
          </w:p>
        </w:tc>
        <w:tc>
          <w:tcPr>
            <w:tcW w:w="800" w:type="dxa"/>
            <w:vAlign w:val="bottom"/>
            <w:tcBorders>
              <w:top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300" w:type="dxa"/>
            <w:vAlign w:val="bottom"/>
          </w:tcPr>
          <w:p>
            <w:pPr>
              <w:ind w:left="120"/>
              <w:spacing w:after="0" w:line="181" w:lineRule="exact"/>
              <w:rPr>
                <w:sz w:val="20"/>
                <w:szCs w:val="20"/>
                <w:color w:val="auto"/>
              </w:rPr>
            </w:pPr>
            <w:r>
              <w:rPr>
                <w:rFonts w:ascii="Arial" w:cs="Arial" w:eastAsia="Arial" w:hAnsi="Arial"/>
                <w:sz w:val="18"/>
                <w:szCs w:val="18"/>
                <w:color w:val="auto"/>
              </w:rPr>
              <w:t>Total compensation and</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73"/>
              <w:spacing w:after="0"/>
              <w:rPr>
                <w:sz w:val="20"/>
                <w:szCs w:val="20"/>
                <w:color w:val="auto"/>
              </w:rPr>
            </w:pPr>
            <w:r>
              <w:rPr>
                <w:rFonts w:ascii="Arial" w:cs="Arial" w:eastAsia="Arial" w:hAnsi="Arial"/>
                <w:sz w:val="18"/>
                <w:szCs w:val="18"/>
                <w:color w:val="auto"/>
              </w:rPr>
              <w:t>116.3</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110.3</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3"/>
              <w:spacing w:after="0"/>
              <w:rPr>
                <w:sz w:val="20"/>
                <w:szCs w:val="20"/>
                <w:color w:val="auto"/>
              </w:rPr>
            </w:pPr>
            <w:r>
              <w:rPr>
                <w:rFonts w:ascii="Arial" w:cs="Arial" w:eastAsia="Arial" w:hAnsi="Arial"/>
                <w:sz w:val="18"/>
                <w:szCs w:val="18"/>
                <w:color w:val="auto"/>
              </w:rPr>
              <w:t>202.3</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34"/>
              <w:spacing w:after="0"/>
              <w:rPr>
                <w:sz w:val="20"/>
                <w:szCs w:val="20"/>
                <w:color w:val="auto"/>
              </w:rPr>
            </w:pPr>
            <w:r>
              <w:rPr>
                <w:rFonts w:ascii="Arial" w:cs="Arial" w:eastAsia="Arial" w:hAnsi="Arial"/>
                <w:sz w:val="18"/>
                <w:szCs w:val="18"/>
                <w:color w:val="auto"/>
              </w:rPr>
              <w:t>189.2</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73"/>
              <w:spacing w:after="0"/>
              <w:rPr>
                <w:sz w:val="20"/>
                <w:szCs w:val="20"/>
                <w:color w:val="auto"/>
              </w:rPr>
            </w:pPr>
            <w:r>
              <w:rPr>
                <w:rFonts w:ascii="Arial" w:cs="Arial" w:eastAsia="Arial" w:hAnsi="Arial"/>
                <w:sz w:val="18"/>
                <w:szCs w:val="18"/>
                <w:color w:val="auto"/>
              </w:rPr>
              <w:t>373.9</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356.3</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3"/>
              <w:spacing w:after="0"/>
              <w:rPr>
                <w:sz w:val="20"/>
                <w:szCs w:val="20"/>
                <w:color w:val="auto"/>
              </w:rPr>
            </w:pPr>
            <w:r>
              <w:rPr>
                <w:rFonts w:ascii="Arial" w:cs="Arial" w:eastAsia="Arial" w:hAnsi="Arial"/>
                <w:sz w:val="18"/>
                <w:szCs w:val="18"/>
                <w:color w:val="auto"/>
              </w:rPr>
              <w:t>628.2</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40"/>
        </w:trPr>
        <w:tc>
          <w:tcPr>
            <w:tcW w:w="2300" w:type="dxa"/>
            <w:vAlign w:val="bottom"/>
          </w:tcPr>
          <w:p>
            <w:pPr>
              <w:ind w:left="20"/>
              <w:spacing w:after="0"/>
              <w:rPr>
                <w:sz w:val="20"/>
                <w:szCs w:val="20"/>
                <w:color w:val="auto"/>
              </w:rPr>
            </w:pPr>
            <w:r>
              <w:rPr>
                <w:rFonts w:ascii="Arial" w:cs="Arial" w:eastAsia="Arial" w:hAnsi="Arial"/>
                <w:sz w:val="18"/>
                <w:szCs w:val="18"/>
                <w:color w:val="auto"/>
              </w:rPr>
              <w:t>benefits</w:t>
            </w: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300" w:type="dxa"/>
            <w:vAlign w:val="bottom"/>
          </w:tcPr>
          <w:p>
            <w:pPr>
              <w:jc w:val="center"/>
              <w:ind w:right="43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71%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67%</w:t>
            </w:r>
          </w:p>
        </w:tc>
        <w:tc>
          <w:tcPr>
            <w:tcW w:w="24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i w:val="1"/>
                <w:iCs w:val="1"/>
                <w:color w:val="auto"/>
              </w:rPr>
              <w:t>73%</w:t>
            </w:r>
          </w:p>
        </w:tc>
        <w:tc>
          <w:tcPr>
            <w:tcW w:w="26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i w:val="1"/>
                <w:iCs w:val="1"/>
                <w:color w:val="auto"/>
              </w:rPr>
              <w:t>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500"/>
              <w:spacing w:after="0"/>
              <w:rPr>
                <w:sz w:val="20"/>
                <w:szCs w:val="20"/>
                <w:color w:val="auto"/>
              </w:rPr>
            </w:pPr>
            <w:r>
              <w:rPr>
                <w:rFonts w:ascii="Arial" w:cs="Arial" w:eastAsia="Arial" w:hAnsi="Arial"/>
                <w:sz w:val="18"/>
                <w:szCs w:val="18"/>
                <w:i w:val="1"/>
                <w:iCs w:val="1"/>
                <w:color w:val="auto"/>
              </w:rPr>
              <w:t>70%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67%</w:t>
            </w:r>
          </w:p>
        </w:tc>
        <w:tc>
          <w:tcPr>
            <w:tcW w:w="24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i w:val="1"/>
                <w:iCs w:val="1"/>
                <w:color w:val="auto"/>
              </w:rPr>
              <w:t>96%</w:t>
            </w:r>
          </w:p>
        </w:tc>
        <w:tc>
          <w:tcPr>
            <w:tcW w:w="2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i w:val="1"/>
                <w:iCs w:val="1"/>
                <w:color w:val="auto"/>
              </w:rPr>
              <w:t>68%</w:t>
            </w:r>
          </w:p>
        </w:tc>
        <w:tc>
          <w:tcPr>
            <w:tcW w:w="0" w:type="dxa"/>
            <w:vAlign w:val="bottom"/>
          </w:tcPr>
          <w:p>
            <w:pPr>
              <w:spacing w:after="0"/>
              <w:rPr>
                <w:sz w:val="1"/>
                <w:szCs w:val="1"/>
                <w:color w:val="auto"/>
              </w:rPr>
            </w:pPr>
          </w:p>
        </w:tc>
      </w:tr>
      <w:tr>
        <w:trPr>
          <w:trHeight w:val="181"/>
        </w:trPr>
        <w:tc>
          <w:tcPr>
            <w:tcW w:w="2300" w:type="dxa"/>
            <w:vAlign w:val="bottom"/>
          </w:tcPr>
          <w:p>
            <w:pPr>
              <w:jc w:val="center"/>
              <w:ind w:right="450"/>
              <w:spacing w:after="0" w:line="181" w:lineRule="exact"/>
              <w:rPr>
                <w:sz w:val="20"/>
                <w:szCs w:val="20"/>
                <w:color w:val="auto"/>
              </w:rPr>
            </w:pPr>
            <w:r>
              <w:rPr>
                <w:rFonts w:ascii="Arial" w:cs="Arial" w:eastAsia="Arial" w:hAnsi="Arial"/>
                <w:sz w:val="18"/>
                <w:szCs w:val="18"/>
                <w:color w:val="auto"/>
              </w:rPr>
              <w:t>Non-compensation</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73"/>
              <w:spacing w:after="0"/>
              <w:rPr>
                <w:sz w:val="20"/>
                <w:szCs w:val="20"/>
                <w:color w:val="auto"/>
              </w:rPr>
            </w:pPr>
            <w:r>
              <w:rPr>
                <w:rFonts w:ascii="Arial" w:cs="Arial" w:eastAsia="Arial" w:hAnsi="Arial"/>
                <w:sz w:val="18"/>
                <w:szCs w:val="18"/>
                <w:color w:val="auto"/>
              </w:rPr>
              <w:t>39.4</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36.8</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3"/>
              <w:spacing w:after="0"/>
              <w:rPr>
                <w:sz w:val="20"/>
                <w:szCs w:val="20"/>
                <w:color w:val="auto"/>
              </w:rPr>
            </w:pPr>
            <w:r>
              <w:rPr>
                <w:rFonts w:ascii="Arial" w:cs="Arial" w:eastAsia="Arial" w:hAnsi="Arial"/>
                <w:sz w:val="18"/>
                <w:szCs w:val="18"/>
                <w:color w:val="auto"/>
              </w:rPr>
              <w:t>40.0</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34"/>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73"/>
              <w:spacing w:after="0"/>
              <w:rPr>
                <w:sz w:val="20"/>
                <w:szCs w:val="20"/>
                <w:color w:val="auto"/>
              </w:rPr>
            </w:pPr>
            <w:r>
              <w:rPr>
                <w:rFonts w:ascii="Arial" w:cs="Arial" w:eastAsia="Arial" w:hAnsi="Arial"/>
                <w:sz w:val="18"/>
                <w:szCs w:val="18"/>
                <w:color w:val="auto"/>
              </w:rPr>
              <w:t>128.4</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6"/>
              <w:spacing w:after="0"/>
              <w:rPr>
                <w:sz w:val="20"/>
                <w:szCs w:val="20"/>
                <w:color w:val="auto"/>
              </w:rPr>
            </w:pPr>
            <w:r>
              <w:rPr>
                <w:rFonts w:ascii="Arial" w:cs="Arial" w:eastAsia="Arial" w:hAnsi="Arial"/>
                <w:sz w:val="18"/>
                <w:szCs w:val="18"/>
                <w:color w:val="auto"/>
              </w:rPr>
              <w:t>122.4</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3"/>
              <w:spacing w:after="0"/>
              <w:rPr>
                <w:sz w:val="20"/>
                <w:szCs w:val="20"/>
                <w:color w:val="auto"/>
              </w:rPr>
            </w:pPr>
            <w:r>
              <w:rPr>
                <w:rFonts w:ascii="Arial" w:cs="Arial" w:eastAsia="Arial" w:hAnsi="Arial"/>
                <w:sz w:val="18"/>
                <w:szCs w:val="18"/>
                <w:color w:val="auto"/>
              </w:rPr>
              <w:t>124.1</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0"/>
        </w:trPr>
        <w:tc>
          <w:tcPr>
            <w:tcW w:w="230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ind w:right="43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24%</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2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i w:val="1"/>
                <w:iCs w:val="1"/>
                <w:color w:val="auto"/>
              </w:rPr>
              <w:t>14%</w:t>
            </w:r>
          </w:p>
        </w:tc>
        <w:tc>
          <w:tcPr>
            <w:tcW w:w="26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i w:val="1"/>
                <w:iCs w:val="1"/>
                <w:color w:val="auto"/>
              </w:rPr>
              <w:t>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Arial" w:cs="Arial" w:eastAsia="Arial" w:hAnsi="Arial"/>
                <w:sz w:val="18"/>
                <w:szCs w:val="18"/>
                <w:i w:val="1"/>
                <w:iCs w:val="1"/>
                <w:color w:val="auto"/>
              </w:rPr>
              <w:t>24%</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23%</w:t>
            </w:r>
          </w:p>
        </w:tc>
        <w:tc>
          <w:tcPr>
            <w:tcW w:w="2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i w:val="1"/>
                <w:iCs w:val="1"/>
                <w:color w:val="auto"/>
              </w:rPr>
              <w:t>19%</w:t>
            </w:r>
          </w:p>
        </w:tc>
        <w:tc>
          <w:tcPr>
            <w:tcW w:w="26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i w:val="1"/>
                <w:iCs w:val="1"/>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Three Months Ended</w:t>
      </w:r>
    </w:p>
    <w:p>
      <w:pPr>
        <w:spacing w:after="0" w:line="391"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GAAP total compensation and benefits were $116.3 million for the third quarter of 2025, compared to $202.3 million for the third quarter of 2024. Adjusted total compensation and benefits were $110.3 million for the third quarter of 2025, compared to $189.2 million for the same period a year ago. The decrease in total compensation and benefits was due to a lower bonus accrual associated with lower revenues combined with the impact of a lower effective compensation margin versus the third quarter of 2024.</w:t>
      </w:r>
    </w:p>
    <w:p>
      <w:pPr>
        <w:spacing w:after="0" w:line="204"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GAAP non-compensation expenses were $39.4 million for the third quarter of 2025, compared to $40.0 million for the third quarter of 2024. Adjusted non-compensation expenses were $36.8 million for the third quarter of 2025, compared to $37.9 million for the same period a year ago. The decrease in non-compensation expenses was largely driven by lower general, administrative and other expenses and by lower professional fees. On a GAAP basis, the decrease in professional fees was partially offset by acquisition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8"/>
        <w:spacing w:after="0" w:line="259"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i w:val="1"/>
          <w:iCs w:val="1"/>
          <w:color w:val="auto"/>
        </w:rPr>
        <w:t>Nine Months Ended</w:t>
      </w:r>
    </w:p>
    <w:p>
      <w:pPr>
        <w:spacing w:after="0" w:line="310"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GAAP total compensation and benefits were $373.9 million for the nine months ended September 30, 2025, compared to $628.2 million for the prior year period. The prior year period included the impact of the one-time accelerated vesting of certain partnership unit awards (the “Vesting Acceleration”) as well as incremental equity-based compensation expense tied to transaction-related incentive unit awards which vested in the third quarter of 2024. Adjusted total compensation and benefits were $356.3 million for the nine months ended September 30, 2025, compared to $443.7 million for the same period a year ago. The decrease in total compensation and benefits was due to a lower bonus accrual associated with lower revenues combined with the impact of a lower effective compensation margin compared to 2024.</w:t>
      </w:r>
    </w:p>
    <w:p>
      <w:pPr>
        <w:spacing w:after="0" w:line="20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GAAP non-compensation expenses were $128.4 million for the nine months ended September 30, 2025, compared to $124.1 million for the prior year period. Adjusted non-compensation expenses were $122.4 million for the nine months ended September 30, 2025, compared to $116.1 million for the same period a year ago. The increase in non-compensation expenses was largely driven by an increase in professional fees tied to litigation spend in the first quarter of 2025, higher travel related costs, and an increase in technology spend, partially offset by a decrease in general, administrative and other expenses. On a GAAP basis, the increase was also driven by acquisition related costs which were incurred in the third quarter of 2025, though these were offset by non-recurring partnership reorganization costs which were incurred in the first quarter of 2024.</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Provision for Income Taxes</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Perella Weinberg Partners currently owns 73.5% of the operating partnership (“PWP OpCo”) and is subject to U.S. federal and state corporate income tax on its allocable share of earnings. Income earned by the operating partnership is subject to certain state, local, and foreign income taxes.</w:t>
      </w:r>
    </w:p>
    <w:p>
      <w:pPr>
        <w:spacing w:after="0" w:line="197"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For purposes of calculating adjusted if-converted net income, we have presented our results as if all partnership units had been converted to shares of Class A common stock, and as if all of our adjusted results for the period were subject to U.S. corporate income tax. For the nine months ended September 30, 2025, the effective tax rate for adjusted if-converted net income was 4%. This tax rate includes $15.1 million of benefit from the vesting of restricted stock units at a share price higher than the grant price. The adjusted effective tax rate excluding this benefit would have been 32%.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8"/>
        <w:spacing w:after="0" w:line="259"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Balance Sheet and Capital Management</w:t>
      </w:r>
    </w:p>
    <w:p>
      <w:pPr>
        <w:spacing w:after="0" w:line="31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As of September 30, 2025, Perella Weinberg had $185.5 million of cash with no outstanding indebtedness and an undrawn revolving credit facility.</w:t>
      </w:r>
    </w:p>
    <w:p>
      <w:pPr>
        <w:spacing w:after="0" w:line="182"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During the nine months ended September 30, 2025, Perella Weinberg returned $157.5 million in aggregate to our equity holders through: (i) the net settlement of 3,328,036 share equivalents at an average price per share of $23.08; (ii) the settlement of unit exchanges of 1,270,086 PWP OpCo units for cash at $22.65 per unit and the repurchase of 1,829,337 shares at an average price per share of $18.40 in open market transactions pursuant to PWP’s Class A common stock repurchase program; and (iii) the payment of aggregate dividends of $18.3 million to Class A common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At September 30, 2025, there were 65.0 million shares of Class A common stock and 23.5 million partnership units outstanding.</w:t>
      </w:r>
    </w:p>
    <w:p>
      <w:pPr>
        <w:spacing w:after="0" w:line="32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The Board of Directors has declared a quarterly dividend of $0.07 per share of Class A common stock. The dividend will be paid on December 15, 2025 to Class A common stockholders of record on November 17, 2025.</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Conference Call and Webcast</w:t>
      </w:r>
    </w:p>
    <w:p>
      <w:pPr>
        <w:spacing w:after="0" w:line="31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Management will host a webcast and conference call on Friday, November 7, 2025 at 9:00 am ET to discuss Perella Weinberg’s financial results for the third quarter ended September 30, 2025.</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A webcast of the conference call will be made available in the Investors section of Perella Weinberg’s website at https://investors.pwpartners.com/.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also be accessed by the following dial-in information:</w:t>
      </w:r>
    </w:p>
    <w:p>
      <w:pPr>
        <w:spacing w:after="0" w:line="310" w:lineRule="exact"/>
        <w:rPr>
          <w:sz w:val="20"/>
          <w:szCs w:val="20"/>
          <w:color w:val="auto"/>
        </w:rPr>
      </w:pPr>
    </w:p>
    <w:p>
      <w:pPr>
        <w:ind w:left="880" w:hanging="386"/>
        <w:spacing w:after="0"/>
        <w:tabs>
          <w:tab w:leader="none" w:pos="880" w:val="left"/>
        </w:tabs>
        <w:numPr>
          <w:ilvl w:val="1"/>
          <w:numId w:val="9"/>
        </w:numPr>
        <w:rPr>
          <w:rFonts w:ascii="Arial" w:cs="Arial" w:eastAsia="Arial" w:hAnsi="Arial"/>
          <w:sz w:val="20"/>
          <w:szCs w:val="20"/>
          <w:color w:val="auto"/>
        </w:rPr>
      </w:pPr>
      <w:r>
        <w:rPr>
          <w:rFonts w:ascii="Arial" w:cs="Arial" w:eastAsia="Arial" w:hAnsi="Arial"/>
          <w:sz w:val="20"/>
          <w:szCs w:val="20"/>
          <w:color w:val="auto"/>
        </w:rPr>
        <w:t>Domestic: (800) 245-3047</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1"/>
          <w:numId w:val="9"/>
        </w:numPr>
        <w:rPr>
          <w:rFonts w:ascii="Arial" w:cs="Arial" w:eastAsia="Arial" w:hAnsi="Arial"/>
          <w:sz w:val="20"/>
          <w:szCs w:val="20"/>
          <w:color w:val="auto"/>
        </w:rPr>
      </w:pPr>
      <w:r>
        <w:rPr>
          <w:rFonts w:ascii="Arial" w:cs="Arial" w:eastAsia="Arial" w:hAnsi="Arial"/>
          <w:sz w:val="20"/>
          <w:szCs w:val="20"/>
          <w:color w:val="auto"/>
        </w:rPr>
        <w:t>International: (203) 518-9765</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1"/>
          <w:numId w:val="9"/>
        </w:numPr>
        <w:rPr>
          <w:rFonts w:ascii="Arial" w:cs="Arial" w:eastAsia="Arial" w:hAnsi="Arial"/>
          <w:sz w:val="20"/>
          <w:szCs w:val="20"/>
          <w:color w:val="auto"/>
        </w:rPr>
      </w:pPr>
      <w:r>
        <w:rPr>
          <w:rFonts w:ascii="Arial" w:cs="Arial" w:eastAsia="Arial" w:hAnsi="Arial"/>
          <w:sz w:val="20"/>
          <w:szCs w:val="20"/>
          <w:color w:val="auto"/>
        </w:rPr>
        <w:t>Conference ID: PWPQ325</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8" w:lineRule="exact"/>
        <w:rPr>
          <w:rFonts w:ascii="Arial" w:cs="Arial" w:eastAsia="Arial" w:hAnsi="Arial"/>
          <w:sz w:val="20"/>
          <w:szCs w:val="20"/>
          <w:color w:val="auto"/>
        </w:rPr>
      </w:pPr>
    </w:p>
    <w:p>
      <w:pPr>
        <w:jc w:val="both"/>
        <w:spacing w:after="0" w:line="259" w:lineRule="auto"/>
        <w:rPr>
          <w:rFonts w:ascii="Arial" w:cs="Arial" w:eastAsia="Arial" w:hAnsi="Arial"/>
          <w:sz w:val="20"/>
          <w:szCs w:val="20"/>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Replay</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A replay of the call will also be available two hours after the live call through November 14, 2025. To access the replay, dial</w:t>
      </w:r>
    </w:p>
    <w:p>
      <w:pPr>
        <w:spacing w:after="0" w:line="67" w:lineRule="exact"/>
        <w:rPr>
          <w:sz w:val="20"/>
          <w:szCs w:val="20"/>
          <w:color w:val="auto"/>
        </w:rPr>
      </w:pPr>
    </w:p>
    <w:p>
      <w:pPr>
        <w:ind w:right="20" w:firstLine="8"/>
        <w:spacing w:after="0" w:line="342" w:lineRule="auto"/>
        <w:tabs>
          <w:tab w:leader="none" w:pos="530" w:val="left"/>
        </w:tabs>
        <w:numPr>
          <w:ilvl w:val="0"/>
          <w:numId w:val="10"/>
        </w:numPr>
        <w:rPr>
          <w:rFonts w:ascii="Arial" w:cs="Arial" w:eastAsia="Arial" w:hAnsi="Arial"/>
          <w:sz w:val="20"/>
          <w:szCs w:val="20"/>
          <w:color w:val="auto"/>
        </w:rPr>
      </w:pPr>
      <w:r>
        <w:rPr>
          <w:rFonts w:ascii="Arial" w:cs="Arial" w:eastAsia="Arial" w:hAnsi="Arial"/>
          <w:sz w:val="20"/>
          <w:szCs w:val="20"/>
          <w:color w:val="auto"/>
        </w:rPr>
        <w:t>753-6121 (Domestic) or (402) 220-2676 (International). The replay can also be accessed on the Investors section of the Company’s website at https://investors.pwpartners.com/.</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For those who listen to the rebroadcast of the call, we remind you that the remarks made are as of November 7, 2025, and have not been updated subsequent to the initial earnings call.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About Perella Weinberg</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Perella Weinberg is a leading global independent advisory firm, providing strategic and financial advice to a broad client base, including corporations, financial sponsors, governments, and sovereign wealth funds. The Firm offers a wide range of advisory services to clients in some of the most active industry sectors and global markets. With approximately 700 employees, Perella Weinberg currently maintains offices in New York, London, Houston, Los Angeles, San Francisco, Paris, Chicago, Munich, Palm Beach, Denver, Calgary, and Greenwich. The financial information of Perella Weinberg herein refers to the business operations of PWP Holdings LP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Contacts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Investor Relations: investors@pwpartners.com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Media: media@pwpartners.com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9" w:lineRule="auto"/>
        <w:tabs>
          <w:tab w:leader="none" w:pos="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Non-GAAP Financial Measures</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0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09"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Cautionary Statement Regarding Forward Looking Statements</w:t>
      </w:r>
    </w:p>
    <w:p>
      <w:pPr>
        <w:spacing w:after="0" w:line="312"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200" w:lineRule="exact"/>
        <w:rPr>
          <w:sz w:val="20"/>
          <w:szCs w:val="20"/>
          <w:color w:val="auto"/>
        </w:rPr>
      </w:pPr>
    </w:p>
    <w:p>
      <w:pPr>
        <w:spacing w:after="0" w:line="296" w:lineRule="exact"/>
        <w:rPr>
          <w:sz w:val="20"/>
          <w:szCs w:val="20"/>
          <w:color w:val="auto"/>
        </w:rPr>
      </w:pPr>
    </w:p>
    <w:p>
      <w:pPr>
        <w:jc w:val="both"/>
        <w:ind w:firstLine="8"/>
        <w:spacing w:after="0" w:line="259" w:lineRule="auto"/>
        <w:tabs>
          <w:tab w:leader="none" w:pos="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20"/>
          <w:szCs w:val="20"/>
          <w:color w:val="auto"/>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Arial" w:cs="Arial" w:eastAsia="Arial" w:hAnsi="Arial"/>
          <w:sz w:val="20"/>
          <w:szCs w:val="20"/>
          <w:i w:val="1"/>
          <w:iCs w:val="1"/>
          <w:color w:val="auto"/>
        </w:rPr>
        <w:t>“Part I—Item 1A. Risk Factors”</w:t>
      </w:r>
      <w:r>
        <w:rPr>
          <w:rFonts w:ascii="Arial" w:cs="Arial" w:eastAsia="Arial" w:hAnsi="Arial"/>
          <w:sz w:val="20"/>
          <w:szCs w:val="20"/>
          <w:color w:val="auto"/>
        </w:rPr>
        <w:t xml:space="preserve"> in our Annual Report on Form 10-K.</w:t>
      </w:r>
    </w:p>
    <w:p>
      <w:pPr>
        <w:spacing w:after="0" w:line="215"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U.S. Securities and Exchange Commission (the “SEC”) on February 27, 2025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8"/>
        <w:spacing w:after="0" w:line="259" w:lineRule="auto"/>
        <w:tabs>
          <w:tab w:leader="none" w:pos="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Consolidated Statements of Operations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503C64"/>
              </w:rPr>
              <w:t>Three Months Ended</w:t>
            </w:r>
          </w:p>
        </w:tc>
        <w:tc>
          <w:tcPr>
            <w:tcW w:w="200" w:type="dxa"/>
            <w:vAlign w:val="bottom"/>
          </w:tcPr>
          <w:p>
            <w:pPr>
              <w:spacing w:after="0"/>
              <w:rPr>
                <w:sz w:val="16"/>
                <w:szCs w:val="16"/>
                <w:color w:val="auto"/>
              </w:rPr>
            </w:pPr>
          </w:p>
        </w:tc>
        <w:tc>
          <w:tcPr>
            <w:tcW w:w="220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503C64"/>
              </w:rPr>
              <w:t>Nine Months Ended</w:t>
            </w:r>
          </w:p>
        </w:tc>
      </w:tr>
      <w:tr>
        <w:trPr>
          <w:trHeight w:val="223"/>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503C64"/>
              </w:rPr>
              <w:t>September 30,</w:t>
            </w:r>
          </w:p>
        </w:tc>
        <w:tc>
          <w:tcPr>
            <w:tcW w:w="200" w:type="dxa"/>
            <w:vAlign w:val="bottom"/>
          </w:tcPr>
          <w:p>
            <w:pPr>
              <w:spacing w:after="0"/>
              <w:rPr>
                <w:sz w:val="19"/>
                <w:szCs w:val="19"/>
                <w:color w:val="auto"/>
              </w:rPr>
            </w:pPr>
          </w:p>
        </w:tc>
        <w:tc>
          <w:tcPr>
            <w:tcW w:w="220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503C64"/>
              </w:rPr>
              <w:t>September 30,</w:t>
            </w:r>
          </w:p>
        </w:tc>
      </w:tr>
      <w:tr>
        <w:trPr>
          <w:trHeight w:val="21"/>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r>
      <w:tr>
        <w:trPr>
          <w:trHeight w:val="195"/>
        </w:trPr>
        <w:tc>
          <w:tcPr>
            <w:tcW w:w="6060" w:type="dxa"/>
            <w:vAlign w:val="bottom"/>
            <w:tcBorders>
              <w:bottom w:val="single" w:sz="8" w:color="B6B6B6"/>
            </w:tcBorders>
          </w:tcPr>
          <w:p>
            <w:pPr>
              <w:spacing w:after="0"/>
              <w:rPr>
                <w:sz w:val="16"/>
                <w:szCs w:val="16"/>
                <w:color w:val="auto"/>
              </w:rPr>
            </w:pPr>
          </w:p>
        </w:tc>
        <w:tc>
          <w:tcPr>
            <w:tcW w:w="80" w:type="dxa"/>
            <w:vAlign w:val="bottom"/>
            <w:tcBorders>
              <w:bottom w:val="single" w:sz="8" w:color="B6B6B6"/>
            </w:tcBorders>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B6B6B6"/>
            </w:tcBorders>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2024</w:t>
            </w:r>
          </w:p>
        </w:tc>
      </w:tr>
      <w:tr>
        <w:trPr>
          <w:trHeight w:val="210"/>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164,645</w:t>
            </w:r>
          </w:p>
        </w:tc>
        <w:tc>
          <w:tcPr>
            <w:tcW w:w="3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278,242</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531,743</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652,367</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88,748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174,080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292,027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392,643</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27,594</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28,225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81,873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235,530</w:t>
            </w:r>
          </w:p>
        </w:tc>
      </w:tr>
      <w:tr>
        <w:trPr>
          <w:trHeight w:val="216"/>
        </w:trPr>
        <w:tc>
          <w:tcPr>
            <w:tcW w:w="6060" w:type="dxa"/>
            <w:vAlign w:val="bottom"/>
          </w:tcPr>
          <w:p>
            <w:pPr>
              <w:ind w:left="360"/>
              <w:spacing w:after="0"/>
              <w:rPr>
                <w:sz w:val="20"/>
                <w:szCs w:val="20"/>
                <w:color w:val="auto"/>
              </w:rPr>
            </w:pPr>
            <w:r>
              <w:rPr>
                <w:rFonts w:ascii="Arial" w:cs="Arial" w:eastAsia="Arial" w:hAnsi="Arial"/>
                <w:sz w:val="16"/>
                <w:szCs w:val="16"/>
                <w:color w:val="auto"/>
              </w:rPr>
              <w:t>Total 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116,342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202,305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373,900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628,173</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9,213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35,308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32,170</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Technology and infrastructure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9,588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28,114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26,749</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5,974</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18,896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18,307</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Travel and related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5,418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16,391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13,782</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4,219</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14,574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17,769</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5,024</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15,077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15,318</w:t>
            </w:r>
          </w:p>
        </w:tc>
      </w:tr>
      <w:tr>
        <w:trPr>
          <w:trHeight w:val="217"/>
        </w:trPr>
        <w:tc>
          <w:tcPr>
            <w:tcW w:w="6060" w:type="dxa"/>
            <w:vAlign w:val="bottom"/>
            <w:shd w:val="clear" w:color="auto" w:fill="E3E1E9"/>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155,778</w:t>
            </w: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242,348</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502,260</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752,268</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8,867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29,483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(99,901)</w:t>
            </w: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3,859</w:t>
            </w:r>
          </w:p>
        </w:tc>
      </w:tr>
      <w:tr>
        <w:trPr>
          <w:trHeight w:val="216"/>
        </w:trPr>
        <w:tc>
          <w:tcPr>
            <w:tcW w:w="6060" w:type="dxa"/>
            <w:vAlign w:val="bottom"/>
          </w:tcPr>
          <w:p>
            <w:pPr>
              <w:ind w:left="360"/>
              <w:spacing w:after="0"/>
              <w:rPr>
                <w:sz w:val="20"/>
                <w:szCs w:val="20"/>
                <w:color w:val="auto"/>
              </w:rPr>
            </w:pPr>
            <w:r>
              <w:rPr>
                <w:rFonts w:ascii="Arial" w:cs="Arial" w:eastAsia="Arial" w:hAnsi="Arial"/>
                <w:sz w:val="16"/>
                <w:szCs w:val="16"/>
                <w:color w:val="auto"/>
              </w:rPr>
              <w:t>Total 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3,859</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11,588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29,735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(96,042)</w:t>
            </w:r>
          </w:p>
        </w:tc>
      </w:tr>
      <w:tr>
        <w:trPr>
          <w:trHeight w:val="216"/>
        </w:trPr>
        <w:tc>
          <w:tcPr>
            <w:tcW w:w="606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Income tax expense (benefit)</w:t>
            </w:r>
          </w:p>
        </w:tc>
        <w:tc>
          <w:tcPr>
            <w:tcW w:w="80" w:type="dxa"/>
            <w:vAlign w:val="bottom"/>
            <w:tcBorders>
              <w:bottom w:val="single" w:sz="8" w:color="B6B6B6"/>
            </w:tcBorders>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3,023</w:t>
            </w:r>
          </w:p>
        </w:tc>
        <w:tc>
          <w:tcPr>
            <w:tcW w:w="30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7,508</w:t>
            </w:r>
          </w:p>
        </w:tc>
        <w:tc>
          <w:tcPr>
            <w:tcW w:w="80" w:type="dxa"/>
            <w:vAlign w:val="bottom"/>
            <w:tcBorders>
              <w:bottom w:val="single" w:sz="8" w:color="B6B6B6"/>
            </w:tcBorders>
          </w:tcPr>
          <w:p>
            <w:pPr>
              <w:spacing w:after="0"/>
              <w:rPr>
                <w:sz w:val="18"/>
                <w:szCs w:val="18"/>
                <w:color w:val="auto"/>
              </w:rPr>
            </w:pPr>
          </w:p>
        </w:tc>
        <w:tc>
          <w:tcPr>
            <w:tcW w:w="20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(4,471)</w:t>
            </w:r>
          </w:p>
        </w:tc>
        <w:tc>
          <w:tcPr>
            <w:tcW w:w="24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25,960</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8,565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28,843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34,206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(122,002)</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2,561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8,125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(36,500)</w:t>
            </w:r>
          </w:p>
        </w:tc>
      </w:tr>
      <w:tr>
        <w:trPr>
          <w:trHeight w:val="216"/>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6,004</w:t>
            </w:r>
          </w:p>
        </w:tc>
        <w:tc>
          <w:tcPr>
            <w:tcW w:w="3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16,370</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26,081</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(85,502)</w:t>
            </w:r>
          </w:p>
        </w:tc>
      </w:tr>
      <w:tr>
        <w:trPr>
          <w:trHeight w:val="216"/>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per share attributable to Class A common shareholders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spacing w:after="0"/>
              <w:rPr>
                <w:sz w:val="18"/>
                <w:szCs w:val="18"/>
                <w:color w:val="auto"/>
              </w:rPr>
            </w:pP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0.09</w:t>
            </w:r>
          </w:p>
        </w:tc>
        <w:tc>
          <w:tcPr>
            <w:tcW w:w="3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0.29</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0.41</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(1.61)</w:t>
            </w: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0.08</w:t>
            </w:r>
          </w:p>
        </w:tc>
        <w:tc>
          <w:tcPr>
            <w:tcW w:w="3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0.24</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0.37</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(1.61)</w:t>
            </w:r>
          </w:p>
        </w:tc>
      </w:tr>
      <w:tr>
        <w:trPr>
          <w:trHeight w:val="218"/>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spacing w:after="0"/>
              <w:rPr>
                <w:sz w:val="18"/>
                <w:szCs w:val="18"/>
                <w:color w:val="auto"/>
              </w:rPr>
            </w:pP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64,071,958</w:t>
            </w: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55,513,159</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63,100,339</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53,115,490</w:t>
            </w:r>
          </w:p>
        </w:tc>
      </w:tr>
      <w:tr>
        <w:trPr>
          <w:trHeight w:val="217"/>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100,233,456</w:t>
            </w: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69,795,656</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74,959,485</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53,115,490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2" w:right="33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112"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503C64"/>
              </w:rPr>
              <w:t>Three Months Ended</w:t>
            </w:r>
          </w:p>
        </w:tc>
        <w:tc>
          <w:tcPr>
            <w:tcW w:w="260" w:type="dxa"/>
            <w:vAlign w:val="bottom"/>
          </w:tcPr>
          <w:p>
            <w:pPr>
              <w:spacing w:after="0"/>
              <w:rPr>
                <w:sz w:val="16"/>
                <w:szCs w:val="16"/>
                <w:color w:val="auto"/>
              </w:rPr>
            </w:pPr>
          </w:p>
        </w:tc>
        <w:tc>
          <w:tcPr>
            <w:tcW w:w="2120" w:type="dxa"/>
            <w:vAlign w:val="bottom"/>
            <w:gridSpan w:val="3"/>
          </w:tcPr>
          <w:p>
            <w:pPr>
              <w:jc w:val="right"/>
              <w:ind w:right="368"/>
              <w:spacing w:after="0"/>
              <w:rPr>
                <w:sz w:val="20"/>
                <w:szCs w:val="20"/>
                <w:color w:val="auto"/>
              </w:rPr>
            </w:pPr>
            <w:r>
              <w:rPr>
                <w:rFonts w:ascii="Arial" w:cs="Arial" w:eastAsia="Arial" w:hAnsi="Arial"/>
                <w:sz w:val="16"/>
                <w:szCs w:val="16"/>
                <w:b w:val="1"/>
                <w:bCs w:val="1"/>
                <w:color w:val="503C64"/>
              </w:rPr>
              <w:t>Nine Months Ended</w:t>
            </w:r>
          </w:p>
        </w:tc>
      </w:tr>
      <w:tr>
        <w:trPr>
          <w:trHeight w:val="223"/>
        </w:trPr>
        <w:tc>
          <w:tcPr>
            <w:tcW w:w="6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503C64"/>
              </w:rPr>
              <w:t>September 30,</w:t>
            </w:r>
          </w:p>
        </w:tc>
        <w:tc>
          <w:tcPr>
            <w:tcW w:w="260" w:type="dxa"/>
            <w:vAlign w:val="bottom"/>
          </w:tcPr>
          <w:p>
            <w:pPr>
              <w:spacing w:after="0"/>
              <w:rPr>
                <w:sz w:val="19"/>
                <w:szCs w:val="19"/>
                <w:color w:val="auto"/>
              </w:rPr>
            </w:pPr>
          </w:p>
        </w:tc>
        <w:tc>
          <w:tcPr>
            <w:tcW w:w="2120" w:type="dxa"/>
            <w:vAlign w:val="bottom"/>
            <w:gridSpan w:val="3"/>
          </w:tcPr>
          <w:p>
            <w:pPr>
              <w:jc w:val="right"/>
              <w:ind w:right="568"/>
              <w:spacing w:after="0"/>
              <w:rPr>
                <w:sz w:val="20"/>
                <w:szCs w:val="20"/>
                <w:color w:val="auto"/>
              </w:rPr>
            </w:pPr>
            <w:r>
              <w:rPr>
                <w:rFonts w:ascii="Arial" w:cs="Arial" w:eastAsia="Arial" w:hAnsi="Arial"/>
                <w:sz w:val="16"/>
                <w:szCs w:val="16"/>
                <w:b w:val="1"/>
                <w:bCs w:val="1"/>
                <w:color w:val="503C64"/>
              </w:rPr>
              <w:t>September 30,</w:t>
            </w:r>
          </w:p>
        </w:tc>
      </w:tr>
      <w:tr>
        <w:trPr>
          <w:trHeight w:val="21"/>
        </w:trPr>
        <w:tc>
          <w:tcPr>
            <w:tcW w:w="618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80" w:type="dxa"/>
            <w:vAlign w:val="bottom"/>
            <w:tcBorders>
              <w:bottom w:val="single" w:sz="8" w:color="B6B6B6"/>
            </w:tcBorders>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r>
      <w:tr>
        <w:trPr>
          <w:trHeight w:val="195"/>
        </w:trPr>
        <w:tc>
          <w:tcPr>
            <w:tcW w:w="6180" w:type="dxa"/>
            <w:vAlign w:val="bottom"/>
            <w:tcBorders>
              <w:bottom w:val="single" w:sz="8" w:color="B6B6B6"/>
            </w:tcBorders>
          </w:tcPr>
          <w:p>
            <w:pPr>
              <w:spacing w:after="0"/>
              <w:rPr>
                <w:sz w:val="16"/>
                <w:szCs w:val="16"/>
                <w:color w:val="auto"/>
              </w:rPr>
            </w:pPr>
          </w:p>
        </w:tc>
        <w:tc>
          <w:tcPr>
            <w:tcW w:w="24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B6B6B6"/>
            </w:tcBorders>
          </w:tcPr>
          <w:p>
            <w:pPr>
              <w:spacing w:after="0"/>
              <w:rPr>
                <w:sz w:val="16"/>
                <w:szCs w:val="16"/>
                <w:color w:val="auto"/>
              </w:rPr>
            </w:pPr>
          </w:p>
        </w:tc>
        <w:tc>
          <w:tcPr>
            <w:tcW w:w="26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B6B6B6"/>
            </w:tcBorders>
          </w:tcPr>
          <w:p>
            <w:pPr>
              <w:spacing w:after="0"/>
              <w:rPr>
                <w:sz w:val="16"/>
                <w:szCs w:val="16"/>
                <w:color w:val="auto"/>
              </w:rPr>
            </w:pPr>
          </w:p>
        </w:tc>
        <w:tc>
          <w:tcPr>
            <w:tcW w:w="260" w:type="dxa"/>
            <w:vAlign w:val="bottom"/>
            <w:tcBorders>
              <w:bottom w:val="single" w:sz="8" w:color="B6B6B6"/>
            </w:tcBorders>
          </w:tcPr>
          <w:p>
            <w:pPr>
              <w:spacing w:after="0"/>
              <w:rPr>
                <w:sz w:val="16"/>
                <w:szCs w:val="16"/>
                <w:color w:val="auto"/>
              </w:rPr>
            </w:pPr>
          </w:p>
        </w:tc>
        <w:tc>
          <w:tcPr>
            <w:tcW w:w="9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2024</w:t>
            </w:r>
          </w:p>
        </w:tc>
      </w:tr>
      <w:tr>
        <w:trPr>
          <w:trHeight w:val="19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116,342</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202,305</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373,900</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628,173</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(143,714)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(13,070)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(17,632)</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(37,527)</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8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(3,249)</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total compensation and benefits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110,313</w:t>
            </w:r>
          </w:p>
        </w:tc>
        <w:tc>
          <w:tcPr>
            <w:tcW w:w="340" w:type="dxa"/>
            <w:vAlign w:val="bottom"/>
            <w:gridSpan w:val="2"/>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189,235</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356,268</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443,683</w:t>
            </w:r>
          </w:p>
        </w:tc>
      </w:tr>
      <w:tr>
        <w:trPr>
          <w:trHeight w:val="254"/>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39,436</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40,043</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128,360</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124,095</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(4,935)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(4,935)</w:t>
            </w:r>
          </w:p>
        </w:tc>
      </w:tr>
      <w:tr>
        <w:trPr>
          <w:trHeight w:val="201"/>
        </w:trPr>
        <w:tc>
          <w:tcPr>
            <w:tcW w:w="6180" w:type="dxa"/>
            <w:vAlign w:val="bottom"/>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(3,054)</w:t>
            </w:r>
          </w:p>
        </w:tc>
      </w:tr>
      <w:tr>
        <w:trPr>
          <w:trHeight w:val="203"/>
        </w:trPr>
        <w:tc>
          <w:tcPr>
            <w:tcW w:w="6180" w:type="dxa"/>
            <w:vAlign w:val="bottom"/>
            <w:shd w:val="clear" w:color="auto" w:fill="E3E1E9"/>
          </w:tcPr>
          <w:p>
            <w:pPr>
              <w:ind w:left="20"/>
              <w:spacing w:after="0" w:line="202" w:lineRule="exact"/>
              <w:rPr>
                <w:sz w:val="20"/>
                <w:szCs w:val="20"/>
                <w:color w:val="auto"/>
              </w:rPr>
            </w:pPr>
            <w:r>
              <w:rPr>
                <w:rFonts w:ascii="Arial" w:cs="Arial" w:eastAsia="Arial" w:hAnsi="Arial"/>
                <w:sz w:val="14"/>
                <w:szCs w:val="14"/>
                <w:color w:val="auto"/>
              </w:rPr>
              <w:t>Adjusted non-compensation expense</w:t>
            </w:r>
            <w:r>
              <w:rPr>
                <w:rFonts w:ascii="Arial" w:cs="Arial" w:eastAsia="Arial" w:hAnsi="Arial"/>
                <w:sz w:val="18"/>
                <w:szCs w:val="18"/>
                <w:color w:val="auto"/>
                <w:vertAlign w:val="superscript"/>
              </w:rPr>
              <w:t>(6)</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36,811</w:t>
            </w:r>
          </w:p>
        </w:tc>
        <w:tc>
          <w:tcPr>
            <w:tcW w:w="340" w:type="dxa"/>
            <w:vAlign w:val="bottom"/>
            <w:gridSpan w:val="2"/>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37,914</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122,445</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116,106</w:t>
            </w:r>
          </w:p>
        </w:tc>
      </w:tr>
      <w:tr>
        <w:trPr>
          <w:trHeight w:val="254"/>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8,867</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35,894</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29,483</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(99,901)</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143,714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13,070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17,632</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37,527</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3,249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4,935</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4,935</w:t>
            </w:r>
          </w:p>
        </w:tc>
      </w:tr>
      <w:tr>
        <w:trPr>
          <w:trHeight w:val="201"/>
        </w:trPr>
        <w:tc>
          <w:tcPr>
            <w:tcW w:w="6180" w:type="dxa"/>
            <w:vAlign w:val="bottom"/>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980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3,054</w:t>
            </w:r>
          </w:p>
        </w:tc>
      </w:tr>
      <w:tr>
        <w:trPr>
          <w:trHeight w:val="203"/>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operating income</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17,521</w:t>
            </w:r>
          </w:p>
        </w:tc>
        <w:tc>
          <w:tcPr>
            <w:tcW w:w="340" w:type="dxa"/>
            <w:vAlign w:val="bottom"/>
            <w:gridSpan w:val="2"/>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51,093</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53,030</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92,578</w:t>
            </w:r>
          </w:p>
        </w:tc>
      </w:tr>
      <w:tr>
        <w:trPr>
          <w:trHeight w:val="254"/>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11,588</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36,351</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29,735</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(96,042)</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143,714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13,070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17,632</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37,527</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3,249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4,935</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4,935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980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3,054</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49</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226</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before income taxes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20,259</w:t>
            </w:r>
          </w:p>
        </w:tc>
        <w:tc>
          <w:tcPr>
            <w:tcW w:w="340" w:type="dxa"/>
            <w:vAlign w:val="bottom"/>
            <w:gridSpan w:val="2"/>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51,588</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53,331</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96,663</w:t>
            </w:r>
          </w:p>
        </w:tc>
      </w:tr>
      <w:tr>
        <w:trPr>
          <w:trHeight w:val="25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Income tax expense (benefit)—GAAP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3,023</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7,508</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(4,471)</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25,960</w:t>
            </w:r>
          </w:p>
        </w:tc>
      </w:tr>
      <w:tr>
        <w:trPr>
          <w:trHeight w:val="205"/>
        </w:trPr>
        <w:tc>
          <w:tcPr>
            <w:tcW w:w="6180" w:type="dxa"/>
            <w:vAlign w:val="bottom"/>
            <w:tcBorders>
              <w:bottom w:val="single" w:sz="8" w:color="B6B6B6"/>
            </w:tcBorders>
          </w:tcPr>
          <w:p>
            <w:pPr>
              <w:ind w:left="20"/>
              <w:spacing w:after="0" w:line="205"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2,731</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3,178</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7,412</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(7,350)</w:t>
            </w:r>
          </w:p>
        </w:tc>
      </w:tr>
      <w:tr>
        <w:trPr>
          <w:trHeight w:val="192"/>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tax expense</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5,754</w:t>
            </w:r>
          </w:p>
        </w:tc>
        <w:tc>
          <w:tcPr>
            <w:tcW w:w="80" w:type="dxa"/>
            <w:vAlign w:val="bottom"/>
            <w:tcBorders>
              <w:bottom w:val="single" w:sz="8" w:color="B6B6B6"/>
            </w:tcBorders>
            <w:shd w:val="clear" w:color="auto" w:fill="E3E1E9"/>
          </w:tcPr>
          <w:p>
            <w:pPr>
              <w:spacing w:after="0"/>
              <w:rPr>
                <w:sz w:val="16"/>
                <w:szCs w:val="16"/>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10,686</w:t>
            </w:r>
          </w:p>
        </w:tc>
        <w:tc>
          <w:tcPr>
            <w:tcW w:w="80" w:type="dxa"/>
            <w:vAlign w:val="bottom"/>
            <w:shd w:val="clear" w:color="auto" w:fill="E3E1E9"/>
          </w:tcPr>
          <w:p>
            <w:pPr>
              <w:spacing w:after="0"/>
              <w:rPr>
                <w:sz w:val="16"/>
                <w:szCs w:val="16"/>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2,941</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18,610</w:t>
            </w:r>
          </w:p>
        </w:tc>
      </w:tr>
      <w:tr>
        <w:trPr>
          <w:trHeight w:val="239"/>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Net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8,565</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28,843</w:t>
            </w:r>
          </w:p>
        </w:tc>
        <w:tc>
          <w:tcPr>
            <w:tcW w:w="8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34,206</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(122,002)</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143,714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13,070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17,632</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37,527</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3,249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4,935</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4,935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980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3,054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226</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24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(2,731)</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(3,178)</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(7,412)</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7,350</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14,505</w:t>
            </w:r>
          </w:p>
        </w:tc>
        <w:tc>
          <w:tcPr>
            <w:tcW w:w="340" w:type="dxa"/>
            <w:vAlign w:val="bottom"/>
            <w:gridSpan w:val="2"/>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40,902</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50,390</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78,053</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8" w:firstLine="8"/>
        <w:spacing w:after="0" w:line="259" w:lineRule="auto"/>
        <w:tabs>
          <w:tab w:leader="none" w:pos="88"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141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503C64"/>
              </w:rPr>
              <w:t>Three Months Ended</w:t>
            </w:r>
          </w:p>
        </w:tc>
        <w:tc>
          <w:tcPr>
            <w:tcW w:w="180" w:type="dxa"/>
            <w:vAlign w:val="bottom"/>
          </w:tcPr>
          <w:p>
            <w:pPr>
              <w:spacing w:after="0"/>
              <w:rPr>
                <w:sz w:val="16"/>
                <w:szCs w:val="16"/>
                <w:color w:val="auto"/>
              </w:rPr>
            </w:pPr>
          </w:p>
        </w:tc>
        <w:tc>
          <w:tcPr>
            <w:tcW w:w="2400" w:type="dxa"/>
            <w:vAlign w:val="bottom"/>
            <w:gridSpan w:val="3"/>
          </w:tcPr>
          <w:p>
            <w:pPr>
              <w:jc w:val="right"/>
              <w:ind w:right="468"/>
              <w:spacing w:after="0"/>
              <w:rPr>
                <w:sz w:val="20"/>
                <w:szCs w:val="20"/>
                <w:color w:val="auto"/>
              </w:rPr>
            </w:pPr>
            <w:r>
              <w:rPr>
                <w:rFonts w:ascii="Arial" w:cs="Arial" w:eastAsia="Arial" w:hAnsi="Arial"/>
                <w:sz w:val="16"/>
                <w:szCs w:val="16"/>
                <w:b w:val="1"/>
                <w:bCs w:val="1"/>
                <w:color w:val="503C64"/>
              </w:rPr>
              <w:t>Nine Months Ended</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503C64"/>
              </w:rPr>
              <w:t>September 30,</w:t>
            </w:r>
          </w:p>
        </w:tc>
        <w:tc>
          <w:tcPr>
            <w:tcW w:w="180" w:type="dxa"/>
            <w:vAlign w:val="bottom"/>
          </w:tcPr>
          <w:p>
            <w:pPr>
              <w:spacing w:after="0"/>
              <w:rPr>
                <w:sz w:val="19"/>
                <w:szCs w:val="19"/>
                <w:color w:val="auto"/>
              </w:rPr>
            </w:pPr>
          </w:p>
        </w:tc>
        <w:tc>
          <w:tcPr>
            <w:tcW w:w="2400" w:type="dxa"/>
            <w:vAlign w:val="bottom"/>
            <w:gridSpan w:val="3"/>
          </w:tcPr>
          <w:p>
            <w:pPr>
              <w:jc w:val="right"/>
              <w:ind w:right="668"/>
              <w:spacing w:after="0"/>
              <w:rPr>
                <w:sz w:val="20"/>
                <w:szCs w:val="20"/>
                <w:color w:val="auto"/>
              </w:rPr>
            </w:pPr>
            <w:r>
              <w:rPr>
                <w:rFonts w:ascii="Arial" w:cs="Arial" w:eastAsia="Arial" w:hAnsi="Arial"/>
                <w:sz w:val="16"/>
                <w:szCs w:val="16"/>
                <w:b w:val="1"/>
                <w:bCs w:val="1"/>
                <w:color w:val="503C64"/>
              </w:rPr>
              <w:t>September 30,</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760" w:type="dxa"/>
            <w:vAlign w:val="bottom"/>
            <w:tcBorders>
              <w:bottom w:val="single" w:sz="8" w:color="B6B6B6"/>
            </w:tcBorders>
          </w:tcPr>
          <w:p>
            <w:pPr>
              <w:spacing w:after="0"/>
              <w:rPr>
                <w:sz w:val="16"/>
                <w:szCs w:val="16"/>
                <w:color w:val="auto"/>
              </w:rPr>
            </w:pPr>
          </w:p>
        </w:tc>
        <w:tc>
          <w:tcPr>
            <w:tcW w:w="180" w:type="dxa"/>
            <w:vAlign w:val="bottom"/>
            <w:tcBorders>
              <w:bottom w:val="single" w:sz="8" w:color="B6B6B6"/>
            </w:tcBorders>
          </w:tcPr>
          <w:p>
            <w:pPr>
              <w:spacing w:after="0"/>
              <w:rPr>
                <w:sz w:val="16"/>
                <w:szCs w:val="16"/>
                <w:color w:val="auto"/>
              </w:rPr>
            </w:pPr>
          </w:p>
        </w:tc>
        <w:tc>
          <w:tcPr>
            <w:tcW w:w="1120" w:type="dxa"/>
            <w:vAlign w:val="bottom"/>
            <w:tcBorders>
              <w:bottom w:val="single" w:sz="8" w:color="B6B6B6"/>
            </w:tcBorders>
          </w:tcPr>
          <w:p>
            <w:pPr>
              <w:jc w:val="right"/>
              <w:ind w:right="447"/>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B6B6B6"/>
            </w:tcBorders>
          </w:tcPr>
          <w:p>
            <w:pPr>
              <w:spacing w:after="0"/>
              <w:rPr>
                <w:sz w:val="16"/>
                <w:szCs w:val="16"/>
                <w:color w:val="auto"/>
              </w:rPr>
            </w:pPr>
          </w:p>
        </w:tc>
        <w:tc>
          <w:tcPr>
            <w:tcW w:w="18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ind w:right="427"/>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57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w:t>
            </w: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14,505</w:t>
            </w:r>
          </w:p>
        </w:tc>
        <w:tc>
          <w:tcPr>
            <w:tcW w:w="22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40,902</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50,390</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78,053</w:t>
            </w:r>
          </w:p>
        </w:tc>
        <w:tc>
          <w:tcPr>
            <w:tcW w:w="0" w:type="dxa"/>
            <w:vAlign w:val="bottom"/>
          </w:tcPr>
          <w:p>
            <w:pPr>
              <w:spacing w:after="0"/>
              <w:rPr>
                <w:sz w:val="1"/>
                <w:szCs w:val="1"/>
                <w:color w:val="auto"/>
              </w:rPr>
            </w:pPr>
          </w:p>
        </w:tc>
      </w:tr>
      <w:tr>
        <w:trPr>
          <w:trHeight w:val="194"/>
        </w:trPr>
        <w:tc>
          <w:tcPr>
            <w:tcW w:w="5760" w:type="dxa"/>
            <w:vAlign w:val="bottom"/>
          </w:tcPr>
          <w:p>
            <w:pPr>
              <w:ind w:left="20"/>
              <w:spacing w:after="0"/>
              <w:rPr>
                <w:sz w:val="20"/>
                <w:szCs w:val="20"/>
                <w:color w:val="auto"/>
              </w:rPr>
            </w:pPr>
            <w:r>
              <w:rPr>
                <w:rFonts w:ascii="Arial" w:cs="Arial" w:eastAsia="Arial" w:hAnsi="Arial"/>
                <w:sz w:val="14"/>
                <w:szCs w:val="14"/>
                <w:color w:val="auto"/>
              </w:rPr>
              <w:t>Less: Adjusted income tax expense</w:t>
            </w:r>
          </w:p>
        </w:tc>
        <w:tc>
          <w:tcPr>
            <w:tcW w:w="180" w:type="dxa"/>
            <w:vAlign w:val="bottom"/>
          </w:tcPr>
          <w:p>
            <w:pPr>
              <w:spacing w:after="0"/>
              <w:rPr>
                <w:sz w:val="16"/>
                <w:szCs w:val="16"/>
                <w:color w:val="auto"/>
              </w:rPr>
            </w:pPr>
          </w:p>
        </w:tc>
        <w:tc>
          <w:tcPr>
            <w:tcW w:w="1120" w:type="dxa"/>
            <w:vAlign w:val="bottom"/>
          </w:tcPr>
          <w:p>
            <w:pPr>
              <w:jc w:val="right"/>
              <w:ind w:right="127"/>
              <w:spacing w:after="0"/>
              <w:rPr>
                <w:sz w:val="20"/>
                <w:szCs w:val="20"/>
                <w:color w:val="auto"/>
              </w:rPr>
            </w:pPr>
            <w:r>
              <w:rPr>
                <w:rFonts w:ascii="Arial" w:cs="Arial" w:eastAsia="Arial" w:hAnsi="Arial"/>
                <w:sz w:val="14"/>
                <w:szCs w:val="14"/>
                <w:color w:val="auto"/>
              </w:rPr>
              <w:t>(5,754)</w:t>
            </w:r>
          </w:p>
        </w:tc>
        <w:tc>
          <w:tcPr>
            <w:tcW w:w="22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(10,686)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7"/>
              <w:spacing w:after="0"/>
              <w:rPr>
                <w:sz w:val="20"/>
                <w:szCs w:val="20"/>
                <w:color w:val="auto"/>
              </w:rPr>
            </w:pPr>
            <w:r>
              <w:rPr>
                <w:rFonts w:ascii="Arial" w:cs="Arial" w:eastAsia="Arial" w:hAnsi="Arial"/>
                <w:sz w:val="14"/>
                <w:szCs w:val="14"/>
                <w:color w:val="auto"/>
              </w:rPr>
              <w:t>(2,941)</w:t>
            </w:r>
          </w:p>
        </w:tc>
        <w:tc>
          <w:tcPr>
            <w:tcW w:w="26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(18,610)</w:t>
            </w:r>
          </w:p>
        </w:tc>
        <w:tc>
          <w:tcPr>
            <w:tcW w:w="0" w:type="dxa"/>
            <w:vAlign w:val="bottom"/>
          </w:tcPr>
          <w:p>
            <w:pPr>
              <w:spacing w:after="0"/>
              <w:rPr>
                <w:sz w:val="1"/>
                <w:szCs w:val="1"/>
                <w:color w:val="auto"/>
              </w:rPr>
            </w:pPr>
          </w:p>
        </w:tc>
      </w:tr>
      <w:tr>
        <w:trPr>
          <w:trHeight w:val="211"/>
        </w:trPr>
        <w:tc>
          <w:tcPr>
            <w:tcW w:w="57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Add: If-converted income tax expense</w:t>
            </w:r>
            <w:r>
              <w:rPr>
                <w:rFonts w:ascii="Arial" w:cs="Arial" w:eastAsia="Arial" w:hAnsi="Arial"/>
                <w:sz w:val="18"/>
                <w:szCs w:val="18"/>
                <w:color w:val="auto"/>
                <w:vertAlign w:val="superscript"/>
              </w:rPr>
              <w:t>(9)</w:t>
            </w:r>
          </w:p>
        </w:tc>
        <w:tc>
          <w:tcPr>
            <w:tcW w:w="180" w:type="dxa"/>
            <w:vAlign w:val="bottom"/>
            <w:tcBorders>
              <w:bottom w:val="single" w:sz="8" w:color="B6B6B6"/>
            </w:tcBorders>
          </w:tcPr>
          <w:p>
            <w:pPr>
              <w:spacing w:after="0"/>
              <w:rPr>
                <w:sz w:val="18"/>
                <w:szCs w:val="18"/>
                <w:color w:val="auto"/>
              </w:rPr>
            </w:pPr>
          </w:p>
        </w:tc>
        <w:tc>
          <w:tcPr>
            <w:tcW w:w="1120" w:type="dxa"/>
            <w:vAlign w:val="bottom"/>
            <w:tcBorders>
              <w:bottom w:val="single" w:sz="8" w:color="B6B6B6"/>
            </w:tcBorders>
          </w:tcPr>
          <w:p>
            <w:pPr>
              <w:jc w:val="right"/>
              <w:ind w:right="167"/>
              <w:spacing w:after="0"/>
              <w:rPr>
                <w:sz w:val="20"/>
                <w:szCs w:val="20"/>
                <w:color w:val="auto"/>
              </w:rPr>
            </w:pPr>
            <w:r>
              <w:rPr>
                <w:rFonts w:ascii="Arial" w:cs="Arial" w:eastAsia="Arial" w:hAnsi="Arial"/>
                <w:sz w:val="14"/>
                <w:szCs w:val="14"/>
                <w:color w:val="auto"/>
              </w:rPr>
              <w:t>6,854</w:t>
            </w:r>
          </w:p>
        </w:tc>
        <w:tc>
          <w:tcPr>
            <w:tcW w:w="22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16,303</w:t>
            </w:r>
          </w:p>
        </w:tc>
        <w:tc>
          <w:tcPr>
            <w:tcW w:w="80" w:type="dxa"/>
            <w:vAlign w:val="bottom"/>
            <w:tcBorders>
              <w:bottom w:val="single" w:sz="8" w:color="B6B6B6"/>
            </w:tcBorders>
          </w:tcPr>
          <w:p>
            <w:pPr>
              <w:spacing w:after="0"/>
              <w:rPr>
                <w:sz w:val="18"/>
                <w:szCs w:val="18"/>
                <w:color w:val="auto"/>
              </w:rPr>
            </w:pPr>
          </w:p>
        </w:tc>
        <w:tc>
          <w:tcPr>
            <w:tcW w:w="18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tcPr>
          <w:p>
            <w:pPr>
              <w:jc w:val="right"/>
              <w:ind w:right="147"/>
              <w:spacing w:after="0"/>
              <w:rPr>
                <w:sz w:val="20"/>
                <w:szCs w:val="20"/>
                <w:color w:val="auto"/>
              </w:rPr>
            </w:pPr>
            <w:r>
              <w:rPr>
                <w:rFonts w:ascii="Arial" w:cs="Arial" w:eastAsia="Arial" w:hAnsi="Arial"/>
                <w:sz w:val="14"/>
                <w:szCs w:val="14"/>
                <w:color w:val="auto"/>
              </w:rPr>
              <w:t>1,906</w:t>
            </w:r>
          </w:p>
        </w:tc>
        <w:tc>
          <w:tcPr>
            <w:tcW w:w="260" w:type="dxa"/>
            <w:vAlign w:val="bottom"/>
            <w:tcBorders>
              <w:bottom w:val="single" w:sz="8" w:color="B6B6B6"/>
            </w:tcBorders>
          </w:tcPr>
          <w:p>
            <w:pPr>
              <w:spacing w:after="0"/>
              <w:rPr>
                <w:sz w:val="18"/>
                <w:szCs w:val="18"/>
                <w:color w:val="auto"/>
              </w:rPr>
            </w:pPr>
          </w:p>
        </w:tc>
        <w:tc>
          <w:tcPr>
            <w:tcW w:w="10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27,923</w:t>
            </w:r>
          </w:p>
        </w:tc>
        <w:tc>
          <w:tcPr>
            <w:tcW w:w="0" w:type="dxa"/>
            <w:vAlign w:val="bottom"/>
          </w:tcPr>
          <w:p>
            <w:pPr>
              <w:spacing w:after="0"/>
              <w:rPr>
                <w:sz w:val="1"/>
                <w:szCs w:val="1"/>
                <w:color w:val="auto"/>
              </w:rPr>
            </w:pPr>
          </w:p>
        </w:tc>
      </w:tr>
      <w:tr>
        <w:trPr>
          <w:trHeight w:val="196"/>
        </w:trPr>
        <w:tc>
          <w:tcPr>
            <w:tcW w:w="57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if-converted net income</w:t>
            </w: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13,405</w:t>
            </w:r>
          </w:p>
        </w:tc>
        <w:tc>
          <w:tcPr>
            <w:tcW w:w="22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35,285</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51,425</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68,740</w:t>
            </w:r>
          </w:p>
        </w:tc>
        <w:tc>
          <w:tcPr>
            <w:tcW w:w="0" w:type="dxa"/>
            <w:vAlign w:val="bottom"/>
          </w:tcPr>
          <w:p>
            <w:pPr>
              <w:spacing w:after="0"/>
              <w:rPr>
                <w:sz w:val="1"/>
                <w:szCs w:val="1"/>
                <w:color w:val="auto"/>
              </w:rPr>
            </w:pPr>
          </w:p>
        </w:tc>
      </w:tr>
      <w:tr>
        <w:trPr>
          <w:trHeight w:val="356"/>
        </w:trPr>
        <w:tc>
          <w:tcPr>
            <w:tcW w:w="5760" w:type="dxa"/>
            <w:vAlign w:val="bottom"/>
          </w:tcPr>
          <w:p>
            <w:pPr>
              <w:ind w:left="20"/>
              <w:spacing w:after="0"/>
              <w:rPr>
                <w:sz w:val="20"/>
                <w:szCs w:val="20"/>
                <w:color w:val="auto"/>
              </w:rPr>
            </w:pPr>
            <w:r>
              <w:rPr>
                <w:rFonts w:ascii="Arial" w:cs="Arial" w:eastAsia="Arial" w:hAnsi="Arial"/>
                <w:sz w:val="14"/>
                <w:szCs w:val="14"/>
                <w:color w:val="auto"/>
              </w:rPr>
              <w:t>Weighted-average diluted shares of Class A common stock outstanding—GAAP</w:t>
            </w:r>
          </w:p>
        </w:tc>
        <w:tc>
          <w:tcPr>
            <w:tcW w:w="180" w:type="dxa"/>
            <w:vAlign w:val="bottom"/>
          </w:tcPr>
          <w:p>
            <w:pPr>
              <w:spacing w:after="0"/>
              <w:rPr>
                <w:sz w:val="24"/>
                <w:szCs w:val="24"/>
                <w:color w:val="auto"/>
              </w:rPr>
            </w:pPr>
          </w:p>
        </w:tc>
        <w:tc>
          <w:tcPr>
            <w:tcW w:w="1120" w:type="dxa"/>
            <w:vAlign w:val="bottom"/>
          </w:tcPr>
          <w:p>
            <w:pPr>
              <w:jc w:val="right"/>
              <w:ind w:right="167"/>
              <w:spacing w:after="0"/>
              <w:rPr>
                <w:sz w:val="20"/>
                <w:szCs w:val="20"/>
                <w:color w:val="auto"/>
              </w:rPr>
            </w:pPr>
            <w:r>
              <w:rPr>
                <w:rFonts w:ascii="Arial" w:cs="Arial" w:eastAsia="Arial" w:hAnsi="Arial"/>
                <w:sz w:val="14"/>
                <w:szCs w:val="14"/>
                <w:color w:val="auto"/>
              </w:rPr>
              <w:t>100,233,456</w:t>
            </w:r>
          </w:p>
        </w:tc>
        <w:tc>
          <w:tcPr>
            <w:tcW w:w="22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69,795,656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Arial" w:cs="Arial" w:eastAsia="Arial" w:hAnsi="Arial"/>
                <w:sz w:val="14"/>
                <w:szCs w:val="14"/>
                <w:color w:val="auto"/>
              </w:rPr>
              <w:t>74,959,485</w:t>
            </w:r>
          </w:p>
        </w:tc>
        <w:tc>
          <w:tcPr>
            <w:tcW w:w="26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53,115,490</w:t>
            </w:r>
          </w:p>
        </w:tc>
        <w:tc>
          <w:tcPr>
            <w:tcW w:w="0" w:type="dxa"/>
            <w:vAlign w:val="bottom"/>
          </w:tcPr>
          <w:p>
            <w:pPr>
              <w:spacing w:after="0"/>
              <w:rPr>
                <w:sz w:val="1"/>
                <w:szCs w:val="1"/>
                <w:color w:val="auto"/>
              </w:rPr>
            </w:pPr>
          </w:p>
        </w:tc>
      </w:tr>
      <w:tr>
        <w:trPr>
          <w:trHeight w:val="158"/>
        </w:trPr>
        <w:tc>
          <w:tcPr>
            <w:tcW w:w="5760" w:type="dxa"/>
            <w:vAlign w:val="bottom"/>
          </w:tcPr>
          <w:p>
            <w:pPr>
              <w:ind w:left="20"/>
              <w:spacing w:after="0" w:line="159" w:lineRule="exact"/>
              <w:rPr>
                <w:sz w:val="20"/>
                <w:szCs w:val="20"/>
                <w:color w:val="auto"/>
              </w:rPr>
            </w:pPr>
            <w:r>
              <w:rPr>
                <w:rFonts w:ascii="Arial" w:cs="Arial" w:eastAsia="Arial" w:hAnsi="Arial"/>
                <w:sz w:val="14"/>
                <w:szCs w:val="14"/>
                <w:color w:val="auto"/>
              </w:rPr>
              <w:t>Weighted average number of incremental shares from assumed vesting of RSUs and</w:t>
            </w:r>
          </w:p>
        </w:tc>
        <w:tc>
          <w:tcPr>
            <w:tcW w:w="180" w:type="dxa"/>
            <w:vAlign w:val="bottom"/>
          </w:tcPr>
          <w:p>
            <w:pPr>
              <w:spacing w:after="0"/>
              <w:rPr>
                <w:sz w:val="13"/>
                <w:szCs w:val="13"/>
                <w:color w:val="auto"/>
              </w:rPr>
            </w:pPr>
          </w:p>
        </w:tc>
        <w:tc>
          <w:tcPr>
            <w:tcW w:w="1120" w:type="dxa"/>
            <w:vAlign w:val="bottom"/>
            <w:vMerge w:val="restart"/>
          </w:tcPr>
          <w:p>
            <w:pPr>
              <w:jc w:val="right"/>
              <w:ind w:right="16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00" w:type="dxa"/>
            <w:vAlign w:val="bottom"/>
            <w:vMerge w:val="restart"/>
          </w:tcPr>
          <w:p>
            <w:pPr>
              <w:jc w:val="right"/>
              <w:ind w:right="14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color w:val="auto"/>
              </w:rPr>
              <w:t>9,564,794</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(10)</w:t>
            </w: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Weighted average number of incremental shares from if-converted PWP OpCo units</w:t>
            </w:r>
            <w:r>
              <w:rPr>
                <w:rFonts w:ascii="Arial" w:cs="Arial" w:eastAsia="Arial" w:hAnsi="Arial"/>
                <w:sz w:val="18"/>
                <w:szCs w:val="18"/>
                <w:color w:val="auto"/>
                <w:vertAlign w:val="superscript"/>
              </w:rPr>
              <w:t>(11)</w:t>
            </w:r>
          </w:p>
        </w:tc>
        <w:tc>
          <w:tcPr>
            <w:tcW w:w="18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16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32,727,568</w:t>
            </w:r>
          </w:p>
        </w:tc>
        <w:tc>
          <w:tcPr>
            <w:tcW w:w="80" w:type="dxa"/>
            <w:vAlign w:val="bottom"/>
            <w:tcBorders>
              <w:bottom w:val="single" w:sz="8" w:color="B6B6B6"/>
            </w:tcBorders>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147"/>
              <w:spacing w:after="0"/>
              <w:rPr>
                <w:sz w:val="20"/>
                <w:szCs w:val="20"/>
                <w:color w:val="auto"/>
              </w:rPr>
            </w:pPr>
            <w:r>
              <w:rPr>
                <w:rFonts w:ascii="Arial" w:cs="Arial" w:eastAsia="Arial" w:hAnsi="Arial"/>
                <w:sz w:val="14"/>
                <w:szCs w:val="14"/>
                <w:color w:val="auto"/>
              </w:rPr>
              <w:t>25,691,746</w:t>
            </w:r>
          </w:p>
        </w:tc>
        <w:tc>
          <w:tcPr>
            <w:tcW w:w="2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36,778,325</w:t>
            </w:r>
          </w:p>
        </w:tc>
        <w:tc>
          <w:tcPr>
            <w:tcW w:w="0" w:type="dxa"/>
            <w:vAlign w:val="bottom"/>
          </w:tcPr>
          <w:p>
            <w:pPr>
              <w:spacing w:after="0"/>
              <w:rPr>
                <w:sz w:val="1"/>
                <w:szCs w:val="1"/>
                <w:color w:val="auto"/>
              </w:rPr>
            </w:pPr>
          </w:p>
        </w:tc>
      </w:tr>
      <w:tr>
        <w:trPr>
          <w:trHeight w:val="196"/>
        </w:trPr>
        <w:tc>
          <w:tcPr>
            <w:tcW w:w="5760" w:type="dxa"/>
            <w:vAlign w:val="bottom"/>
            <w:shd w:val="clear" w:color="auto" w:fill="E3E1E9"/>
          </w:tcPr>
          <w:p>
            <w:pPr>
              <w:ind w:left="2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180" w:type="dxa"/>
            <w:vAlign w:val="bottom"/>
            <w:shd w:val="clear" w:color="auto" w:fill="E3E1E9"/>
          </w:tcPr>
          <w:p>
            <w:pPr>
              <w:spacing w:after="0"/>
              <w:rPr>
                <w:sz w:val="17"/>
                <w:szCs w:val="17"/>
                <w:color w:val="auto"/>
              </w:rPr>
            </w:pPr>
          </w:p>
        </w:tc>
        <w:tc>
          <w:tcPr>
            <w:tcW w:w="112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100,233,456</w:t>
            </w:r>
          </w:p>
        </w:tc>
        <w:tc>
          <w:tcPr>
            <w:tcW w:w="220" w:type="dxa"/>
            <w:vAlign w:val="bottom"/>
            <w:shd w:val="clear" w:color="auto" w:fill="E3E1E9"/>
          </w:tcPr>
          <w:p>
            <w:pPr>
              <w:spacing w:after="0"/>
              <w:rPr>
                <w:sz w:val="17"/>
                <w:szCs w:val="17"/>
                <w:color w:val="auto"/>
              </w:rPr>
            </w:pPr>
          </w:p>
        </w:tc>
        <w:tc>
          <w:tcPr>
            <w:tcW w:w="108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102,523,224</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spacing w:after="0"/>
              <w:rPr>
                <w:sz w:val="17"/>
                <w:szCs w:val="17"/>
                <w:color w:val="auto"/>
              </w:rPr>
            </w:pP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100,651,231</w:t>
            </w:r>
          </w:p>
        </w:tc>
        <w:tc>
          <w:tcPr>
            <w:tcW w:w="260" w:type="dxa"/>
            <w:vAlign w:val="bottom"/>
            <w:shd w:val="clear" w:color="auto" w:fill="E3E1E9"/>
          </w:tcPr>
          <w:p>
            <w:pPr>
              <w:spacing w:after="0"/>
              <w:rPr>
                <w:sz w:val="17"/>
                <w:szCs w:val="17"/>
                <w:color w:val="auto"/>
              </w:rPr>
            </w:pP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99,458,609</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per Class A share—diluted, if-converted</w:t>
            </w: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0.13</w:t>
            </w:r>
          </w:p>
        </w:tc>
        <w:tc>
          <w:tcPr>
            <w:tcW w:w="22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0.34</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0.51</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369"/>
        </w:trPr>
        <w:tc>
          <w:tcPr>
            <w:tcW w:w="5760" w:type="dxa"/>
            <w:vAlign w:val="bottom"/>
          </w:tcPr>
          <w:p>
            <w:pPr>
              <w:ind w:left="20"/>
              <w:spacing w:after="0"/>
              <w:rPr>
                <w:sz w:val="20"/>
                <w:szCs w:val="20"/>
                <w:color w:val="auto"/>
              </w:rPr>
            </w:pPr>
            <w:r>
              <w:rPr>
                <w:rFonts w:ascii="Arial" w:cs="Arial" w:eastAsia="Arial" w:hAnsi="Arial"/>
                <w:sz w:val="14"/>
                <w:szCs w:val="14"/>
                <w:b w:val="1"/>
                <w:bCs w:val="1"/>
                <w:color w:val="auto"/>
              </w:rPr>
              <w:t xml:space="preserve">Key metrics: </w:t>
            </w:r>
            <w:r>
              <w:rPr>
                <w:rFonts w:ascii="Arial" w:cs="Arial" w:eastAsia="Arial" w:hAnsi="Arial"/>
                <w:sz w:val="18"/>
                <w:szCs w:val="18"/>
                <w:b w:val="1"/>
                <w:bCs w:val="1"/>
                <w:color w:val="auto"/>
                <w:vertAlign w:val="superscript"/>
              </w:rPr>
              <w:t>(12)</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760" w:type="dxa"/>
            <w:vAlign w:val="bottom"/>
          </w:tcPr>
          <w:p>
            <w:pPr>
              <w:ind w:left="20"/>
              <w:spacing w:after="0"/>
              <w:rPr>
                <w:sz w:val="20"/>
                <w:szCs w:val="20"/>
                <w:color w:val="auto"/>
              </w:rPr>
            </w:pPr>
            <w:r>
              <w:rPr>
                <w:rFonts w:ascii="Arial" w:cs="Arial" w:eastAsia="Arial" w:hAnsi="Arial"/>
                <w:sz w:val="14"/>
                <w:szCs w:val="14"/>
                <w:color w:val="auto"/>
              </w:rPr>
              <w:t>GAAP operating income (loss) margin</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5.4 %</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5.5 %</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2"/>
        </w:trPr>
        <w:tc>
          <w:tcPr>
            <w:tcW w:w="5760" w:type="dxa"/>
            <w:vAlign w:val="bottom"/>
          </w:tcPr>
          <w:p>
            <w:pPr>
              <w:ind w:left="20"/>
              <w:spacing w:after="0"/>
              <w:rPr>
                <w:sz w:val="20"/>
                <w:szCs w:val="20"/>
                <w:color w:val="auto"/>
              </w:rPr>
            </w:pPr>
            <w:r>
              <w:rPr>
                <w:rFonts w:ascii="Arial" w:cs="Arial" w:eastAsia="Arial" w:hAnsi="Arial"/>
                <w:sz w:val="14"/>
                <w:szCs w:val="14"/>
                <w:color w:val="auto"/>
              </w:rPr>
              <w:t>Adjusted operating income margin</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14.2 %</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Arial" w:cs="Arial" w:eastAsia="Arial" w:hAnsi="Arial"/>
                <w:sz w:val="14"/>
                <w:szCs w:val="14"/>
                <w:color w:val="auto"/>
              </w:rPr>
              <w:t>GAAP compensation ratio</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96 %</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Arial" w:cs="Arial" w:eastAsia="Arial" w:hAnsi="Arial"/>
                <w:sz w:val="14"/>
                <w:szCs w:val="14"/>
                <w:color w:val="auto"/>
              </w:rPr>
              <w:t>Adjusted compensation ratio</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Arial" w:cs="Arial" w:eastAsia="Arial" w:hAnsi="Arial"/>
                <w:sz w:val="14"/>
                <w:szCs w:val="14"/>
                <w:color w:val="auto"/>
              </w:rPr>
              <w:t>GAAP effective tax rate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Arial" w:cs="Arial" w:eastAsia="Arial" w:hAnsi="Arial"/>
                <w:sz w:val="14"/>
                <w:szCs w:val="14"/>
                <w:color w:val="auto"/>
              </w:rPr>
              <w:t>Adjusted if-converted effective tax rate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34 %</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GAAP Reconciliation of Adjusted Results:</w:t>
      </w:r>
    </w:p>
    <w:p>
      <w:pPr>
        <w:spacing w:after="0" w:line="285" w:lineRule="exact"/>
        <w:rPr>
          <w:sz w:val="20"/>
          <w:szCs w:val="20"/>
          <w:color w:val="auto"/>
        </w:rPr>
      </w:pPr>
    </w:p>
    <w:p>
      <w:pPr>
        <w:jc w:val="both"/>
        <w:ind w:left="500" w:hanging="492"/>
        <w:spacing w:after="0" w:line="320"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Equity-based compensation not dilutive to investors in PWP or PWP OpCo includes the amortization of awards granted by PWP Professional Partners LP (the “Professional Partners Awards”), which were subject to the Vesting Acceleration in the second quarter of 2024. The vesting of these awards did not economically dilute PWP shareholders’ interests relative to the interests of other investors in PWP OpCo.</w:t>
      </w:r>
    </w:p>
    <w:p>
      <w:pPr>
        <w:spacing w:after="0" w:line="109" w:lineRule="exact"/>
        <w:rPr>
          <w:rFonts w:ascii="Arial" w:cs="Arial" w:eastAsia="Arial" w:hAnsi="Arial"/>
          <w:sz w:val="20"/>
          <w:szCs w:val="20"/>
          <w:color w:val="auto"/>
        </w:rPr>
      </w:pPr>
    </w:p>
    <w:p>
      <w:pPr>
        <w:jc w:val="both"/>
        <w:ind w:left="500" w:hanging="492"/>
        <w:spacing w:after="0" w:line="318"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Public company transaction related incentives includes equity-based compensation for transaction-related restricted stock units (“RSUs”) and performance restricted stock units (“PSUs”), which are directly related to milestone events that were part of a business combination that closed on June 24, 2021 (the “2021 Business Combination”), as well as employment taxes for these RSUs and PSUs. These expenses were outside of PWP’s normal and recurring bonus and compensation processes.</w:t>
      </w:r>
    </w:p>
    <w:p>
      <w:pPr>
        <w:spacing w:after="0" w:line="200" w:lineRule="exact"/>
        <w:rPr>
          <w:sz w:val="20"/>
          <w:szCs w:val="20"/>
          <w:color w:val="auto"/>
        </w:rPr>
      </w:pPr>
    </w:p>
    <w:p>
      <w:pPr>
        <w:spacing w:after="0" w:line="314" w:lineRule="exact"/>
        <w:rPr>
          <w:sz w:val="20"/>
          <w:szCs w:val="20"/>
          <w:color w:val="auto"/>
        </w:rPr>
      </w:pPr>
    </w:p>
    <w:p>
      <w:pPr>
        <w:jc w:val="both"/>
        <w:ind w:firstLine="8"/>
        <w:spacing w:after="0" w:line="259" w:lineRule="auto"/>
        <w:tabs>
          <w:tab w:leader="none" w:pos="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2" w:right="339" w:bottom="1440" w:gutter="0" w:footer="0" w:header="0"/>
        </w:sectPr>
      </w:pPr>
    </w:p>
    <w:bookmarkStart w:id="13" w:name="page14"/>
    <w:bookmarkEnd w:id="13"/>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jc w:val="both"/>
        <w:ind w:left="500" w:hanging="492"/>
        <w:spacing w:after="0" w:line="316"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During the second quarter of 2023, we began a review of the business, which resulted in headcount reductions in order to improve compensation alignment and to provide greater flexibility to advance strategic opportunities. Costs were incurred through the first quarter of 2024 and included separation and transition benefits and the accelerated amortization (net of forfeitures) of certain equity-based awards, including certain Professional Partners Awards and transaction-related RSUs and PSUs, which would have been adjusted through adjustments (1) and (2) above notwithstanding the business realignment.</w:t>
      </w:r>
    </w:p>
    <w:p>
      <w:pPr>
        <w:spacing w:after="0" w:line="113" w:lineRule="exact"/>
        <w:rPr>
          <w:rFonts w:ascii="Arial" w:cs="Arial" w:eastAsia="Arial" w:hAnsi="Arial"/>
          <w:sz w:val="20"/>
          <w:szCs w:val="20"/>
          <w:color w:val="auto"/>
        </w:rPr>
      </w:pPr>
    </w:p>
    <w:p>
      <w:pPr>
        <w:jc w:val="both"/>
        <w:ind w:left="500" w:right="100" w:hanging="492"/>
        <w:spacing w:after="0" w:line="326"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On November 30, 2016, we completed a business combination with Tudor, Pickering, Holt &amp; Co., LLC (TPH), an independent advisory firm focused on the energy industry. The adjustment reflects the amortization of intangible assets associated with the acquisition, and such assets will be fully amortized by November 30, 2026.</w:t>
      </w:r>
    </w:p>
    <w:p>
      <w:pPr>
        <w:spacing w:after="0" w:line="88" w:lineRule="exact"/>
        <w:rPr>
          <w:rFonts w:ascii="Arial" w:cs="Arial" w:eastAsia="Arial" w:hAnsi="Arial"/>
          <w:sz w:val="20"/>
          <w:szCs w:val="20"/>
          <w:color w:val="auto"/>
        </w:rPr>
      </w:pPr>
    </w:p>
    <w:p>
      <w:pPr>
        <w:jc w:val="both"/>
        <w:ind w:left="500" w:right="100" w:hanging="492"/>
        <w:spacing w:after="0" w:line="320"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Business combination transaction costs that were expensed associated with (i) the 2021 Business Combination, including equity-based vesting for transaction-related RSUs issued to non-employees and costs incurred related to the partnership restructuring that was contemplated during the implementation of the up-C structure at the time of the 2021 Business Combination and (ii) the acquisition of Devon Park Advisors which closed on October 1, 2025.</w:t>
      </w:r>
    </w:p>
    <w:p>
      <w:pPr>
        <w:spacing w:after="0" w:line="109" w:lineRule="exact"/>
        <w:rPr>
          <w:rFonts w:ascii="Arial" w:cs="Arial" w:eastAsia="Arial" w:hAnsi="Arial"/>
          <w:sz w:val="20"/>
          <w:szCs w:val="20"/>
          <w:color w:val="auto"/>
        </w:rPr>
      </w:pPr>
    </w:p>
    <w:p>
      <w:pPr>
        <w:ind w:left="500" w:hanging="492"/>
        <w:spacing w:after="0" w:line="342"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See reconciliation below for the components of the consolidated statements of operations included in non-compensation expense—GAAP as well as Adjusted non-compensation expense.</w:t>
      </w:r>
    </w:p>
    <w:p>
      <w:pPr>
        <w:spacing w:after="0" w:line="87" w:lineRule="exact"/>
        <w:rPr>
          <w:rFonts w:ascii="Arial" w:cs="Arial" w:eastAsia="Arial" w:hAnsi="Arial"/>
          <w:sz w:val="20"/>
          <w:szCs w:val="20"/>
          <w:color w:val="auto"/>
        </w:rPr>
      </w:pPr>
    </w:p>
    <w:p>
      <w:pPr>
        <w:ind w:left="500" w:right="20" w:hanging="492"/>
        <w:spacing w:after="0" w:line="342"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Includes the amortization of debt discounts and issuance costs for all periods presented and minimal charges related to the Vesting Acceleration for the nine months ended September 2024.</w:t>
      </w:r>
    </w:p>
    <w:p>
      <w:pPr>
        <w:spacing w:after="0" w:line="73" w:lineRule="exact"/>
        <w:rPr>
          <w:rFonts w:ascii="Arial" w:cs="Arial" w:eastAsia="Arial" w:hAnsi="Arial"/>
          <w:sz w:val="20"/>
          <w:szCs w:val="20"/>
          <w:color w:val="auto"/>
        </w:rPr>
      </w:pPr>
    </w:p>
    <w:p>
      <w:pPr>
        <w:jc w:val="both"/>
        <w:ind w:left="500" w:right="120" w:hanging="492"/>
        <w:spacing w:after="0" w:line="326"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adjusted income tax expense represents the Company’s calculated tax expense on adjusted non-GAAP results. It excludes the impact on income taxes of certain transaction-related items and other items not reflected in our adjusted non-GAAP results. It does not represent the cash that the Company expects to pay for taxes in the current periods.</w:t>
      </w:r>
    </w:p>
    <w:p>
      <w:pPr>
        <w:spacing w:after="0" w:line="102" w:lineRule="exact"/>
        <w:rPr>
          <w:rFonts w:ascii="Arial" w:cs="Arial" w:eastAsia="Arial" w:hAnsi="Arial"/>
          <w:sz w:val="20"/>
          <w:szCs w:val="20"/>
          <w:color w:val="auto"/>
        </w:rPr>
      </w:pPr>
    </w:p>
    <w:p>
      <w:pPr>
        <w:jc w:val="both"/>
        <w:ind w:left="500" w:hanging="492"/>
        <w:spacing w:after="0" w:line="326"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if-converted income tax expense represents the Company's calculated tax expense on adjusted non-GAAP results assuming the exchange of all PWP OpCo units for PWP Class A common stock, resulting in all of the Company’s results for the period being subject to corporate-level tax.</w:t>
      </w:r>
    </w:p>
    <w:p>
      <w:pPr>
        <w:spacing w:after="0" w:line="102" w:lineRule="exact"/>
        <w:rPr>
          <w:rFonts w:ascii="Arial" w:cs="Arial" w:eastAsia="Arial" w:hAnsi="Arial"/>
          <w:sz w:val="20"/>
          <w:szCs w:val="20"/>
          <w:color w:val="auto"/>
        </w:rPr>
      </w:pPr>
    </w:p>
    <w:p>
      <w:pPr>
        <w:ind w:left="500" w:hanging="492"/>
        <w:spacing w:after="0"/>
        <w:tabs>
          <w:tab w:leader="none" w:pos="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Represents the dilutive impact under the treasury stock method of unvested RSUs and PSUs.</w:t>
      </w:r>
    </w:p>
    <w:p>
      <w:pPr>
        <w:spacing w:after="0" w:line="202" w:lineRule="exact"/>
        <w:rPr>
          <w:rFonts w:ascii="Arial" w:cs="Arial" w:eastAsia="Arial" w:hAnsi="Arial"/>
          <w:sz w:val="20"/>
          <w:szCs w:val="20"/>
          <w:color w:val="auto"/>
        </w:rPr>
      </w:pPr>
    </w:p>
    <w:p>
      <w:pPr>
        <w:ind w:left="480" w:hanging="472"/>
        <w:spacing w:after="0"/>
        <w:tabs>
          <w:tab w:leader="none" w:pos="4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Represents the dilutive impact assuming the conversion of all PWP OpCo units to shares of Class A common stock.</w:t>
      </w:r>
    </w:p>
    <w:p>
      <w:pPr>
        <w:spacing w:after="0" w:line="215" w:lineRule="exact"/>
        <w:rPr>
          <w:rFonts w:ascii="Arial" w:cs="Arial" w:eastAsia="Arial" w:hAnsi="Arial"/>
          <w:sz w:val="20"/>
          <w:szCs w:val="20"/>
          <w:color w:val="auto"/>
        </w:rPr>
      </w:pPr>
    </w:p>
    <w:p>
      <w:pPr>
        <w:ind w:left="500" w:hanging="492"/>
        <w:spacing w:after="0"/>
        <w:tabs>
          <w:tab w:leader="none" w:pos="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Reconciliations of key metrics from GAAP to Adjusted results are a derivative of the reconciliation of their components.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8"/>
        <w:spacing w:after="0" w:line="259" w:lineRule="auto"/>
        <w:tabs>
          <w:tab w:leader="none" w:pos="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jc w:val="center"/>
        <w:ind w:right="1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277"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200" w:type="dxa"/>
            <w:vAlign w:val="bottom"/>
            <w:tcBorders>
              <w:bottom w:val="single" w:sz="8" w:color="B6B6B6"/>
            </w:tcBorders>
            <w:gridSpan w:val="4"/>
          </w:tcPr>
          <w:p>
            <w:pPr>
              <w:jc w:val="right"/>
              <w:ind w:right="48"/>
              <w:spacing w:after="0"/>
              <w:rPr>
                <w:sz w:val="20"/>
                <w:szCs w:val="20"/>
                <w:color w:val="auto"/>
              </w:rPr>
            </w:pPr>
            <w:r>
              <w:rPr>
                <w:rFonts w:ascii="Arial" w:cs="Arial" w:eastAsia="Arial" w:hAnsi="Arial"/>
                <w:sz w:val="14"/>
                <w:szCs w:val="14"/>
                <w:b w:val="1"/>
                <w:bCs w:val="1"/>
                <w:color w:val="503C64"/>
              </w:rPr>
              <w:t>Three Months Ended September 30, 2025</w:t>
            </w:r>
          </w:p>
        </w:tc>
        <w:tc>
          <w:tcPr>
            <w:tcW w:w="12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9,213</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(980) </w:t>
            </w:r>
            <w:r>
              <w:rPr>
                <w:rFonts w:ascii="Arial" w:cs="Arial" w:eastAsia="Arial" w:hAnsi="Arial"/>
                <w:sz w:val="12"/>
                <w:szCs w:val="12"/>
                <w:color w:val="auto"/>
              </w:rPr>
              <w:t>(1)</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8,233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9,588</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9,588</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5,974</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5,974</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5,418</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5,418</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4,219</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4,219</w:t>
            </w:r>
          </w:p>
        </w:tc>
      </w:tr>
      <w:tr>
        <w:trPr>
          <w:trHeight w:val="234"/>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20"/>
                <w:szCs w:val="20"/>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5,024</w:t>
            </w:r>
          </w:p>
        </w:tc>
        <w:tc>
          <w:tcPr>
            <w:tcW w:w="420" w:type="dxa"/>
            <w:vAlign w:val="bottom"/>
            <w:tcBorders>
              <w:bottom w:val="single" w:sz="8" w:color="B6B6B6"/>
            </w:tcBorders>
          </w:tcPr>
          <w:p>
            <w:pPr>
              <w:spacing w:after="0"/>
              <w:rPr>
                <w:sz w:val="20"/>
                <w:szCs w:val="20"/>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460" w:type="dxa"/>
            <w:vAlign w:val="bottom"/>
            <w:tcBorders>
              <w:bottom w:val="single" w:sz="8" w:color="B6B6B6"/>
            </w:tcBorders>
          </w:tcPr>
          <w:p>
            <w:pPr>
              <w:spacing w:after="0"/>
              <w:rPr>
                <w:sz w:val="20"/>
                <w:szCs w:val="20"/>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3,379</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39,436</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(2,625)</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36,811</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200" w:type="dxa"/>
            <w:vAlign w:val="bottom"/>
            <w:tcBorders>
              <w:bottom w:val="single" w:sz="8" w:color="B6B6B6"/>
            </w:tcBorders>
            <w:gridSpan w:val="4"/>
          </w:tcPr>
          <w:p>
            <w:pPr>
              <w:jc w:val="right"/>
              <w:ind w:right="48"/>
              <w:spacing w:after="0"/>
              <w:rPr>
                <w:sz w:val="20"/>
                <w:szCs w:val="20"/>
                <w:color w:val="auto"/>
              </w:rPr>
            </w:pPr>
            <w:r>
              <w:rPr>
                <w:rFonts w:ascii="Arial" w:cs="Arial" w:eastAsia="Arial" w:hAnsi="Arial"/>
                <w:sz w:val="14"/>
                <w:szCs w:val="14"/>
                <w:b w:val="1"/>
                <w:bCs w:val="1"/>
                <w:color w:val="503C64"/>
              </w:rPr>
              <w:t>Three Months Ended September 30, 2024</w:t>
            </w:r>
          </w:p>
        </w:tc>
        <w:tc>
          <w:tcPr>
            <w:tcW w:w="12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9,367</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(484) </w:t>
            </w:r>
            <w:r>
              <w:rPr>
                <w:rFonts w:ascii="Arial" w:cs="Arial" w:eastAsia="Arial" w:hAnsi="Arial"/>
                <w:sz w:val="12"/>
                <w:szCs w:val="12"/>
                <w:color w:val="auto"/>
              </w:rPr>
              <w:t>(3)</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8,883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8,852</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8,852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6,170</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6,170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4,497</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4,497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6,027</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6,027</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17"/>
                <w:szCs w:val="17"/>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5,130</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3,485</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40,043</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(2,129)</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37,914</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3860" w:type="dxa"/>
            <w:vAlign w:val="bottom"/>
            <w:tcBorders>
              <w:bottom w:val="single" w:sz="8" w:color="B6B6B6"/>
            </w:tcBorders>
            <w:gridSpan w:val="4"/>
          </w:tcPr>
          <w:p>
            <w:pPr>
              <w:jc w:val="right"/>
              <w:ind w:right="68"/>
              <w:spacing w:after="0"/>
              <w:rPr>
                <w:sz w:val="20"/>
                <w:szCs w:val="20"/>
                <w:color w:val="auto"/>
              </w:rPr>
            </w:pPr>
            <w:r>
              <w:rPr>
                <w:rFonts w:ascii="Arial" w:cs="Arial" w:eastAsia="Arial" w:hAnsi="Arial"/>
                <w:sz w:val="14"/>
                <w:szCs w:val="14"/>
                <w:b w:val="1"/>
                <w:bCs w:val="1"/>
                <w:color w:val="503C64"/>
              </w:rPr>
              <w:t>Nine Months Ended September 30, 2025</w:t>
            </w:r>
          </w:p>
        </w:tc>
        <w:tc>
          <w:tcPr>
            <w:tcW w:w="122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380" w:type="dxa"/>
            <w:vAlign w:val="bottom"/>
            <w:tcBorders>
              <w:bottom w:val="single" w:sz="8" w:color="B6B6B6"/>
            </w:tcBorders>
          </w:tcPr>
          <w:p>
            <w:pPr>
              <w:jc w:val="right"/>
              <w:ind w:right="648"/>
              <w:spacing w:after="0"/>
              <w:rPr>
                <w:sz w:val="20"/>
                <w:szCs w:val="20"/>
                <w:color w:val="auto"/>
              </w:rPr>
            </w:pPr>
            <w:r>
              <w:rPr>
                <w:rFonts w:ascii="Arial" w:cs="Arial" w:eastAsia="Arial" w:hAnsi="Arial"/>
                <w:sz w:val="14"/>
                <w:szCs w:val="14"/>
                <w:b w:val="1"/>
                <w:bCs w:val="1"/>
                <w:color w:val="503C64"/>
              </w:rPr>
              <w:t>GAAP</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35,308</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(980) </w:t>
            </w:r>
            <w:r>
              <w:rPr>
                <w:rFonts w:ascii="Arial" w:cs="Arial" w:eastAsia="Arial" w:hAnsi="Arial"/>
                <w:sz w:val="12"/>
                <w:szCs w:val="12"/>
                <w:color w:val="auto"/>
              </w:rPr>
              <w:t>(1)</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34,328</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28,114</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28,114</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18,896</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18,896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16,391</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16,391</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14,574</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14,574</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B6B6B6"/>
            </w:tcBorders>
          </w:tcPr>
          <w:p>
            <w:pPr>
              <w:spacing w:after="0"/>
              <w:rPr>
                <w:sz w:val="17"/>
                <w:szCs w:val="17"/>
                <w:color w:val="auto"/>
              </w:rPr>
            </w:pPr>
          </w:p>
        </w:tc>
        <w:tc>
          <w:tcPr>
            <w:tcW w:w="138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15,077</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(4,935) </w:t>
            </w:r>
            <w:r>
              <w:rPr>
                <w:rFonts w:ascii="Arial" w:cs="Arial" w:eastAsia="Arial" w:hAnsi="Arial"/>
                <w:sz w:val="12"/>
                <w:szCs w:val="12"/>
                <w:color w:val="auto"/>
              </w:rPr>
              <w:t>(2)</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10,142</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128,360</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(5,915)</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122,445</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00" w:type="dxa"/>
            <w:vAlign w:val="bottom"/>
            <w:tcBorders>
              <w:bottom w:val="single" w:sz="8" w:color="B6B6B6"/>
            </w:tcBorders>
          </w:tcPr>
          <w:p>
            <w:pPr>
              <w:spacing w:after="0"/>
              <w:rPr>
                <w:sz w:val="17"/>
                <w:szCs w:val="17"/>
                <w:color w:val="auto"/>
              </w:rPr>
            </w:pPr>
          </w:p>
        </w:tc>
        <w:tc>
          <w:tcPr>
            <w:tcW w:w="3220" w:type="dxa"/>
            <w:vAlign w:val="bottom"/>
            <w:tcBorders>
              <w:bottom w:val="single" w:sz="8" w:color="B6B6B6"/>
            </w:tcBorders>
            <w:gridSpan w:val="4"/>
          </w:tcPr>
          <w:p>
            <w:pPr>
              <w:jc w:val="center"/>
              <w:ind w:left="148"/>
              <w:spacing w:after="0"/>
              <w:rPr>
                <w:sz w:val="20"/>
                <w:szCs w:val="20"/>
                <w:color w:val="auto"/>
              </w:rPr>
            </w:pPr>
            <w:r>
              <w:rPr>
                <w:rFonts w:ascii="Arial" w:cs="Arial" w:eastAsia="Arial" w:hAnsi="Arial"/>
                <w:sz w:val="14"/>
                <w:szCs w:val="14"/>
                <w:b w:val="1"/>
                <w:bCs w:val="1"/>
                <w:color w:val="503C64"/>
              </w:rPr>
              <w:t>Nine Months Ended September 30, 2024</w:t>
            </w:r>
          </w:p>
        </w:tc>
        <w:tc>
          <w:tcPr>
            <w:tcW w:w="122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4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32,170</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(3,054) </w:t>
            </w:r>
            <w:r>
              <w:rPr>
                <w:rFonts w:ascii="Arial" w:cs="Arial" w:eastAsia="Arial" w:hAnsi="Arial"/>
                <w:sz w:val="12"/>
                <w:szCs w:val="12"/>
                <w:color w:val="auto"/>
              </w:rPr>
              <w:t>(3)</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29,116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26,749</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26,749</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18,307</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18,307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13,782</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13,782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0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17,769</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17,769</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Borders>
              <w:bottom w:val="single" w:sz="8" w:color="B6B6B6"/>
            </w:tcBorders>
          </w:tcPr>
          <w:p>
            <w:pPr>
              <w:spacing w:after="0"/>
              <w:rPr>
                <w:sz w:val="17"/>
                <w:szCs w:val="17"/>
                <w:color w:val="auto"/>
              </w:rPr>
            </w:pPr>
          </w:p>
        </w:tc>
        <w:tc>
          <w:tcPr>
            <w:tcW w:w="7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15,318</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(4,935) </w:t>
            </w:r>
            <w:r>
              <w:rPr>
                <w:rFonts w:ascii="Arial" w:cs="Arial" w:eastAsia="Arial" w:hAnsi="Arial"/>
                <w:sz w:val="12"/>
                <w:szCs w:val="12"/>
                <w:color w:val="auto"/>
              </w:rPr>
              <w:t>(2)</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10,383</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124,095</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(7,989)</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116,106</w:t>
            </w:r>
          </w:p>
        </w:tc>
      </w:tr>
    </w:tbl>
    <w:p>
      <w:pPr>
        <w:spacing w:after="0" w:line="200" w:lineRule="exact"/>
        <w:rPr>
          <w:sz w:val="20"/>
          <w:szCs w:val="20"/>
          <w:color w:val="auto"/>
        </w:rPr>
      </w:pPr>
    </w:p>
    <w:p>
      <w:pPr>
        <w:spacing w:after="0" w:line="238" w:lineRule="exact"/>
        <w:rPr>
          <w:sz w:val="20"/>
          <w:szCs w:val="20"/>
          <w:color w:val="auto"/>
        </w:rPr>
      </w:pPr>
    </w:p>
    <w:p>
      <w:pPr>
        <w:ind w:left="880" w:hanging="382"/>
        <w:spacing w:after="0"/>
        <w:tabs>
          <w:tab w:leader="none" w:pos="8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Devon Park acquisition.</w:t>
      </w:r>
    </w:p>
    <w:p>
      <w:pPr>
        <w:spacing w:after="0" w:line="15" w:lineRule="exact"/>
        <w:rPr>
          <w:rFonts w:ascii="Arial" w:cs="Arial" w:eastAsia="Arial" w:hAnsi="Arial"/>
          <w:sz w:val="14"/>
          <w:szCs w:val="14"/>
          <w:color w:val="auto"/>
        </w:rPr>
      </w:pPr>
    </w:p>
    <w:p>
      <w:pPr>
        <w:ind w:left="880" w:hanging="382"/>
        <w:spacing w:after="0"/>
        <w:tabs>
          <w:tab w:leader="none" w:pos="8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14" w:lineRule="exact"/>
        <w:rPr>
          <w:rFonts w:ascii="Arial" w:cs="Arial" w:eastAsia="Arial" w:hAnsi="Arial"/>
          <w:sz w:val="14"/>
          <w:szCs w:val="14"/>
          <w:color w:val="auto"/>
        </w:rPr>
      </w:pPr>
    </w:p>
    <w:p>
      <w:pPr>
        <w:ind w:left="880" w:hanging="382"/>
        <w:spacing w:after="0"/>
        <w:tabs>
          <w:tab w:leader="none" w:pos="8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2021 Business Combination.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97" w:lineRule="exact"/>
        <w:rPr>
          <w:rFonts w:ascii="Arial" w:cs="Arial" w:eastAsia="Arial" w:hAnsi="Arial"/>
          <w:sz w:val="14"/>
          <w:szCs w:val="14"/>
          <w:color w:val="auto"/>
        </w:rPr>
      </w:pPr>
    </w:p>
    <w:p>
      <w:pPr>
        <w:jc w:val="both"/>
        <w:spacing w:after="0" w:line="259" w:lineRule="auto"/>
        <w:rPr>
          <w:rFonts w:ascii="Arial" w:cs="Arial" w:eastAsia="Arial" w:hAnsi="Arial"/>
          <w:sz w:val="14"/>
          <w:szCs w:val="14"/>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lvl w:ilvl="1">
      <w:lvlJc w:val="left"/>
      <w:lvlText w:val="•"/>
      <w:numFmt w:val="bullet"/>
      <w:start w:val="1"/>
    </w:lvl>
  </w:abstractNum>
  <w:abstractNum w:abstractNumId="9">
    <w:nsid w:val="1BEFD79F"/>
    <w:multiLevelType w:val="hybridMultilevel"/>
    <w:lvl w:ilvl="0">
      <w:lvlJc w:val="left"/>
      <w:lvlText w:val="(%1)"/>
      <w:numFmt w:val="decimal"/>
      <w:start w:val="800"/>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3"/>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2025-11-07T06:24:48Z</dcterms:created>
  <dcterms:modified xsi:type="dcterms:W3CDTF">2025-11-07T06:24:48Z</dcterms:modified>
</cp:coreProperties>
</file>