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73025</wp:posOffset>
            </wp:positionV>
            <wp:extent cx="61804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121285</wp:posOffset>
            </wp:positionV>
            <wp:extent cx="61804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 2026</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80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79375</wp:posOffset>
            </wp:positionV>
            <wp:extent cx="6180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80"/>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59"/>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25"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7700"/>
        <w:spacing w:after="0" w:line="207" w:lineRule="exact"/>
        <w:tabs>
          <w:tab w:leader="none" w:pos="109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 2026, Perella Weinberg Partners (the “Company”) issued a press release announcing its financial results for the first quarter ended March 31, 2026. A copy of the press release is attached as Exhibit 99.1 to this Current Report on Form 8-K. The press release may contain hypertext links to information on the Company’s website. The information on the Company’s website is not incorporated by reference into and does not constitute a part of this Current Report on Form 8-K.</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3" w:lineRule="exact"/>
        <w:rPr>
          <w:sz w:val="20"/>
          <w:szCs w:val="20"/>
          <w:color w:val="auto"/>
        </w:rPr>
      </w:pPr>
    </w:p>
    <w:p>
      <w:pPr>
        <w:ind w:left="900" w:right="2700" w:hanging="1295"/>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Alexandra Gottschalk, Chief Financial Officer of the Company, has been appointed to the additional role of Chief Operating Officer of the Company, effective April 27, 2026.</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Ms. Gottschalk, 39, has served as our Chief Financial Officer since January 2024. Ms. Gottschalk is a seasoned financial executive, with nearly 20 years of finance and accounting experience. Prior to being named Chief Financial Officer, Ms. Gottschalk served as Chief Accounting Officer of the Company since 2019 where she played a key role in leading the firm through its public listing process in 2021. Ms. Gottschalk has also served as Controller of the Company or its business units (including TPH&amp;Co.) since 2010. Prior to that, she was with PricewaterhouseCoopers in the firm’s Assurance practice and began her career at Deloitte in the International Tax Group. Ms. Gottschalk serves on the Investment Committee of the Houston Zoo. She received a Master of Science in Accountancy and a Bachelor of Business Administration in Accounting from the University of Houston Honors College and is a Certified Public Accountant.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family relationship between Ms. Gottschalk and any other person that would require disclosure under Item 401(d) of Regulation S-K. Further, with regard to Ms. Gottschalk, there are no transactions since the beginning of the Company’s last fiscal year, or any currently proposed transaction, in which the Company is a participant that would require disclosure under Item 404(a)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“safe harbor” provisions of the United States Private Securities Litigation Reform Act of 1995, which reflect the Company’s current views with respect to, among other things, statements about the share repurchase program.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U.S. Securities and Exchange Commission. These filings and subsequent filings are or will be available online at www.sec.gov or on request from the Company.</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the Company dated May 1, 2026</w:t>
            </w:r>
          </w:p>
        </w:tc>
        <w:tc>
          <w:tcPr>
            <w:tcW w:w="5740" w:type="dxa"/>
            <w:vAlign w:val="bottom"/>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74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844"/>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293" w:lineRule="exact"/>
        <w:rPr>
          <w:sz w:val="20"/>
          <w:szCs w:val="20"/>
          <w:color w:val="auto"/>
        </w:rPr>
      </w:pPr>
    </w:p>
    <w:p>
      <w:pPr>
        <w:ind w:left="688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Chief Financial Officer and Chief Operating</w:t>
      </w:r>
    </w:p>
    <w:p>
      <w:pPr>
        <w:spacing w:after="0" w:line="3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 2026</w:t>
      </w:r>
    </w:p>
    <w:p>
      <w:pPr>
        <w:sectPr>
          <w:pgSz w:w="11900" w:h="16838" w:orient="portrait"/>
          <w:cols w:equalWidth="0" w:num="1">
            <w:col w:w="10980"/>
          </w:cols>
          <w:pgMar w:left="320" w:top="76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27"/>
          <w:szCs w:val="27"/>
          <w:color w:val="auto"/>
        </w:rPr>
        <w:t>Perella Weinberg Reports First Quarter 2026 Results</w:t>
      </w:r>
    </w:p>
    <w:p>
      <w:pPr>
        <w:spacing w:after="0" w:line="34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Financial Overview</w:t>
      </w:r>
    </w:p>
    <w:p>
      <w:pPr>
        <w:spacing w:after="0" w:line="123"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Revenues of $149 Million, Down 30% from a Record First Quarter a Year Ago</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GAAP Pre-Tax Loss of $(11) Million, Adjusted Pre-Tax Loss of $(3) Million</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2"/>
        </w:numPr>
        <w:rPr>
          <w:rFonts w:ascii="Arial" w:cs="Arial" w:eastAsia="Arial" w:hAnsi="Arial"/>
          <w:sz w:val="20"/>
          <w:szCs w:val="20"/>
          <w:i w:val="1"/>
          <w:iCs w:val="1"/>
          <w:color w:val="auto"/>
        </w:rPr>
      </w:pPr>
      <w:r>
        <w:rPr>
          <w:rFonts w:ascii="Arial" w:cs="Arial" w:eastAsia="Arial" w:hAnsi="Arial"/>
          <w:sz w:val="20"/>
          <w:szCs w:val="20"/>
          <w:color w:val="auto"/>
        </w:rPr>
        <w:t>GAAP Diluted EPS of $0.02, Adjusted EPS of $0.05</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Talent Investment</w:t>
      </w:r>
    </w:p>
    <w:p>
      <w:pPr>
        <w:spacing w:after="0" w:line="110" w:lineRule="exact"/>
        <w:rPr>
          <w:sz w:val="20"/>
          <w:szCs w:val="20"/>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Year-To-Date Added Two Partners and Eleven Managing Directors with an Additional MD to Join</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Gleacher Shacklock Acquisition to Add an Additional Five Partners and Three Managing Directors</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503C64"/>
        </w:rPr>
        <w:t>Capital Management</w:t>
      </w:r>
    </w:p>
    <w:p>
      <w:pPr>
        <w:spacing w:after="0" w:line="123" w:lineRule="exact"/>
        <w:rPr>
          <w:sz w:val="20"/>
          <w:szCs w:val="20"/>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Strong Balance Sheet with $78 Million of Cash and No Debt</w:t>
      </w:r>
    </w:p>
    <w:p>
      <w:pPr>
        <w:spacing w:after="0" w:line="121"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i w:val="1"/>
          <w:iCs w:val="1"/>
          <w:color w:val="auto"/>
        </w:rPr>
      </w:pPr>
      <w:r>
        <w:rPr>
          <w:rFonts w:ascii="Arial" w:cs="Arial" w:eastAsia="Arial" w:hAnsi="Arial"/>
          <w:sz w:val="20"/>
          <w:szCs w:val="20"/>
          <w:color w:val="auto"/>
        </w:rPr>
        <w:t>Retired More Than Two Million Shares and Share Equivalents through Net Settlement</w:t>
      </w:r>
    </w:p>
    <w:p>
      <w:pPr>
        <w:spacing w:after="0" w:line="107" w:lineRule="exact"/>
        <w:rPr>
          <w:rFonts w:ascii="Arial" w:cs="Arial" w:eastAsia="Arial" w:hAnsi="Arial"/>
          <w:sz w:val="20"/>
          <w:szCs w:val="20"/>
          <w:i w:val="1"/>
          <w:iCs w:val="1"/>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Returned $64 Million in Aggregate to Equity Holders</w:t>
      </w:r>
    </w:p>
    <w:p>
      <w:pPr>
        <w:spacing w:after="0" w:line="121" w:lineRule="exact"/>
        <w:rPr>
          <w:rFonts w:ascii="Arial" w:cs="Arial" w:eastAsia="Arial" w:hAnsi="Arial"/>
          <w:sz w:val="20"/>
          <w:szCs w:val="20"/>
          <w:color w:val="auto"/>
        </w:rPr>
      </w:pPr>
    </w:p>
    <w:p>
      <w:pPr>
        <w:ind w:left="560" w:hanging="309"/>
        <w:spacing w:after="0"/>
        <w:tabs>
          <w:tab w:leader="none" w:pos="56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Declared Quarterly Dividend of $0.07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8890" cy="977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97726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40" w:right="140"/>
        <w:spacing w:after="0" w:line="326" w:lineRule="auto"/>
        <w:rPr>
          <w:sz w:val="20"/>
          <w:szCs w:val="20"/>
          <w:color w:val="auto"/>
        </w:rPr>
      </w:pPr>
      <w:r>
        <w:rPr>
          <w:rFonts w:ascii="Arial" w:cs="Arial" w:eastAsia="Arial" w:hAnsi="Arial"/>
          <w:sz w:val="19"/>
          <w:szCs w:val="19"/>
          <w:color w:val="auto"/>
        </w:rPr>
        <w:t>“We continue to see momentum across our business – client dialogue remains exceptionally strong and our announced and pending backlog is at a two-year quarterly high. Our acquisition of Gleacher Shacklock adds meaningful presence in the UK</w:t>
      </w:r>
    </w:p>
    <w:p>
      <w:pPr>
        <w:jc w:val="both"/>
        <w:ind w:left="240" w:right="140"/>
        <w:spacing w:after="0" w:line="326" w:lineRule="auto"/>
        <w:rPr>
          <w:sz w:val="20"/>
          <w:szCs w:val="20"/>
          <w:color w:val="auto"/>
        </w:rPr>
      </w:pPr>
      <w:r>
        <w:rPr>
          <w:rFonts w:ascii="Arial" w:cs="Arial" w:eastAsia="Arial" w:hAnsi="Arial"/>
          <w:sz w:val="20"/>
          <w:szCs w:val="20"/>
          <w:color w:val="auto"/>
        </w:rPr>
        <w:t>– Europe's largest advisory market – and alongside our senior talent additions and the integration of Devon Park, we are more scaled and diversified geographically and by industry and product than at any point in our history. We remain focused on our clear and simple strategy to scale our business,” stated Andrew Bednar, Chief Executive Officer.</w:t>
      </w:r>
    </w:p>
    <w:p>
      <w:pPr>
        <w:spacing w:after="0" w:line="200" w:lineRule="exact"/>
        <w:rPr>
          <w:sz w:val="20"/>
          <w:szCs w:val="20"/>
          <w:color w:val="auto"/>
        </w:rPr>
      </w:pPr>
    </w:p>
    <w:p>
      <w:pPr>
        <w:spacing w:after="0" w:line="224" w:lineRule="exact"/>
        <w:rPr>
          <w:sz w:val="20"/>
          <w:szCs w:val="20"/>
          <w:color w:val="auto"/>
        </w:rPr>
      </w:pPr>
    </w:p>
    <w:p>
      <w:pPr>
        <w:ind w:right="240"/>
        <w:spacing w:after="0" w:line="344" w:lineRule="auto"/>
        <w:rPr>
          <w:sz w:val="20"/>
          <w:szCs w:val="20"/>
          <w:color w:val="auto"/>
        </w:rPr>
      </w:pPr>
      <w:r>
        <w:rPr>
          <w:rFonts w:ascii="Arial" w:cs="Arial" w:eastAsia="Arial" w:hAnsi="Arial"/>
          <w:sz w:val="20"/>
          <w:szCs w:val="20"/>
          <w:b w:val="1"/>
          <w:bCs w:val="1"/>
          <w:color w:val="auto"/>
        </w:rPr>
        <w:t xml:space="preserve">NEW YORK, NY, May 1, 2026 </w:t>
      </w:r>
      <w:r>
        <w:rPr>
          <w:rFonts w:ascii="Arial" w:cs="Arial" w:eastAsia="Arial" w:hAnsi="Arial"/>
          <w:sz w:val="20"/>
          <w:szCs w:val="20"/>
          <w:color w:val="auto"/>
        </w:rPr>
        <w:t>– Perella Weinberg Partners (the “Firm,” “Perella Weinberg,” or “PWP”) (NASDAQ:PWP) today</w:t>
      </w:r>
      <w:r>
        <w:rPr>
          <w:rFonts w:ascii="Arial" w:cs="Arial" w:eastAsia="Arial" w:hAnsi="Arial"/>
          <w:sz w:val="20"/>
          <w:szCs w:val="20"/>
          <w:b w:val="1"/>
          <w:bCs w:val="1"/>
          <w:color w:val="auto"/>
        </w:rPr>
        <w:t xml:space="preserve"> </w:t>
      </w:r>
      <w:r>
        <w:rPr>
          <w:rFonts w:ascii="Arial" w:cs="Arial" w:eastAsia="Arial" w:hAnsi="Arial"/>
          <w:sz w:val="20"/>
          <w:szCs w:val="20"/>
          <w:color w:val="auto"/>
        </w:rPr>
        <w:t>reported financial results for the first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8" w:right="339" w:bottom="1440" w:gutter="0" w:footer="0" w:header="0"/>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Revenues</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For the three months ended March 31, 2026, revenues were $148.9 million, a decrease of 30% from a first quarter record of $211.8 million a year ago, driven by fewer fee paying clients and a decline in closings across both M&amp;A and financing and capital solutions, partially offset by an increase in average fee per client.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Expenses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00" w:type="dxa"/>
            <w:vAlign w:val="bottom"/>
          </w:tcPr>
          <w:p>
            <w:pPr>
              <w:spacing w:after="0"/>
              <w:rPr>
                <w:sz w:val="20"/>
                <w:szCs w:val="20"/>
                <w:color w:val="auto"/>
              </w:rPr>
            </w:pPr>
          </w:p>
        </w:tc>
        <w:tc>
          <w:tcPr>
            <w:tcW w:w="240" w:type="dxa"/>
            <w:vAlign w:val="bottom"/>
            <w:tcBorders>
              <w:bottom w:val="single" w:sz="8" w:color="B6B6B6"/>
            </w:tcBorders>
          </w:tcPr>
          <w:p>
            <w:pPr>
              <w:spacing w:after="0"/>
              <w:rPr>
                <w:sz w:val="20"/>
                <w:szCs w:val="20"/>
                <w:color w:val="auto"/>
              </w:rPr>
            </w:pPr>
          </w:p>
        </w:tc>
        <w:tc>
          <w:tcPr>
            <w:tcW w:w="3520" w:type="dxa"/>
            <w:vAlign w:val="bottom"/>
            <w:tcBorders>
              <w:bottom w:val="single" w:sz="8" w:color="B6B6B6"/>
            </w:tcBorders>
            <w:gridSpan w:val="6"/>
          </w:tcPr>
          <w:p>
            <w:pPr>
              <w:jc w:val="right"/>
              <w:ind w:right="30"/>
              <w:spacing w:after="0"/>
              <w:rPr>
                <w:sz w:val="20"/>
                <w:szCs w:val="20"/>
                <w:color w:val="auto"/>
              </w:rPr>
            </w:pPr>
            <w:r>
              <w:rPr>
                <w:rFonts w:ascii="Arial" w:cs="Arial" w:eastAsia="Arial" w:hAnsi="Arial"/>
                <w:sz w:val="18"/>
                <w:szCs w:val="18"/>
                <w:b w:val="1"/>
                <w:bCs w:val="1"/>
                <w:color w:val="503C64"/>
              </w:rPr>
              <w:t>Three Months Ended March 31,</w:t>
            </w:r>
          </w:p>
        </w:tc>
        <w:tc>
          <w:tcPr>
            <w:tcW w:w="840" w:type="dxa"/>
            <w:vAlign w:val="bottom"/>
            <w:tcBorders>
              <w:bottom w:val="single" w:sz="8" w:color="B6B6B6"/>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B6B6B6"/>
            </w:tcBorders>
          </w:tcPr>
          <w:p>
            <w:pPr>
              <w:spacing w:after="0"/>
              <w:rPr>
                <w:sz w:val="19"/>
                <w:szCs w:val="19"/>
                <w:color w:val="auto"/>
              </w:rPr>
            </w:pPr>
          </w:p>
        </w:tc>
        <w:tc>
          <w:tcPr>
            <w:tcW w:w="240" w:type="dxa"/>
            <w:vAlign w:val="bottom"/>
            <w:tcBorders>
              <w:bottom w:val="single" w:sz="8" w:color="B6B6B6"/>
            </w:tcBorders>
          </w:tcPr>
          <w:p>
            <w:pPr>
              <w:spacing w:after="0"/>
              <w:rPr>
                <w:sz w:val="19"/>
                <w:szCs w:val="19"/>
                <w:color w:val="auto"/>
              </w:rPr>
            </w:pPr>
          </w:p>
        </w:tc>
        <w:tc>
          <w:tcPr>
            <w:tcW w:w="122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2026</w:t>
            </w:r>
          </w:p>
        </w:tc>
        <w:tc>
          <w:tcPr>
            <w:tcW w:w="980" w:type="dxa"/>
            <w:vAlign w:val="bottom"/>
            <w:tcBorders>
              <w:bottom w:val="single" w:sz="8" w:color="B6B6B6"/>
            </w:tcBorders>
          </w:tcPr>
          <w:p>
            <w:pPr>
              <w:spacing w:after="0"/>
              <w:rPr>
                <w:sz w:val="19"/>
                <w:szCs w:val="19"/>
                <w:color w:val="auto"/>
              </w:rPr>
            </w:pPr>
          </w:p>
        </w:tc>
        <w:tc>
          <w:tcPr>
            <w:tcW w:w="260" w:type="dxa"/>
            <w:vAlign w:val="bottom"/>
            <w:tcBorders>
              <w:bottom w:val="single" w:sz="8" w:color="B6B6B6"/>
            </w:tcBorders>
          </w:tcPr>
          <w:p>
            <w:pPr>
              <w:spacing w:after="0"/>
              <w:rPr>
                <w:sz w:val="19"/>
                <w:szCs w:val="19"/>
                <w:color w:val="auto"/>
              </w:rPr>
            </w:pPr>
          </w:p>
        </w:tc>
        <w:tc>
          <w:tcPr>
            <w:tcW w:w="1060" w:type="dxa"/>
            <w:vAlign w:val="bottom"/>
            <w:tcBorders>
              <w:bottom w:val="single" w:sz="8" w:color="B6B6B6"/>
            </w:tcBorders>
            <w:gridSpan w:val="2"/>
          </w:tcPr>
          <w:p>
            <w:pPr>
              <w:jc w:val="right"/>
              <w:spacing w:after="0"/>
              <w:rPr>
                <w:sz w:val="20"/>
                <w:szCs w:val="20"/>
                <w:color w:val="auto"/>
              </w:rPr>
            </w:pPr>
            <w:r>
              <w:rPr>
                <w:rFonts w:ascii="Arial" w:cs="Arial" w:eastAsia="Arial" w:hAnsi="Arial"/>
                <w:sz w:val="18"/>
                <w:szCs w:val="18"/>
                <w:b w:val="1"/>
                <w:bCs w:val="1"/>
                <w:color w:val="503C64"/>
              </w:rPr>
              <w:t>2025</w:t>
            </w:r>
          </w:p>
        </w:tc>
        <w:tc>
          <w:tcPr>
            <w:tcW w:w="840" w:type="dxa"/>
            <w:vAlign w:val="bottom"/>
            <w:tcBorders>
              <w:bottom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500" w:type="dxa"/>
            <w:vAlign w:val="bottom"/>
            <w:vMerge w:val="restart"/>
          </w:tcPr>
          <w:p>
            <w:pPr>
              <w:jc w:val="center"/>
              <w:ind w:right="4650"/>
              <w:spacing w:after="0"/>
              <w:rPr>
                <w:sz w:val="20"/>
                <w:szCs w:val="20"/>
                <w:color w:val="auto"/>
              </w:rPr>
            </w:pPr>
            <w:r>
              <w:rPr>
                <w:rFonts w:ascii="Arial" w:cs="Arial" w:eastAsia="Arial" w:hAnsi="Arial"/>
                <w:sz w:val="18"/>
                <w:szCs w:val="18"/>
                <w:b w:val="1"/>
                <w:bCs w:val="1"/>
                <w:color w:val="auto"/>
                <w:w w:val="99"/>
              </w:rPr>
              <w:t>Operating expenses</w:t>
            </w:r>
          </w:p>
        </w:tc>
        <w:tc>
          <w:tcPr>
            <w:tcW w:w="240" w:type="dxa"/>
            <w:vAlign w:val="bottom"/>
            <w:tcBorders>
              <w:bottom w:val="single" w:sz="8" w:color="B6B6B6"/>
            </w:tcBorders>
          </w:tcPr>
          <w:p>
            <w:pPr>
              <w:spacing w:after="0"/>
              <w:rPr>
                <w:sz w:val="16"/>
                <w:szCs w:val="16"/>
                <w:color w:val="auto"/>
              </w:rPr>
            </w:pPr>
          </w:p>
        </w:tc>
        <w:tc>
          <w:tcPr>
            <w:tcW w:w="960" w:type="dxa"/>
            <w:vAlign w:val="bottom"/>
            <w:tcBorders>
              <w:bottom w:val="single" w:sz="8" w:color="B6B6B6"/>
            </w:tcBorders>
          </w:tcPr>
          <w:p>
            <w:pPr>
              <w:jc w:val="right"/>
              <w:ind w:right="333"/>
              <w:spacing w:after="0"/>
              <w:rPr>
                <w:sz w:val="20"/>
                <w:szCs w:val="20"/>
                <w:color w:val="auto"/>
              </w:rPr>
            </w:pPr>
            <w:r>
              <w:rPr>
                <w:rFonts w:ascii="Arial" w:cs="Arial" w:eastAsia="Arial" w:hAnsi="Arial"/>
                <w:sz w:val="14"/>
                <w:szCs w:val="14"/>
                <w:b w:val="1"/>
                <w:bCs w:val="1"/>
                <w:color w:val="503C64"/>
              </w:rPr>
              <w:t>GAAP</w:t>
            </w:r>
          </w:p>
        </w:tc>
        <w:tc>
          <w:tcPr>
            <w:tcW w:w="260" w:type="dxa"/>
            <w:vAlign w:val="bottom"/>
            <w:tcBorders>
              <w:bottom w:val="single" w:sz="8" w:color="B6B6B6"/>
            </w:tcBorders>
          </w:tcPr>
          <w:p>
            <w:pPr>
              <w:spacing w:after="0"/>
              <w:rPr>
                <w:sz w:val="16"/>
                <w:szCs w:val="16"/>
                <w:color w:val="auto"/>
              </w:rPr>
            </w:pPr>
          </w:p>
        </w:tc>
        <w:tc>
          <w:tcPr>
            <w:tcW w:w="980" w:type="dxa"/>
            <w:vAlign w:val="bottom"/>
            <w:tcBorders>
              <w:bottom w:val="single" w:sz="8" w:color="B6B6B6"/>
            </w:tcBorders>
          </w:tcPr>
          <w:p>
            <w:pPr>
              <w:jc w:val="right"/>
              <w:ind w:right="216"/>
              <w:spacing w:after="0"/>
              <w:rPr>
                <w:sz w:val="20"/>
                <w:szCs w:val="20"/>
                <w:color w:val="auto"/>
              </w:rPr>
            </w:pPr>
            <w:r>
              <w:rPr>
                <w:rFonts w:ascii="Arial" w:cs="Arial" w:eastAsia="Arial" w:hAnsi="Arial"/>
                <w:sz w:val="14"/>
                <w:szCs w:val="14"/>
                <w:b w:val="1"/>
                <w:bCs w:val="1"/>
                <w:color w:val="503C64"/>
              </w:rPr>
              <w:t>Adjusted</w:t>
            </w:r>
          </w:p>
        </w:tc>
        <w:tc>
          <w:tcPr>
            <w:tcW w:w="260" w:type="dxa"/>
            <w:vAlign w:val="bottom"/>
            <w:tcBorders>
              <w:bottom w:val="single" w:sz="8" w:color="B6B6B6"/>
            </w:tcBorders>
          </w:tcPr>
          <w:p>
            <w:pPr>
              <w:spacing w:after="0"/>
              <w:rPr>
                <w:sz w:val="16"/>
                <w:szCs w:val="16"/>
                <w:color w:val="auto"/>
              </w:rPr>
            </w:pPr>
          </w:p>
        </w:tc>
        <w:tc>
          <w:tcPr>
            <w:tcW w:w="780" w:type="dxa"/>
            <w:vAlign w:val="bottom"/>
            <w:tcBorders>
              <w:bottom w:val="single" w:sz="8" w:color="B6B6B6"/>
            </w:tcBorders>
          </w:tcPr>
          <w:p>
            <w:pPr>
              <w:jc w:val="right"/>
              <w:ind w:right="193"/>
              <w:spacing w:after="0"/>
              <w:rPr>
                <w:sz w:val="20"/>
                <w:szCs w:val="20"/>
                <w:color w:val="auto"/>
              </w:rPr>
            </w:pPr>
            <w:r>
              <w:rPr>
                <w:rFonts w:ascii="Arial" w:cs="Arial" w:eastAsia="Arial" w:hAnsi="Arial"/>
                <w:sz w:val="14"/>
                <w:szCs w:val="14"/>
                <w:b w:val="1"/>
                <w:bCs w:val="1"/>
                <w:color w:val="503C64"/>
              </w:rPr>
              <w:t>GAAP</w:t>
            </w:r>
          </w:p>
        </w:tc>
        <w:tc>
          <w:tcPr>
            <w:tcW w:w="280" w:type="dxa"/>
            <w:vAlign w:val="bottom"/>
            <w:tcBorders>
              <w:bottom w:val="single" w:sz="8" w:color="B6B6B6"/>
            </w:tcBorders>
          </w:tcPr>
          <w:p>
            <w:pPr>
              <w:spacing w:after="0"/>
              <w:rPr>
                <w:sz w:val="16"/>
                <w:szCs w:val="16"/>
                <w:color w:val="auto"/>
              </w:rPr>
            </w:pPr>
          </w:p>
        </w:tc>
        <w:tc>
          <w:tcPr>
            <w:tcW w:w="840" w:type="dxa"/>
            <w:vAlign w:val="bottom"/>
            <w:tcBorders>
              <w:bottom w:val="single" w:sz="8" w:color="B6B6B6"/>
            </w:tcBorders>
          </w:tcPr>
          <w:p>
            <w:pPr>
              <w:jc w:val="right"/>
              <w:ind w:right="114"/>
              <w:spacing w:after="0"/>
              <w:rPr>
                <w:sz w:val="20"/>
                <w:szCs w:val="20"/>
                <w:color w:val="auto"/>
              </w:rPr>
            </w:pPr>
            <w:r>
              <w:rPr>
                <w:rFonts w:ascii="Arial" w:cs="Arial" w:eastAsia="Arial" w:hAnsi="Arial"/>
                <w:sz w:val="14"/>
                <w:szCs w:val="14"/>
                <w:b w:val="1"/>
                <w:bCs w:val="1"/>
                <w:color w:val="503C64"/>
              </w:rPr>
              <w:t>Adjusted</w:t>
            </w:r>
          </w:p>
        </w:tc>
        <w:tc>
          <w:tcPr>
            <w:tcW w:w="0" w:type="dxa"/>
            <w:vAlign w:val="bottom"/>
          </w:tcPr>
          <w:p>
            <w:pPr>
              <w:spacing w:after="0"/>
              <w:rPr>
                <w:sz w:val="1"/>
                <w:szCs w:val="1"/>
                <w:color w:val="auto"/>
              </w:rPr>
            </w:pPr>
          </w:p>
        </w:tc>
      </w:tr>
      <w:tr>
        <w:trPr>
          <w:trHeight w:val="205"/>
        </w:trPr>
        <w:tc>
          <w:tcPr>
            <w:tcW w:w="65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503C64"/>
              </w:rPr>
              <w:t>(Dollars in Millions)</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500" w:type="dxa"/>
            <w:vAlign w:val="bottom"/>
          </w:tcPr>
          <w:p>
            <w:pPr>
              <w:ind w:left="120"/>
              <w:spacing w:after="0"/>
              <w:rPr>
                <w:sz w:val="20"/>
                <w:szCs w:val="20"/>
                <w:color w:val="auto"/>
              </w:rPr>
            </w:pPr>
            <w:r>
              <w:rPr>
                <w:rFonts w:ascii="Arial" w:cs="Arial" w:eastAsia="Arial" w:hAnsi="Arial"/>
                <w:sz w:val="18"/>
                <w:szCs w:val="18"/>
                <w:color w:val="auto"/>
              </w:rPr>
              <w:t>Total compensation and benefits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122.1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117.1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149.2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27"/>
        </w:trPr>
        <w:tc>
          <w:tcPr>
            <w:tcW w:w="6500" w:type="dxa"/>
            <w:vAlign w:val="bottom"/>
          </w:tcPr>
          <w:p>
            <w:pPr>
              <w:jc w:val="center"/>
              <w:ind w:right="463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82%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79%</w:t>
            </w:r>
          </w:p>
        </w:tc>
        <w:tc>
          <w:tcPr>
            <w:tcW w:w="260" w:type="dxa"/>
            <w:vAlign w:val="bottom"/>
          </w:tcPr>
          <w:p>
            <w:pPr>
              <w:spacing w:after="0"/>
              <w:rPr>
                <w:sz w:val="19"/>
                <w:szCs w:val="19"/>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i w:val="1"/>
                <w:iCs w:val="1"/>
                <w:color w:val="auto"/>
              </w:rPr>
              <w:t>70%</w:t>
            </w:r>
          </w:p>
        </w:tc>
        <w:tc>
          <w:tcPr>
            <w:tcW w:w="28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i w:val="1"/>
                <w:iCs w:val="1"/>
                <w:color w:val="auto"/>
              </w:rPr>
              <w:t>67%</w:t>
            </w:r>
          </w:p>
        </w:tc>
        <w:tc>
          <w:tcPr>
            <w:tcW w:w="0" w:type="dxa"/>
            <w:vAlign w:val="bottom"/>
          </w:tcPr>
          <w:p>
            <w:pPr>
              <w:spacing w:after="0"/>
              <w:rPr>
                <w:sz w:val="1"/>
                <w:szCs w:val="1"/>
                <w:color w:val="auto"/>
              </w:rPr>
            </w:pPr>
          </w:p>
        </w:tc>
      </w:tr>
      <w:tr>
        <w:trPr>
          <w:trHeight w:val="232"/>
        </w:trPr>
        <w:tc>
          <w:tcPr>
            <w:tcW w:w="6500" w:type="dxa"/>
            <w:vAlign w:val="bottom"/>
          </w:tcPr>
          <w:p>
            <w:pPr>
              <w:ind w:left="120"/>
              <w:spacing w:after="0"/>
              <w:rPr>
                <w:sz w:val="20"/>
                <w:szCs w:val="20"/>
                <w:color w:val="auto"/>
              </w:rPr>
            </w:pPr>
            <w:r>
              <w:rPr>
                <w:rFonts w:ascii="Arial" w:cs="Arial" w:eastAsia="Arial" w:hAnsi="Arial"/>
                <w:sz w:val="18"/>
                <w:szCs w:val="18"/>
                <w:color w:val="auto"/>
              </w:rPr>
              <w:t>Non-compensation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39.8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37.4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7"/>
        </w:trPr>
        <w:tc>
          <w:tcPr>
            <w:tcW w:w="6500" w:type="dxa"/>
            <w:vAlign w:val="bottom"/>
          </w:tcPr>
          <w:p>
            <w:pPr>
              <w:jc w:val="center"/>
              <w:ind w:right="4630"/>
              <w:spacing w:after="0"/>
              <w:rPr>
                <w:sz w:val="20"/>
                <w:szCs w:val="20"/>
                <w:color w:val="auto"/>
              </w:rPr>
            </w:pPr>
            <w:r>
              <w:rPr>
                <w:rFonts w:ascii="Arial" w:cs="Arial" w:eastAsia="Arial" w:hAnsi="Arial"/>
                <w:sz w:val="18"/>
                <w:szCs w:val="18"/>
                <w:i w:val="1"/>
                <w:iCs w:val="1"/>
                <w:color w:val="auto"/>
                <w:w w:val="99"/>
              </w:rPr>
              <w:t>% of Revenues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27%</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25%</w:t>
            </w:r>
          </w:p>
        </w:tc>
        <w:tc>
          <w:tcPr>
            <w:tcW w:w="26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i w:val="1"/>
                <w:iCs w:val="1"/>
                <w:color w:val="auto"/>
              </w:rPr>
              <w:t>24%</w:t>
            </w:r>
          </w:p>
        </w:tc>
        <w:tc>
          <w:tcPr>
            <w:tcW w:w="28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GAAP total compensation and benefits were $122.1 million for the first quarter of 2026, compared to $149.2 million for the first quarter of 2025. Adjusted total compensation and benefits were $117.1 million for the first quarter of 2026, compared to $141.9 million for the same period a year ago. The decrease was driven by a lower discretionary bonus accrual on lower revenues. Excluding the bonus decrease, compensation expense increased year-over-year due to higher cash compensation and equity amortization from investments in new hires and higher headcount. The higher compensation margin reflects the decline in revenues on an absolute dollar basis against a higher non-bonus compensation base, compounded by the timing of restricted stock units (“RSU”) vesting from prior stock-based compensation awards, which is concentrated in the first quarter.</w:t>
      </w:r>
    </w:p>
    <w:p>
      <w:pPr>
        <w:spacing w:after="0" w:line="209"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GAAP non-compensation expenses were $39.8 million for the first quarter of 2026, compared to $50.9 million for the first quarter of 2025. Adjusted non-compensation expenses were $37.4 million for the first quarter of 2026, compared to $49.3 million for the same period a year ago. The decrease in non-compensation expenses was largely driven by lower professional fees and a decrease in bad debt expense.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8"/>
        <w:spacing w:after="0" w:line="259" w:lineRule="auto"/>
        <w:tabs>
          <w:tab w:leader="none" w:pos="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Provision for Income Taxes</w:t>
      </w:r>
    </w:p>
    <w:p>
      <w:pPr>
        <w:spacing w:after="0" w:line="312"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As of March 31, 2026, Perella Weinberg Partners owned 76.3% of the operating partnership (“PWP OpCo”) and is subject to U.S. federal and state corporate income tax on its allocable share of earnings. Income earned by PWP OpCo is subject to certain state, local, and foreign income taxes. The GAAP effective tax rate for the three months ended March 31, 2026 was 93%, which included $6.6 million of tax benefit from RSUs that vested at a share price higher than the grant price.</w:t>
      </w:r>
    </w:p>
    <w:p>
      <w:pPr>
        <w:spacing w:after="0" w:line="204" w:lineRule="exact"/>
        <w:rPr>
          <w:sz w:val="20"/>
          <w:szCs w:val="20"/>
          <w:color w:val="auto"/>
        </w:rPr>
      </w:pPr>
    </w:p>
    <w:p>
      <w:pPr>
        <w:jc w:val="both"/>
        <w:spacing w:after="0" w:line="318" w:lineRule="auto"/>
        <w:rPr>
          <w:sz w:val="20"/>
          <w:szCs w:val="20"/>
          <w:color w:val="auto"/>
        </w:rPr>
      </w:pPr>
      <w:r>
        <w:rPr>
          <w:rFonts w:ascii="Arial" w:cs="Arial" w:eastAsia="Arial" w:hAnsi="Arial"/>
          <w:sz w:val="20"/>
          <w:szCs w:val="20"/>
          <w:color w:val="auto"/>
        </w:rPr>
        <w:t>For purposes of calculating adjusted if-converted net income, we present our results as if all partnership units had been converted to shares of Class A common stock and as if all of our adjusted results were subject to U.S. corporate income tax. For the three months ended March 31, 2026, adjusted if-converted net income included $7.4 million of tax benefit from the vesting of RSUs at a share price higher than the grant price. Excluding this benefit, the adjusted if-converted effective tax rate would have been 28%.</w:t>
      </w:r>
    </w:p>
    <w:p>
      <w:pPr>
        <w:spacing w:after="0" w:line="200" w:lineRule="exact"/>
        <w:rPr>
          <w:sz w:val="20"/>
          <w:szCs w:val="20"/>
          <w:color w:val="auto"/>
        </w:rPr>
      </w:pPr>
    </w:p>
    <w:p>
      <w:pPr>
        <w:spacing w:after="0" w:line="300" w:lineRule="exact"/>
        <w:rPr>
          <w:sz w:val="20"/>
          <w:szCs w:val="20"/>
          <w:color w:val="auto"/>
        </w:rPr>
      </w:pPr>
    </w:p>
    <w:p>
      <w:pPr>
        <w:jc w:val="both"/>
        <w:ind w:firstLine="8"/>
        <w:spacing w:after="0" w:line="259"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Balance Sheet and Capital Management</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As of March 31, 2026, we had $77.7 million of cash with no outstanding indebtedness and an undrawn revolving credit facility.</w:t>
      </w:r>
    </w:p>
    <w:p>
      <w:pPr>
        <w:spacing w:after="0" w:line="310"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During the three months ended March 31, 2026, we returned $63.8 million in aggregate to our equity holders through: (i) the net settlement of 2,738,502 share equivalents at an average price per share of $20.14 and (ii) the payment of aggregate dividends of $8.6 million to Class A common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At March 31, 2026, there were 70.6 million shares of Class A common stock and 21.9 million partnership units outstanding.</w:t>
      </w:r>
    </w:p>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The Board of Directors has declared a quarterly dividend of $0.07 per share of Class A common stock. The dividend will be paid on June 15, 2026 to Class A common stockholders of record on June 1, 2026.</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Conference Call and Webcast</w:t>
      </w:r>
    </w:p>
    <w:p>
      <w:pPr>
        <w:spacing w:after="0" w:line="31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Management will host a webcast and conference call on Friday, May 1, 2026 at 9:00 am ET to discuss Perella Weinberg’s financial results for the first quarter ended March 31, 2026.</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20"/>
          <w:szCs w:val="20"/>
          <w:color w:val="auto"/>
        </w:rPr>
        <w:t>A webcast of the conference call will be made available in the Investors section of Perella Weinberg’s website at https://investors.pwpartners.com/.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also be accessed by the following dial-in information:</w:t>
      </w:r>
    </w:p>
    <w:p>
      <w:pPr>
        <w:spacing w:after="0" w:line="310" w:lineRule="exact"/>
        <w:rPr>
          <w:sz w:val="20"/>
          <w:szCs w:val="20"/>
          <w:color w:val="auto"/>
        </w:rPr>
      </w:pPr>
    </w:p>
    <w:p>
      <w:pPr>
        <w:ind w:left="880" w:hanging="386"/>
        <w:spacing w:after="0"/>
        <w:tabs>
          <w:tab w:leader="none" w:pos="880" w:val="left"/>
        </w:tabs>
        <w:numPr>
          <w:ilvl w:val="0"/>
          <w:numId w:val="9"/>
        </w:numPr>
        <w:rPr>
          <w:rFonts w:ascii="Arial" w:cs="Arial" w:eastAsia="Arial" w:hAnsi="Arial"/>
          <w:sz w:val="20"/>
          <w:szCs w:val="20"/>
          <w:color w:val="auto"/>
        </w:rPr>
      </w:pPr>
      <w:r>
        <w:rPr>
          <w:rFonts w:ascii="Arial" w:cs="Arial" w:eastAsia="Arial" w:hAnsi="Arial"/>
          <w:sz w:val="20"/>
          <w:szCs w:val="20"/>
          <w:color w:val="auto"/>
        </w:rPr>
        <w:t>Domestic: (800) 245-3047</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9"/>
        </w:numPr>
        <w:rPr>
          <w:rFonts w:ascii="Arial" w:cs="Arial" w:eastAsia="Arial" w:hAnsi="Arial"/>
          <w:sz w:val="20"/>
          <w:szCs w:val="20"/>
          <w:color w:val="auto"/>
        </w:rPr>
      </w:pPr>
      <w:r>
        <w:rPr>
          <w:rFonts w:ascii="Arial" w:cs="Arial" w:eastAsia="Arial" w:hAnsi="Arial"/>
          <w:sz w:val="20"/>
          <w:szCs w:val="20"/>
          <w:color w:val="auto"/>
        </w:rPr>
        <w:t>International: (203) 518-9765</w:t>
      </w:r>
    </w:p>
    <w:p>
      <w:pPr>
        <w:spacing w:after="0" w:line="67" w:lineRule="exact"/>
        <w:rPr>
          <w:rFonts w:ascii="Arial" w:cs="Arial" w:eastAsia="Arial" w:hAnsi="Arial"/>
          <w:sz w:val="20"/>
          <w:szCs w:val="20"/>
          <w:color w:val="auto"/>
        </w:rPr>
      </w:pPr>
    </w:p>
    <w:p>
      <w:pPr>
        <w:ind w:left="880" w:hanging="386"/>
        <w:spacing w:after="0"/>
        <w:tabs>
          <w:tab w:leader="none" w:pos="88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Conference ID: PWPQ126</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Replay</w:t>
      </w:r>
    </w:p>
    <w:p>
      <w:pPr>
        <w:spacing w:after="0" w:line="312" w:lineRule="exact"/>
        <w:rPr>
          <w:sz w:val="20"/>
          <w:szCs w:val="20"/>
          <w:color w:val="auto"/>
        </w:rPr>
      </w:pPr>
    </w:p>
    <w:p>
      <w:pPr>
        <w:jc w:val="both"/>
        <w:spacing w:after="0" w:line="326" w:lineRule="auto"/>
        <w:rPr>
          <w:sz w:val="20"/>
          <w:szCs w:val="20"/>
          <w:color w:val="auto"/>
        </w:rPr>
      </w:pPr>
      <w:r>
        <w:rPr>
          <w:rFonts w:ascii="Arial" w:cs="Arial" w:eastAsia="Arial" w:hAnsi="Arial"/>
          <w:sz w:val="20"/>
          <w:szCs w:val="20"/>
          <w:color w:val="auto"/>
        </w:rPr>
        <w:t>A replay of the call will also be available two hours after the live call through May 8, 2026. To access the replay, dial (800) 839-6136 (Domestic) or (402) 220-2572 (International). The replay can also be accessed on the Investors section of the Company’s website at https://investors.pwpartners.com/.</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20"/>
          <w:szCs w:val="20"/>
          <w:color w:val="auto"/>
        </w:rPr>
        <w:t>For those who listen to the rebroadcast of the call, we remind you that the remarks made are as of May 1, 2026, and have not been updated subsequent to the initial earnings call.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8"/>
        <w:spacing w:after="0" w:line="259" w:lineRule="auto"/>
        <w:tabs>
          <w:tab w:leader="none" w:pos="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About Perella Weinberg</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Perella Weinberg is a leading global independent advisory firm, providing strategic and financial advice to a broad client base, including corporations, financial sponsors, governments, and sovereign wealth funds. The Firm offers a wide range of advisory services to clients in some of the most active industry sectors and global markets. With approximately 700 employees, Perella Weinberg currently maintains offices in New York, London, Houston, Los Angeles, San Francisco, Paris, Chicago, Munich, Palm Beach, Denver, Calgary, and Greenwich. The financial information of Perella Weinberg herein refers to the business operations of PWP Holdings LP and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Contacts</w:t>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Investor Relations: investors@pwpartners.com</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For Perella Weinberg Media: media@pwpartners.com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8"/>
        <w:spacing w:after="0" w:line="259" w:lineRule="auto"/>
        <w:tabs>
          <w:tab w:leader="none" w:pos="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503C64"/>
        </w:rPr>
        <w:t>Non-GAAP Financial Measures</w:t>
      </w:r>
    </w:p>
    <w:p>
      <w:pPr>
        <w:spacing w:after="0" w:line="312"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208"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included elsewhere in this press release.</w:t>
      </w:r>
    </w:p>
    <w:p>
      <w:pPr>
        <w:spacing w:after="0" w:line="209" w:lineRule="exact"/>
        <w:rPr>
          <w:sz w:val="20"/>
          <w:szCs w:val="20"/>
          <w:color w:val="auto"/>
        </w:rPr>
      </w:pPr>
    </w:p>
    <w:p>
      <w:pPr>
        <w:jc w:val="both"/>
        <w:spacing w:after="0" w:line="341" w:lineRule="auto"/>
        <w:rPr>
          <w:sz w:val="20"/>
          <w:szCs w:val="20"/>
          <w:color w:val="auto"/>
        </w:rPr>
      </w:pPr>
      <w:r>
        <w:rPr>
          <w:rFonts w:ascii="Arial" w:cs="Arial" w:eastAsia="Arial" w:hAnsi="Arial"/>
          <w:sz w:val="19"/>
          <w:szCs w:val="19"/>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See “Non-GAAP Financial Measures” and the tables at the end of this release for an explanation of the adjustments and reconciliations to the comparable GAAP numbers.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503C64"/>
        </w:rPr>
        <w:t>Cautionary Statement Regarding Forward-Looking Statements</w:t>
      </w:r>
    </w:p>
    <w:p>
      <w:pPr>
        <w:spacing w:after="0" w:line="312" w:lineRule="exact"/>
        <w:rPr>
          <w:sz w:val="20"/>
          <w:szCs w:val="20"/>
          <w:color w:val="auto"/>
        </w:rPr>
      </w:pPr>
    </w:p>
    <w:p>
      <w:pPr>
        <w:jc w:val="both"/>
        <w:spacing w:after="0" w:line="313" w:lineRule="auto"/>
        <w:rPr>
          <w:sz w:val="20"/>
          <w:szCs w:val="20"/>
          <w:color w:val="auto"/>
        </w:rPr>
      </w:pPr>
      <w:r>
        <w:rPr>
          <w:rFonts w:ascii="Arial" w:cs="Arial" w:eastAsia="Arial" w:hAnsi="Arial"/>
          <w:sz w:val="20"/>
          <w:szCs w:val="20"/>
          <w:color w:val="auto"/>
        </w:rPr>
        <w:t>Certain statements made in this press release, and oral statements made from time to time by representatives of PWP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expectations for the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w:t>
      </w:r>
    </w:p>
    <w:p>
      <w:pPr>
        <w:spacing w:after="0" w:line="200" w:lineRule="exact"/>
        <w:rPr>
          <w:sz w:val="20"/>
          <w:szCs w:val="20"/>
          <w:color w:val="auto"/>
        </w:rPr>
      </w:pPr>
    </w:p>
    <w:p>
      <w:pPr>
        <w:spacing w:after="0" w:line="310" w:lineRule="exact"/>
        <w:rPr>
          <w:sz w:val="20"/>
          <w:szCs w:val="20"/>
          <w:color w:val="auto"/>
        </w:rPr>
      </w:pPr>
    </w:p>
    <w:p>
      <w:pPr>
        <w:jc w:val="both"/>
        <w:ind w:firstLine="8"/>
        <w:spacing w:after="0" w:line="259" w:lineRule="auto"/>
        <w:tabs>
          <w:tab w:leader="none" w:pos="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jc w:val="both"/>
        <w:spacing w:after="0" w:line="312" w:lineRule="auto"/>
        <w:rPr>
          <w:sz w:val="20"/>
          <w:szCs w:val="20"/>
          <w:color w:val="auto"/>
        </w:rPr>
      </w:pPr>
      <w:r>
        <w:rPr>
          <w:rFonts w:ascii="Arial" w:cs="Arial" w:eastAsia="Arial" w:hAnsi="Arial"/>
          <w:sz w:val="20"/>
          <w:szCs w:val="20"/>
          <w:color w:val="auto"/>
        </w:rPr>
        <w:t xml:space="preserve">Important factors, among others, that may affect actual results or outcomes include (but are not limited to): global economic, business and market conditions; the Company’s dependence on and ability to retain employees; the Company’s ability to successfully identify, recruit and develop talent; conditions impacting the corporate advisory industry; the Firm’s dependence on its fee-paying clients and fluctuating revenues from its non-exclusive, engagement-by-engagement business model; the high volatility of the Company’s revenues as a result of its reliance on advisory fees that are largely contingent on the completion of 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the Company’s successful formulation and execution of its business and growth strategies; substantial litigation risks in the financial services industry; cybersecurity and other operational risks; assumptions relating to the Company’s operations, financial results, financial condition, business prospects, growth strategy and liquidity; extensive regulation of the corporate advisory industry and U.S. and foreign regulatory developments relating to, among other things, financial institutions and markets, government oversight, fiscal and tax policy and laws (including the treatment of carried interest); and other risks and uncertainties described under </w:t>
      </w:r>
      <w:r>
        <w:rPr>
          <w:rFonts w:ascii="Arial" w:cs="Arial" w:eastAsia="Arial" w:hAnsi="Arial"/>
          <w:sz w:val="20"/>
          <w:szCs w:val="20"/>
          <w:i w:val="1"/>
          <w:iCs w:val="1"/>
          <w:color w:val="auto"/>
        </w:rPr>
        <w:t>“Part I—Item 1A. Risk Factors”</w:t>
      </w:r>
      <w:r>
        <w:rPr>
          <w:rFonts w:ascii="Arial" w:cs="Arial" w:eastAsia="Arial" w:hAnsi="Arial"/>
          <w:sz w:val="20"/>
          <w:szCs w:val="20"/>
          <w:color w:val="auto"/>
        </w:rPr>
        <w:t xml:space="preserve"> in our Annual Report on Form 10-K.</w:t>
      </w:r>
    </w:p>
    <w:p>
      <w:pPr>
        <w:spacing w:after="0" w:line="215"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The forward-looking statements in this press release and oral statements made from time to time by representatives of PWP are based on current expectations and beliefs concerning future developments and their potential effects on the Company. There can be no assurance that future developments affecting the Company will be those that the Company has anticipated. These risks and uncertainties include, but are not limited to, those factors described in the section entitled “Risk Factors” in our Annual Report on Form 10-K filed with the U.S. Securities and Exchange Commission (the “SEC”) on February 27, 2026 and the other documents filed by the Firm from time to time with the SEC.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8"/>
        <w:spacing w:after="0" w:line="259" w:lineRule="auto"/>
        <w:tabs>
          <w:tab w:leader="none" w:pos="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Consolidated Statements of Operations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86"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503C64"/>
        </w:rPr>
        <w:t>Three Months Ended</w:t>
      </w:r>
    </w:p>
    <w:p>
      <w:pPr>
        <w:spacing w:after="0" w:line="21"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503C64"/>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Borders>
              <w:bottom w:val="single" w:sz="8" w:color="B6B6B6"/>
            </w:tcBorders>
          </w:tcPr>
          <w:p>
            <w:pPr>
              <w:spacing w:after="0"/>
              <w:rPr>
                <w:sz w:val="18"/>
                <w:szCs w:val="18"/>
                <w:color w:val="auto"/>
              </w:rPr>
            </w:pPr>
          </w:p>
        </w:tc>
        <w:tc>
          <w:tcPr>
            <w:tcW w:w="80" w:type="dxa"/>
            <w:vAlign w:val="bottom"/>
            <w:tcBorders>
              <w:bottom w:val="single" w:sz="8" w:color="B6B6B6"/>
            </w:tcBorders>
          </w:tcPr>
          <w:p>
            <w:pPr>
              <w:spacing w:after="0"/>
              <w:rPr>
                <w:sz w:val="18"/>
                <w:szCs w:val="18"/>
                <w:color w:val="auto"/>
              </w:rPr>
            </w:pPr>
          </w:p>
        </w:tc>
        <w:tc>
          <w:tcPr>
            <w:tcW w:w="120" w:type="dxa"/>
            <w:vAlign w:val="bottom"/>
            <w:tcBorders>
              <w:top w:val="single" w:sz="8" w:color="B6B6B6"/>
              <w:bottom w:val="single" w:sz="8" w:color="B6B6B6"/>
            </w:tcBorders>
          </w:tcPr>
          <w:p>
            <w:pPr>
              <w:spacing w:after="0"/>
              <w:rPr>
                <w:sz w:val="18"/>
                <w:szCs w:val="18"/>
                <w:color w:val="auto"/>
              </w:rPr>
            </w:pPr>
          </w:p>
        </w:tc>
        <w:tc>
          <w:tcPr>
            <w:tcW w:w="1140" w:type="dxa"/>
            <w:vAlign w:val="bottom"/>
            <w:tcBorders>
              <w:top w:val="single" w:sz="8" w:color="B6B6B6"/>
              <w:bottom w:val="single" w:sz="8" w:color="B6B6B6"/>
            </w:tcBorders>
          </w:tcPr>
          <w:p>
            <w:pPr>
              <w:jc w:val="right"/>
              <w:ind w:right="399"/>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top w:val="single" w:sz="8" w:color="B6B6B6"/>
              <w:bottom w:val="single" w:sz="8" w:color="B6B6B6"/>
            </w:tcBorders>
          </w:tcPr>
          <w:p>
            <w:pPr>
              <w:spacing w:after="0"/>
              <w:rPr>
                <w:sz w:val="18"/>
                <w:szCs w:val="18"/>
                <w:color w:val="auto"/>
              </w:rPr>
            </w:pPr>
          </w:p>
        </w:tc>
        <w:tc>
          <w:tcPr>
            <w:tcW w:w="1000" w:type="dxa"/>
            <w:vAlign w:val="bottom"/>
            <w:tcBorders>
              <w:top w:val="single" w:sz="8" w:color="B6B6B6"/>
              <w:bottom w:val="single" w:sz="8" w:color="B6B6B6"/>
            </w:tcBorders>
          </w:tcPr>
          <w:p>
            <w:pPr>
              <w:jc w:val="right"/>
              <w:ind w:right="359"/>
              <w:spacing w:after="0"/>
              <w:rPr>
                <w:sz w:val="20"/>
                <w:szCs w:val="20"/>
                <w:color w:val="auto"/>
              </w:rPr>
            </w:pPr>
            <w:r>
              <w:rPr>
                <w:rFonts w:ascii="Arial" w:cs="Arial" w:eastAsia="Arial" w:hAnsi="Arial"/>
                <w:sz w:val="14"/>
                <w:szCs w:val="14"/>
                <w:b w:val="1"/>
                <w:bCs w:val="1"/>
                <w:color w:val="auto"/>
              </w:rPr>
              <w:t>2025</w:t>
            </w:r>
          </w:p>
        </w:tc>
      </w:tr>
      <w:tr>
        <w:trPr>
          <w:trHeight w:val="210"/>
        </w:trPr>
        <w:tc>
          <w:tcPr>
            <w:tcW w:w="85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148,917</w:t>
            </w:r>
          </w:p>
        </w:tc>
        <w:tc>
          <w:tcPr>
            <w:tcW w:w="2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211,831</w:t>
            </w:r>
          </w:p>
        </w:tc>
      </w:tr>
      <w:tr>
        <w:trPr>
          <w:trHeight w:val="215"/>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8560" w:type="dxa"/>
            <w:vAlign w:val="bottom"/>
          </w:tcPr>
          <w:p>
            <w:pPr>
              <w:ind w:left="180"/>
              <w:spacing w:after="0"/>
              <w:rPr>
                <w:sz w:val="20"/>
                <w:szCs w:val="20"/>
                <w:color w:val="auto"/>
              </w:rPr>
            </w:pPr>
            <w:r>
              <w:rPr>
                <w:rFonts w:ascii="Arial" w:cs="Arial" w:eastAsia="Arial" w:hAnsi="Arial"/>
                <w:sz w:val="16"/>
                <w:szCs w:val="16"/>
                <w:color w:val="auto"/>
              </w:rPr>
              <w:t>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91,275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122,999</w:t>
            </w:r>
          </w:p>
        </w:tc>
      </w:tr>
      <w:tr>
        <w:trPr>
          <w:trHeight w:val="216"/>
        </w:trPr>
        <w:tc>
          <w:tcPr>
            <w:tcW w:w="8560" w:type="dxa"/>
            <w:vAlign w:val="bottom"/>
          </w:tcPr>
          <w:p>
            <w:pPr>
              <w:ind w:left="180"/>
              <w:spacing w:after="0"/>
              <w:rPr>
                <w:sz w:val="20"/>
                <w:szCs w:val="20"/>
                <w:color w:val="auto"/>
              </w:rPr>
            </w:pPr>
            <w:r>
              <w:rPr>
                <w:rFonts w:ascii="Arial" w:cs="Arial" w:eastAsia="Arial" w:hAnsi="Arial"/>
                <w:sz w:val="16"/>
                <w:szCs w:val="16"/>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30,785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26,245</w:t>
            </w:r>
          </w:p>
        </w:tc>
      </w:tr>
      <w:tr>
        <w:trPr>
          <w:trHeight w:val="216"/>
        </w:trPr>
        <w:tc>
          <w:tcPr>
            <w:tcW w:w="8560" w:type="dxa"/>
            <w:vAlign w:val="bottom"/>
          </w:tcPr>
          <w:p>
            <w:pPr>
              <w:ind w:left="360"/>
              <w:spacing w:after="0"/>
              <w:rPr>
                <w:sz w:val="20"/>
                <w:szCs w:val="20"/>
                <w:color w:val="auto"/>
              </w:rPr>
            </w:pPr>
            <w:r>
              <w:rPr>
                <w:rFonts w:ascii="Arial" w:cs="Arial" w:eastAsia="Arial" w:hAnsi="Arial"/>
                <w:sz w:val="16"/>
                <w:szCs w:val="16"/>
                <w:color w:val="auto"/>
              </w:rPr>
              <w:t>Total compensation and benefits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122,060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149,244</w:t>
            </w:r>
          </w:p>
        </w:tc>
      </w:tr>
      <w:tr>
        <w:trPr>
          <w:trHeight w:val="216"/>
        </w:trPr>
        <w:tc>
          <w:tcPr>
            <w:tcW w:w="856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7,912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19,196</w:t>
            </w:r>
          </w:p>
        </w:tc>
      </w:tr>
      <w:tr>
        <w:trPr>
          <w:trHeight w:val="216"/>
        </w:trPr>
        <w:tc>
          <w:tcPr>
            <w:tcW w:w="8560" w:type="dxa"/>
            <w:vAlign w:val="bottom"/>
          </w:tcPr>
          <w:p>
            <w:pPr>
              <w:ind w:left="180"/>
              <w:spacing w:after="0"/>
              <w:rPr>
                <w:sz w:val="20"/>
                <w:szCs w:val="20"/>
                <w:color w:val="auto"/>
              </w:rPr>
            </w:pPr>
            <w:r>
              <w:rPr>
                <w:rFonts w:ascii="Arial" w:cs="Arial" w:eastAsia="Arial" w:hAnsi="Arial"/>
                <w:sz w:val="16"/>
                <w:szCs w:val="16"/>
                <w:color w:val="auto"/>
              </w:rPr>
              <w:t>Technology and infrastructure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9,980</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9,289</w:t>
            </w:r>
          </w:p>
        </w:tc>
      </w:tr>
      <w:tr>
        <w:trPr>
          <w:trHeight w:val="216"/>
        </w:trPr>
        <w:tc>
          <w:tcPr>
            <w:tcW w:w="8560" w:type="dxa"/>
            <w:vAlign w:val="bottom"/>
          </w:tcPr>
          <w:p>
            <w:pPr>
              <w:ind w:left="180"/>
              <w:spacing w:after="0"/>
              <w:rPr>
                <w:sz w:val="20"/>
                <w:szCs w:val="20"/>
                <w:color w:val="auto"/>
              </w:rPr>
            </w:pPr>
            <w:r>
              <w:rPr>
                <w:rFonts w:ascii="Arial" w:cs="Arial" w:eastAsia="Arial" w:hAnsi="Arial"/>
                <w:sz w:val="16"/>
                <w:szCs w:val="16"/>
                <w:color w:val="auto"/>
              </w:rPr>
              <w:t>Rent and occupancy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5,872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6,326</w:t>
            </w:r>
          </w:p>
        </w:tc>
      </w:tr>
      <w:tr>
        <w:trPr>
          <w:trHeight w:val="216"/>
        </w:trPr>
        <w:tc>
          <w:tcPr>
            <w:tcW w:w="8560" w:type="dxa"/>
            <w:vAlign w:val="bottom"/>
          </w:tcPr>
          <w:p>
            <w:pPr>
              <w:ind w:left="180"/>
              <w:spacing w:after="0"/>
              <w:rPr>
                <w:sz w:val="20"/>
                <w:szCs w:val="20"/>
                <w:color w:val="auto"/>
              </w:rPr>
            </w:pPr>
            <w:r>
              <w:rPr>
                <w:rFonts w:ascii="Arial" w:cs="Arial" w:eastAsia="Arial" w:hAnsi="Arial"/>
                <w:sz w:val="16"/>
                <w:szCs w:val="16"/>
                <w:color w:val="auto"/>
              </w:rPr>
              <w:t>Travel and related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5,928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5,644</w:t>
            </w:r>
          </w:p>
        </w:tc>
      </w:tr>
      <w:tr>
        <w:trPr>
          <w:trHeight w:val="216"/>
        </w:trPr>
        <w:tc>
          <w:tcPr>
            <w:tcW w:w="8560" w:type="dxa"/>
            <w:vAlign w:val="bottom"/>
          </w:tcPr>
          <w:p>
            <w:pPr>
              <w:ind w:left="180"/>
              <w:spacing w:after="0"/>
              <w:rPr>
                <w:sz w:val="20"/>
                <w:szCs w:val="20"/>
                <w:color w:val="auto"/>
              </w:rPr>
            </w:pPr>
            <w:r>
              <w:rPr>
                <w:rFonts w:ascii="Arial" w:cs="Arial" w:eastAsia="Arial" w:hAnsi="Arial"/>
                <w:sz w:val="16"/>
                <w:szCs w:val="16"/>
                <w:color w:val="auto"/>
              </w:rPr>
              <w:t>General, administrative and other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4,235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5,463</w:t>
            </w:r>
          </w:p>
        </w:tc>
      </w:tr>
      <w:tr>
        <w:trPr>
          <w:trHeight w:val="217"/>
        </w:trPr>
        <w:tc>
          <w:tcPr>
            <w:tcW w:w="85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5,831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5,001</w:t>
            </w:r>
          </w:p>
        </w:tc>
      </w:tr>
      <w:tr>
        <w:trPr>
          <w:trHeight w:val="217"/>
        </w:trPr>
        <w:tc>
          <w:tcPr>
            <w:tcW w:w="8560" w:type="dxa"/>
            <w:vAlign w:val="bottom"/>
            <w:shd w:val="clear" w:color="auto" w:fill="E3E1E9"/>
          </w:tcPr>
          <w:p>
            <w:pPr>
              <w:ind w:left="360"/>
              <w:spacing w:after="0"/>
              <w:rPr>
                <w:sz w:val="20"/>
                <w:szCs w:val="20"/>
                <w:color w:val="auto"/>
              </w:rPr>
            </w:pPr>
            <w:r>
              <w:rPr>
                <w:rFonts w:ascii="Arial" w:cs="Arial" w:eastAsia="Arial" w:hAnsi="Arial"/>
                <w:sz w:val="16"/>
                <w:szCs w:val="16"/>
                <w:color w:val="auto"/>
              </w:rPr>
              <w:t>Total expenses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161,818</w:t>
            </w:r>
          </w:p>
        </w:tc>
        <w:tc>
          <w:tcPr>
            <w:tcW w:w="260" w:type="dxa"/>
            <w:vAlign w:val="bottom"/>
            <w:shd w:val="clear" w:color="auto" w:fill="E3E1E9"/>
          </w:tcPr>
          <w:p>
            <w:pPr>
              <w:spacing w:after="0"/>
              <w:rPr>
                <w:sz w:val="18"/>
                <w:szCs w:val="18"/>
                <w:color w:val="auto"/>
              </w:rPr>
            </w:pP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200,163</w:t>
            </w:r>
          </w:p>
        </w:tc>
      </w:tr>
      <w:tr>
        <w:trPr>
          <w:trHeight w:val="215"/>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(12,901)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11,668</w:t>
            </w:r>
          </w:p>
        </w:tc>
      </w:tr>
      <w:tr>
        <w:trPr>
          <w:trHeight w:val="216"/>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856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2,259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6"/>
        </w:trPr>
        <w:tc>
          <w:tcPr>
            <w:tcW w:w="8560" w:type="dxa"/>
            <w:vAlign w:val="bottom"/>
          </w:tcPr>
          <w:p>
            <w:pPr>
              <w:ind w:left="360"/>
              <w:spacing w:after="0"/>
              <w:rPr>
                <w:sz w:val="20"/>
                <w:szCs w:val="20"/>
                <w:color w:val="auto"/>
              </w:rPr>
            </w:pPr>
            <w:r>
              <w:rPr>
                <w:rFonts w:ascii="Arial" w:cs="Arial" w:eastAsia="Arial" w:hAnsi="Arial"/>
                <w:sz w:val="16"/>
                <w:szCs w:val="16"/>
                <w:color w:val="auto"/>
              </w:rPr>
              <w:t>Total non-operating income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2,259</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7"/>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(10,642)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11,899</w:t>
            </w:r>
          </w:p>
        </w:tc>
      </w:tr>
      <w:tr>
        <w:trPr>
          <w:trHeight w:val="216"/>
        </w:trPr>
        <w:tc>
          <w:tcPr>
            <w:tcW w:w="8560" w:type="dxa"/>
            <w:vAlign w:val="bottom"/>
            <w:tcBorders>
              <w:bottom w:val="single" w:sz="8" w:color="B6B6B6"/>
            </w:tcBorders>
          </w:tcPr>
          <w:p>
            <w:pPr>
              <w:ind w:left="180"/>
              <w:spacing w:after="0"/>
              <w:rPr>
                <w:sz w:val="20"/>
                <w:szCs w:val="20"/>
                <w:color w:val="auto"/>
              </w:rPr>
            </w:pPr>
            <w:r>
              <w:rPr>
                <w:rFonts w:ascii="Arial" w:cs="Arial" w:eastAsia="Arial" w:hAnsi="Arial"/>
                <w:sz w:val="16"/>
                <w:szCs w:val="16"/>
                <w:color w:val="auto"/>
              </w:rPr>
              <w:t>Income tax expense (benefit)</w:t>
            </w:r>
          </w:p>
        </w:tc>
        <w:tc>
          <w:tcPr>
            <w:tcW w:w="80" w:type="dxa"/>
            <w:vAlign w:val="bottom"/>
            <w:tcBorders>
              <w:bottom w:val="single" w:sz="8" w:color="B6B6B6"/>
            </w:tcBorders>
          </w:tcPr>
          <w:p>
            <w:pPr>
              <w:spacing w:after="0"/>
              <w:rPr>
                <w:sz w:val="18"/>
                <w:szCs w:val="18"/>
                <w:color w:val="auto"/>
              </w:rPr>
            </w:pPr>
          </w:p>
        </w:tc>
        <w:tc>
          <w:tcPr>
            <w:tcW w:w="120" w:type="dxa"/>
            <w:vAlign w:val="bottom"/>
            <w:tcBorders>
              <w:bottom w:val="single" w:sz="8" w:color="B6B6B6"/>
            </w:tcBorders>
          </w:tcPr>
          <w:p>
            <w:pPr>
              <w:spacing w:after="0"/>
              <w:rPr>
                <w:sz w:val="18"/>
                <w:szCs w:val="18"/>
                <w:color w:val="auto"/>
              </w:rPr>
            </w:pPr>
          </w:p>
        </w:tc>
        <w:tc>
          <w:tcPr>
            <w:tcW w:w="114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(9,897)</w:t>
            </w:r>
          </w:p>
        </w:tc>
        <w:tc>
          <w:tcPr>
            <w:tcW w:w="260" w:type="dxa"/>
            <w:vAlign w:val="bottom"/>
            <w:tcBorders>
              <w:bottom w:val="single" w:sz="8" w:color="B6B6B6"/>
            </w:tcBorders>
          </w:tcPr>
          <w:p>
            <w:pPr>
              <w:spacing w:after="0"/>
              <w:rPr>
                <w:sz w:val="18"/>
                <w:szCs w:val="18"/>
                <w:color w:val="auto"/>
              </w:rPr>
            </w:pPr>
          </w:p>
        </w:tc>
        <w:tc>
          <w:tcPr>
            <w:tcW w:w="10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(9,474)</w:t>
            </w:r>
          </w:p>
        </w:tc>
      </w:tr>
      <w:tr>
        <w:trPr>
          <w:trHeight w:val="21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(745)</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21,373</w:t>
            </w:r>
          </w:p>
        </w:tc>
      </w:tr>
      <w:tr>
        <w:trPr>
          <w:trHeight w:val="217"/>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Less: Net income (loss) attributable to non-controlling interests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(2,232)</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4,034</w:t>
            </w:r>
          </w:p>
        </w:tc>
      </w:tr>
      <w:tr>
        <w:trPr>
          <w:trHeight w:val="216"/>
        </w:trPr>
        <w:tc>
          <w:tcPr>
            <w:tcW w:w="85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attributable to Perella Weinberg Partners</w:t>
            </w:r>
          </w:p>
        </w:tc>
        <w:tc>
          <w:tcPr>
            <w:tcW w:w="200" w:type="dxa"/>
            <w:vAlign w:val="bottom"/>
            <w:gridSpan w:val="2"/>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1,487</w:t>
            </w:r>
          </w:p>
        </w:tc>
        <w:tc>
          <w:tcPr>
            <w:tcW w:w="2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17,339</w:t>
            </w:r>
          </w:p>
        </w:tc>
      </w:tr>
      <w:tr>
        <w:trPr>
          <w:trHeight w:val="216"/>
        </w:trPr>
        <w:tc>
          <w:tcPr>
            <w:tcW w:w="85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Net income (loss) per share attributable to Class A common shareholders</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40" w:type="dxa"/>
            <w:vAlign w:val="bottom"/>
            <w:shd w:val="clear" w:color="auto" w:fill="E3E1E9"/>
          </w:tcPr>
          <w:p>
            <w:pPr>
              <w:spacing w:after="0"/>
              <w:rPr>
                <w:sz w:val="18"/>
                <w:szCs w:val="18"/>
                <w:color w:val="auto"/>
              </w:rPr>
            </w:pPr>
          </w:p>
        </w:tc>
        <w:tc>
          <w:tcPr>
            <w:tcW w:w="26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r>
      <w:tr>
        <w:trPr>
          <w:trHeight w:val="215"/>
        </w:trPr>
        <w:tc>
          <w:tcPr>
            <w:tcW w:w="85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0.02</w:t>
            </w:r>
          </w:p>
        </w:tc>
        <w:tc>
          <w:tcPr>
            <w:tcW w:w="2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0.28</w:t>
            </w:r>
          </w:p>
        </w:tc>
      </w:tr>
      <w:tr>
        <w:trPr>
          <w:trHeight w:val="215"/>
        </w:trPr>
        <w:tc>
          <w:tcPr>
            <w:tcW w:w="85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0.02</w:t>
            </w:r>
          </w:p>
        </w:tc>
        <w:tc>
          <w:tcPr>
            <w:tcW w:w="26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0.24</w:t>
            </w:r>
          </w:p>
        </w:tc>
      </w:tr>
      <w:tr>
        <w:trPr>
          <w:trHeight w:val="218"/>
        </w:trPr>
        <w:tc>
          <w:tcPr>
            <w:tcW w:w="8560" w:type="dxa"/>
            <w:vAlign w:val="bottom"/>
            <w:shd w:val="clear" w:color="auto" w:fill="E3E1E9"/>
          </w:tcPr>
          <w:p>
            <w:pPr>
              <w:ind w:left="20"/>
              <w:spacing w:after="0"/>
              <w:rPr>
                <w:sz w:val="20"/>
                <w:szCs w:val="20"/>
                <w:color w:val="auto"/>
              </w:rPr>
            </w:pPr>
            <w:r>
              <w:rPr>
                <w:rFonts w:ascii="Arial" w:cs="Arial" w:eastAsia="Arial" w:hAnsi="Arial"/>
                <w:sz w:val="16"/>
                <w:szCs w:val="16"/>
                <w:b w:val="1"/>
                <w:bCs w:val="1"/>
                <w:color w:val="auto"/>
              </w:rPr>
              <w:t>Weighted-average shares of Class A common stock outstanding</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40" w:type="dxa"/>
            <w:vAlign w:val="bottom"/>
            <w:shd w:val="clear" w:color="auto" w:fill="E3E1E9"/>
          </w:tcPr>
          <w:p>
            <w:pPr>
              <w:spacing w:after="0"/>
              <w:rPr>
                <w:sz w:val="18"/>
                <w:szCs w:val="18"/>
                <w:color w:val="auto"/>
              </w:rPr>
            </w:pPr>
          </w:p>
        </w:tc>
        <w:tc>
          <w:tcPr>
            <w:tcW w:w="260" w:type="dxa"/>
            <w:vAlign w:val="bottom"/>
            <w:shd w:val="clear" w:color="auto" w:fill="E3E1E9"/>
          </w:tcPr>
          <w:p>
            <w:pPr>
              <w:spacing w:after="0"/>
              <w:rPr>
                <w:sz w:val="18"/>
                <w:szCs w:val="18"/>
                <w:color w:val="auto"/>
              </w:rPr>
            </w:pPr>
          </w:p>
        </w:tc>
        <w:tc>
          <w:tcPr>
            <w:tcW w:w="1000" w:type="dxa"/>
            <w:vAlign w:val="bottom"/>
            <w:shd w:val="clear" w:color="auto" w:fill="E3E1E9"/>
          </w:tcPr>
          <w:p>
            <w:pPr>
              <w:spacing w:after="0"/>
              <w:rPr>
                <w:sz w:val="18"/>
                <w:szCs w:val="18"/>
                <w:color w:val="auto"/>
              </w:rPr>
            </w:pPr>
          </w:p>
        </w:tc>
      </w:tr>
      <w:tr>
        <w:trPr>
          <w:trHeight w:val="215"/>
        </w:trPr>
        <w:tc>
          <w:tcPr>
            <w:tcW w:w="85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70,398,710</w:t>
            </w:r>
          </w:p>
        </w:tc>
        <w:tc>
          <w:tcPr>
            <w:tcW w:w="260" w:type="dxa"/>
            <w:vAlign w:val="bottom"/>
            <w:shd w:val="clear" w:color="auto" w:fill="E3E1E9"/>
          </w:tcPr>
          <w:p>
            <w:pPr>
              <w:spacing w:after="0"/>
              <w:rPr>
                <w:sz w:val="18"/>
                <w:szCs w:val="18"/>
                <w:color w:val="auto"/>
              </w:rPr>
            </w:pP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62,138,123</w:t>
            </w:r>
          </w:p>
        </w:tc>
      </w:tr>
      <w:tr>
        <w:trPr>
          <w:trHeight w:val="217"/>
        </w:trPr>
        <w:tc>
          <w:tcPr>
            <w:tcW w:w="8560" w:type="dxa"/>
            <w:vAlign w:val="bottom"/>
            <w:shd w:val="clear" w:color="auto" w:fill="E3E1E9"/>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E3E1E9"/>
          </w:tcPr>
          <w:p>
            <w:pPr>
              <w:spacing w:after="0"/>
              <w:rPr>
                <w:sz w:val="18"/>
                <w:szCs w:val="18"/>
                <w:color w:val="auto"/>
              </w:rPr>
            </w:pPr>
          </w:p>
        </w:tc>
        <w:tc>
          <w:tcPr>
            <w:tcW w:w="120" w:type="dxa"/>
            <w:vAlign w:val="bottom"/>
            <w:shd w:val="clear" w:color="auto" w:fill="E3E1E9"/>
          </w:tcPr>
          <w:p>
            <w:pPr>
              <w:spacing w:after="0"/>
              <w:rPr>
                <w:sz w:val="18"/>
                <w:szCs w:val="18"/>
                <w:color w:val="auto"/>
              </w:rPr>
            </w:pPr>
          </w:p>
        </w:tc>
        <w:tc>
          <w:tcPr>
            <w:tcW w:w="1140" w:type="dxa"/>
            <w:vAlign w:val="bottom"/>
            <w:shd w:val="clear" w:color="auto" w:fill="E3E1E9"/>
          </w:tcPr>
          <w:p>
            <w:pPr>
              <w:jc w:val="right"/>
              <w:ind w:right="19"/>
              <w:spacing w:after="0"/>
              <w:rPr>
                <w:sz w:val="20"/>
                <w:szCs w:val="20"/>
                <w:color w:val="auto"/>
              </w:rPr>
            </w:pPr>
            <w:r>
              <w:rPr>
                <w:rFonts w:ascii="Arial" w:cs="Arial" w:eastAsia="Arial" w:hAnsi="Arial"/>
                <w:sz w:val="16"/>
                <w:szCs w:val="16"/>
                <w:color w:val="auto"/>
              </w:rPr>
              <w:t>101,175,788</w:t>
            </w:r>
          </w:p>
        </w:tc>
        <w:tc>
          <w:tcPr>
            <w:tcW w:w="260" w:type="dxa"/>
            <w:vAlign w:val="bottom"/>
            <w:shd w:val="clear" w:color="auto" w:fill="E3E1E9"/>
          </w:tcPr>
          <w:p>
            <w:pPr>
              <w:spacing w:after="0"/>
              <w:rPr>
                <w:sz w:val="18"/>
                <w:szCs w:val="18"/>
                <w:color w:val="auto"/>
              </w:rPr>
            </w:pPr>
          </w:p>
        </w:tc>
        <w:tc>
          <w:tcPr>
            <w:tcW w:w="1000" w:type="dxa"/>
            <w:vAlign w:val="bottom"/>
            <w:shd w:val="clear" w:color="auto" w:fill="E3E1E9"/>
          </w:tcPr>
          <w:p>
            <w:pPr>
              <w:jc w:val="right"/>
              <w:spacing w:after="0"/>
              <w:rPr>
                <w:sz w:val="20"/>
                <w:szCs w:val="20"/>
                <w:color w:val="auto"/>
              </w:rPr>
            </w:pPr>
            <w:r>
              <w:rPr>
                <w:rFonts w:ascii="Arial" w:cs="Arial" w:eastAsia="Arial" w:hAnsi="Arial"/>
                <w:sz w:val="16"/>
                <w:szCs w:val="16"/>
                <w:color w:val="auto"/>
              </w:rPr>
              <w:t>75,839,577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9" w:lineRule="auto"/>
        <w:tabs>
          <w:tab w:leader="none" w:pos="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2" w:right="3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43"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503C64"/>
        </w:rPr>
        <w:t>Three Months Ended</w:t>
      </w:r>
    </w:p>
    <w:p>
      <w:pPr>
        <w:spacing w:after="0" w:line="21"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503C64"/>
        </w:rPr>
        <w:t>March 31,</w:t>
      </w:r>
    </w:p>
    <w:p>
      <w:pPr>
        <w:spacing w:after="0" w:line="24" w:lineRule="exact"/>
        <w:rPr>
          <w:sz w:val="20"/>
          <w:szCs w:val="20"/>
          <w:color w:val="auto"/>
        </w:rPr>
      </w:pPr>
    </w:p>
    <w:tbl>
      <w:tblPr>
        <w:tblLayout w:type="fixed"/>
        <w:tblInd w:w="32" w:type="dxa"/>
        <w:tblCellMar>
          <w:top w:w="0" w:type="dxa"/>
          <w:left w:w="0" w:type="dxa"/>
          <w:bottom w:w="0" w:type="dxa"/>
          <w:right w:w="0" w:type="dxa"/>
        </w:tblCellMar>
      </w:tblPr>
      <w:tr>
        <w:trPr>
          <w:trHeight w:val="215"/>
        </w:trPr>
        <w:tc>
          <w:tcPr>
            <w:tcW w:w="8360" w:type="dxa"/>
            <w:vAlign w:val="bottom"/>
            <w:tcBorders>
              <w:bottom w:val="single" w:sz="8" w:color="B6B6B6"/>
            </w:tcBorders>
          </w:tcPr>
          <w:p>
            <w:pPr>
              <w:spacing w:after="0"/>
              <w:rPr>
                <w:sz w:val="18"/>
                <w:szCs w:val="18"/>
                <w:color w:val="auto"/>
              </w:rPr>
            </w:pPr>
          </w:p>
        </w:tc>
        <w:tc>
          <w:tcPr>
            <w:tcW w:w="80" w:type="dxa"/>
            <w:vAlign w:val="bottom"/>
            <w:tcBorders>
              <w:bottom w:val="single" w:sz="8" w:color="B6B6B6"/>
            </w:tcBorders>
          </w:tcPr>
          <w:p>
            <w:pPr>
              <w:spacing w:after="0"/>
              <w:rPr>
                <w:sz w:val="18"/>
                <w:szCs w:val="18"/>
                <w:color w:val="auto"/>
              </w:rPr>
            </w:pPr>
          </w:p>
        </w:tc>
        <w:tc>
          <w:tcPr>
            <w:tcW w:w="200" w:type="dxa"/>
            <w:vAlign w:val="bottom"/>
            <w:tcBorders>
              <w:top w:val="single" w:sz="8" w:color="B6B6B6"/>
              <w:bottom w:val="single" w:sz="8" w:color="B6B6B6"/>
            </w:tcBorders>
          </w:tcPr>
          <w:p>
            <w:pPr>
              <w:spacing w:after="0"/>
              <w:rPr>
                <w:sz w:val="18"/>
                <w:szCs w:val="18"/>
                <w:color w:val="auto"/>
              </w:rPr>
            </w:pPr>
          </w:p>
        </w:tc>
        <w:tc>
          <w:tcPr>
            <w:tcW w:w="1160" w:type="dxa"/>
            <w:vAlign w:val="bottom"/>
            <w:tcBorders>
              <w:top w:val="single" w:sz="8" w:color="B6B6B6"/>
              <w:bottom w:val="single" w:sz="8" w:color="B6B6B6"/>
            </w:tcBorders>
          </w:tcPr>
          <w:p>
            <w:pPr>
              <w:jc w:val="right"/>
              <w:ind w:right="468"/>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top w:val="single" w:sz="8" w:color="B6B6B6"/>
              <w:bottom w:val="single" w:sz="8" w:color="B6B6B6"/>
            </w:tcBorders>
          </w:tcPr>
          <w:p>
            <w:pPr>
              <w:spacing w:after="0"/>
              <w:rPr>
                <w:sz w:val="18"/>
                <w:szCs w:val="18"/>
                <w:color w:val="auto"/>
              </w:rPr>
            </w:pPr>
          </w:p>
        </w:tc>
        <w:tc>
          <w:tcPr>
            <w:tcW w:w="1100" w:type="dxa"/>
            <w:vAlign w:val="bottom"/>
            <w:tcBorders>
              <w:top w:val="single" w:sz="8" w:color="B6B6B6"/>
              <w:bottom w:val="single" w:sz="8" w:color="B6B6B6"/>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95"/>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Total compensation and benefits—GAAP</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122,060</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149,244</w:t>
            </w:r>
          </w:p>
        </w:tc>
      </w:tr>
      <w:tr>
        <w:trPr>
          <w:trHeight w:val="206"/>
        </w:trPr>
        <w:tc>
          <w:tcPr>
            <w:tcW w:w="8360" w:type="dxa"/>
            <w:vAlign w:val="bottom"/>
          </w:tcPr>
          <w:p>
            <w:pPr>
              <w:ind w:left="2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(4,362)</w:t>
            </w:r>
          </w:p>
        </w:tc>
        <w:tc>
          <w:tcPr>
            <w:tcW w:w="2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(7,318)</w:t>
            </w:r>
          </w:p>
        </w:tc>
      </w:tr>
      <w:tr>
        <w:trPr>
          <w:trHeight w:val="201"/>
        </w:trPr>
        <w:tc>
          <w:tcPr>
            <w:tcW w:w="836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Acquisition related incentives</w:t>
            </w:r>
            <w:r>
              <w:rPr>
                <w:rFonts w:ascii="Arial" w:cs="Arial" w:eastAsia="Arial" w:hAnsi="Arial"/>
                <w:sz w:val="18"/>
                <w:szCs w:val="18"/>
                <w:color w:val="auto"/>
                <w:vertAlign w:val="superscript"/>
              </w:rPr>
              <w:t>(2)</w:t>
            </w:r>
          </w:p>
        </w:tc>
        <w:tc>
          <w:tcPr>
            <w:tcW w:w="80" w:type="dxa"/>
            <w:vAlign w:val="bottom"/>
            <w:tcBorders>
              <w:bottom w:val="single" w:sz="8" w:color="B6B6B6"/>
            </w:tcBorders>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(612)</w:t>
            </w:r>
          </w:p>
        </w:tc>
        <w:tc>
          <w:tcPr>
            <w:tcW w:w="2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83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total compensation and benefits</w:t>
            </w:r>
          </w:p>
        </w:tc>
        <w:tc>
          <w:tcPr>
            <w:tcW w:w="280" w:type="dxa"/>
            <w:vAlign w:val="bottom"/>
            <w:gridSpan w:val="2"/>
            <w:shd w:val="clear" w:color="auto" w:fill="E3E1E9"/>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3E1E9"/>
          </w:tcPr>
          <w:p>
            <w:pPr>
              <w:jc w:val="right"/>
              <w:ind w:right="168"/>
              <w:spacing w:after="0"/>
              <w:rPr>
                <w:sz w:val="20"/>
                <w:szCs w:val="20"/>
                <w:color w:val="auto"/>
              </w:rPr>
            </w:pPr>
            <w:r>
              <w:rPr>
                <w:rFonts w:ascii="Arial" w:cs="Arial" w:eastAsia="Arial" w:hAnsi="Arial"/>
                <w:sz w:val="14"/>
                <w:szCs w:val="14"/>
                <w:color w:val="auto"/>
              </w:rPr>
              <w:t>117,086</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141,926</w:t>
            </w:r>
          </w:p>
        </w:tc>
      </w:tr>
      <w:tr>
        <w:trPr>
          <w:trHeight w:val="254"/>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Non-compensation expense—GAAP</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39,758</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50,919</w:t>
            </w:r>
          </w:p>
        </w:tc>
      </w:tr>
      <w:tr>
        <w:trPr>
          <w:trHeight w:val="206"/>
        </w:trPr>
        <w:tc>
          <w:tcPr>
            <w:tcW w:w="8360" w:type="dxa"/>
            <w:vAlign w:val="bottom"/>
          </w:tcPr>
          <w:p>
            <w:pPr>
              <w:ind w:left="20"/>
              <w:spacing w:after="0"/>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(2,253)</w:t>
            </w:r>
          </w:p>
        </w:tc>
        <w:tc>
          <w:tcPr>
            <w:tcW w:w="2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(1,645)</w:t>
            </w:r>
          </w:p>
        </w:tc>
      </w:tr>
      <w:tr>
        <w:trPr>
          <w:trHeight w:val="201"/>
        </w:trPr>
        <w:tc>
          <w:tcPr>
            <w:tcW w:w="836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(4)</w:t>
            </w:r>
          </w:p>
        </w:tc>
        <w:tc>
          <w:tcPr>
            <w:tcW w:w="80" w:type="dxa"/>
            <w:vAlign w:val="bottom"/>
            <w:tcBorders>
              <w:bottom w:val="single" w:sz="8" w:color="B6B6B6"/>
            </w:tcBorders>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(127)</w:t>
            </w:r>
          </w:p>
        </w:tc>
        <w:tc>
          <w:tcPr>
            <w:tcW w:w="2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8360" w:type="dxa"/>
            <w:vAlign w:val="bottom"/>
            <w:shd w:val="clear" w:color="auto" w:fill="E3E1E9"/>
          </w:tcPr>
          <w:p>
            <w:pPr>
              <w:ind w:left="20"/>
              <w:spacing w:after="0" w:line="196" w:lineRule="exact"/>
              <w:rPr>
                <w:sz w:val="20"/>
                <w:szCs w:val="20"/>
                <w:color w:val="auto"/>
              </w:rPr>
            </w:pPr>
            <w:r>
              <w:rPr>
                <w:rFonts w:ascii="Arial" w:cs="Arial" w:eastAsia="Arial" w:hAnsi="Arial"/>
                <w:sz w:val="14"/>
                <w:szCs w:val="14"/>
                <w:color w:val="auto"/>
              </w:rPr>
              <w:t>Adjusted non-compensation expense</w:t>
            </w:r>
            <w:r>
              <w:rPr>
                <w:rFonts w:ascii="Arial" w:cs="Arial" w:eastAsia="Arial" w:hAnsi="Arial"/>
                <w:sz w:val="18"/>
                <w:szCs w:val="18"/>
                <w:color w:val="auto"/>
                <w:vertAlign w:val="superscript"/>
              </w:rPr>
              <w:t>(5)</w:t>
            </w:r>
          </w:p>
        </w:tc>
        <w:tc>
          <w:tcPr>
            <w:tcW w:w="280" w:type="dxa"/>
            <w:vAlign w:val="bottom"/>
            <w:gridSpan w:val="2"/>
            <w:shd w:val="clear" w:color="auto" w:fill="E3E1E9"/>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3E1E9"/>
          </w:tcPr>
          <w:p>
            <w:pPr>
              <w:jc w:val="right"/>
              <w:ind w:right="168"/>
              <w:spacing w:after="0"/>
              <w:rPr>
                <w:sz w:val="20"/>
                <w:szCs w:val="20"/>
                <w:color w:val="auto"/>
              </w:rPr>
            </w:pPr>
            <w:r>
              <w:rPr>
                <w:rFonts w:ascii="Arial" w:cs="Arial" w:eastAsia="Arial" w:hAnsi="Arial"/>
                <w:sz w:val="14"/>
                <w:szCs w:val="14"/>
                <w:color w:val="auto"/>
              </w:rPr>
              <w:t>37,378</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49,274</w:t>
            </w:r>
          </w:p>
        </w:tc>
      </w:tr>
      <w:tr>
        <w:trPr>
          <w:trHeight w:val="254"/>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(loss)—GAAP</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(12,901)</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11,668</w:t>
            </w:r>
          </w:p>
        </w:tc>
      </w:tr>
      <w:tr>
        <w:trPr>
          <w:trHeight w:val="206"/>
        </w:trPr>
        <w:tc>
          <w:tcPr>
            <w:tcW w:w="8360" w:type="dxa"/>
            <w:vAlign w:val="bottom"/>
          </w:tcPr>
          <w:p>
            <w:pPr>
              <w:ind w:left="2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4,362</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7,318</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Acquisition related incentives</w:t>
            </w:r>
            <w:r>
              <w:rPr>
                <w:rFonts w:ascii="Arial" w:cs="Arial" w:eastAsia="Arial" w:hAnsi="Arial"/>
                <w:sz w:val="18"/>
                <w:szCs w:val="18"/>
                <w:color w:val="auto"/>
                <w:vertAlign w:val="superscript"/>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612</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2,253</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1,645</w:t>
            </w:r>
          </w:p>
        </w:tc>
      </w:tr>
      <w:tr>
        <w:trPr>
          <w:trHeight w:val="201"/>
        </w:trPr>
        <w:tc>
          <w:tcPr>
            <w:tcW w:w="836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(4)</w:t>
            </w:r>
          </w:p>
        </w:tc>
        <w:tc>
          <w:tcPr>
            <w:tcW w:w="80" w:type="dxa"/>
            <w:vAlign w:val="bottom"/>
            <w:tcBorders>
              <w:bottom w:val="single" w:sz="8" w:color="B6B6B6"/>
            </w:tcBorders>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127</w:t>
            </w:r>
          </w:p>
        </w:tc>
        <w:tc>
          <w:tcPr>
            <w:tcW w:w="2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83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operating income (loss)</w:t>
            </w:r>
          </w:p>
        </w:tc>
        <w:tc>
          <w:tcPr>
            <w:tcW w:w="280" w:type="dxa"/>
            <w:vAlign w:val="bottom"/>
            <w:gridSpan w:val="2"/>
            <w:shd w:val="clear" w:color="auto" w:fill="E3E1E9"/>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(5,547)</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20,631</w:t>
            </w:r>
          </w:p>
        </w:tc>
      </w:tr>
      <w:tr>
        <w:trPr>
          <w:trHeight w:val="254"/>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taxes—GAAP</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(10,642)</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11,899</w:t>
            </w:r>
          </w:p>
        </w:tc>
      </w:tr>
      <w:tr>
        <w:trPr>
          <w:trHeight w:val="206"/>
        </w:trPr>
        <w:tc>
          <w:tcPr>
            <w:tcW w:w="8360" w:type="dxa"/>
            <w:vAlign w:val="bottom"/>
          </w:tcPr>
          <w:p>
            <w:pPr>
              <w:ind w:left="2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4,362</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7,318</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Acquisition related incentives</w:t>
            </w:r>
            <w:r>
              <w:rPr>
                <w:rFonts w:ascii="Arial" w:cs="Arial" w:eastAsia="Arial" w:hAnsi="Arial"/>
                <w:sz w:val="18"/>
                <w:szCs w:val="18"/>
                <w:color w:val="auto"/>
                <w:vertAlign w:val="superscript"/>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612</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2,253</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1,645</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127</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1"/>
        </w:trPr>
        <w:tc>
          <w:tcPr>
            <w:tcW w:w="836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(6)</w:t>
            </w:r>
          </w:p>
        </w:tc>
        <w:tc>
          <w:tcPr>
            <w:tcW w:w="80" w:type="dxa"/>
            <w:vAlign w:val="bottom"/>
            <w:tcBorders>
              <w:bottom w:val="single" w:sz="8" w:color="B6B6B6"/>
            </w:tcBorders>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(54)</w:t>
            </w:r>
          </w:p>
        </w:tc>
        <w:tc>
          <w:tcPr>
            <w:tcW w:w="2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16</w:t>
            </w:r>
          </w:p>
        </w:tc>
      </w:tr>
      <w:tr>
        <w:trPr>
          <w:trHeight w:val="196"/>
        </w:trPr>
        <w:tc>
          <w:tcPr>
            <w:tcW w:w="83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(loss) before income taxes</w:t>
            </w:r>
          </w:p>
        </w:tc>
        <w:tc>
          <w:tcPr>
            <w:tcW w:w="280" w:type="dxa"/>
            <w:vAlign w:val="bottom"/>
            <w:gridSpan w:val="2"/>
            <w:shd w:val="clear" w:color="auto" w:fill="E3E1E9"/>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(3,342)</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20,878</w:t>
            </w:r>
          </w:p>
        </w:tc>
      </w:tr>
      <w:tr>
        <w:trPr>
          <w:trHeight w:val="255"/>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Income tax expense (benefit)—GAAP</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(9,897)</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(9,474)</w:t>
            </w:r>
          </w:p>
        </w:tc>
      </w:tr>
      <w:tr>
        <w:trPr>
          <w:trHeight w:val="204"/>
        </w:trPr>
        <w:tc>
          <w:tcPr>
            <w:tcW w:w="8360" w:type="dxa"/>
            <w:vAlign w:val="bottom"/>
            <w:tcBorders>
              <w:bottom w:val="single" w:sz="8" w:color="B6B6B6"/>
            </w:tcBorders>
          </w:tcPr>
          <w:p>
            <w:pPr>
              <w:ind w:left="20"/>
              <w:spacing w:after="0" w:line="205"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(7)</w:t>
            </w:r>
          </w:p>
        </w:tc>
        <w:tc>
          <w:tcPr>
            <w:tcW w:w="80" w:type="dxa"/>
            <w:vAlign w:val="bottom"/>
            <w:tcBorders>
              <w:bottom w:val="single" w:sz="8" w:color="B6B6B6"/>
            </w:tcBorders>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3,338</w:t>
            </w:r>
          </w:p>
        </w:tc>
        <w:tc>
          <w:tcPr>
            <w:tcW w:w="2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3,815</w:t>
            </w:r>
          </w:p>
        </w:tc>
      </w:tr>
      <w:tr>
        <w:trPr>
          <w:trHeight w:val="196"/>
        </w:trPr>
        <w:tc>
          <w:tcPr>
            <w:tcW w:w="83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income tax expense (benefit)</w:t>
            </w:r>
          </w:p>
        </w:tc>
        <w:tc>
          <w:tcPr>
            <w:tcW w:w="280" w:type="dxa"/>
            <w:vAlign w:val="bottom"/>
            <w:gridSpan w:val="2"/>
            <w:shd w:val="clear" w:color="auto" w:fill="E3E1E9"/>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(6,559)</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68"/>
              <w:spacing w:after="0"/>
              <w:rPr>
                <w:sz w:val="20"/>
                <w:szCs w:val="20"/>
                <w:color w:val="auto"/>
              </w:rPr>
            </w:pPr>
            <w:r>
              <w:rPr>
                <w:rFonts w:ascii="Arial" w:cs="Arial" w:eastAsia="Arial" w:hAnsi="Arial"/>
                <w:sz w:val="14"/>
                <w:szCs w:val="14"/>
                <w:color w:val="auto"/>
              </w:rPr>
              <w:t>(5,659)</w:t>
            </w:r>
          </w:p>
        </w:tc>
      </w:tr>
      <w:tr>
        <w:trPr>
          <w:trHeight w:val="255"/>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Net income (loss)—GAAP</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(745)</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21,373</w:t>
            </w:r>
          </w:p>
        </w:tc>
      </w:tr>
      <w:tr>
        <w:trPr>
          <w:trHeight w:val="206"/>
        </w:trPr>
        <w:tc>
          <w:tcPr>
            <w:tcW w:w="8360" w:type="dxa"/>
            <w:vAlign w:val="bottom"/>
          </w:tcPr>
          <w:p>
            <w:pPr>
              <w:ind w:left="2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4,362</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7,318</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Acquisition related incentives</w:t>
            </w:r>
            <w:r>
              <w:rPr>
                <w:rFonts w:ascii="Arial" w:cs="Arial" w:eastAsia="Arial" w:hAnsi="Arial"/>
                <w:sz w:val="18"/>
                <w:szCs w:val="18"/>
                <w:color w:val="auto"/>
                <w:vertAlign w:val="superscript"/>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612</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2,253</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1,645</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127</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(54)</w:t>
            </w:r>
          </w:p>
        </w:tc>
        <w:tc>
          <w:tcPr>
            <w:tcW w:w="26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16</w:t>
            </w:r>
          </w:p>
        </w:tc>
      </w:tr>
      <w:tr>
        <w:trPr>
          <w:trHeight w:val="201"/>
        </w:trPr>
        <w:tc>
          <w:tcPr>
            <w:tcW w:w="8360" w:type="dxa"/>
            <w:vAlign w:val="bottom"/>
            <w:tcBorders>
              <w:bottom w:val="single" w:sz="8" w:color="B6B6B6"/>
            </w:tcBorders>
          </w:tcPr>
          <w:p>
            <w:pPr>
              <w:ind w:left="2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(7)</w:t>
            </w:r>
          </w:p>
        </w:tc>
        <w:tc>
          <w:tcPr>
            <w:tcW w:w="80" w:type="dxa"/>
            <w:vAlign w:val="bottom"/>
            <w:tcBorders>
              <w:bottom w:val="single" w:sz="8" w:color="B6B6B6"/>
            </w:tcBorders>
          </w:tcPr>
          <w:p>
            <w:pPr>
              <w:spacing w:after="0"/>
              <w:rPr>
                <w:sz w:val="17"/>
                <w:szCs w:val="17"/>
                <w:color w:val="auto"/>
              </w:rPr>
            </w:pPr>
          </w:p>
        </w:tc>
        <w:tc>
          <w:tcPr>
            <w:tcW w:w="20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(3,338)</w:t>
            </w:r>
          </w:p>
        </w:tc>
        <w:tc>
          <w:tcPr>
            <w:tcW w:w="260" w:type="dxa"/>
            <w:vAlign w:val="bottom"/>
            <w:tcBorders>
              <w:bottom w:val="single" w:sz="8" w:color="B6B6B6"/>
            </w:tcBorders>
          </w:tcPr>
          <w:p>
            <w:pPr>
              <w:spacing w:after="0"/>
              <w:rPr>
                <w:sz w:val="17"/>
                <w:szCs w:val="17"/>
                <w:color w:val="auto"/>
              </w:rPr>
            </w:pPr>
          </w:p>
        </w:tc>
        <w:tc>
          <w:tcPr>
            <w:tcW w:w="110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(3,815)</w:t>
            </w:r>
          </w:p>
        </w:tc>
      </w:tr>
      <w:tr>
        <w:trPr>
          <w:trHeight w:val="196"/>
        </w:trPr>
        <w:tc>
          <w:tcPr>
            <w:tcW w:w="83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w:t>
            </w:r>
          </w:p>
        </w:tc>
        <w:tc>
          <w:tcPr>
            <w:tcW w:w="280" w:type="dxa"/>
            <w:vAlign w:val="bottom"/>
            <w:gridSpan w:val="2"/>
            <w:shd w:val="clear" w:color="auto" w:fill="E3E1E9"/>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3E1E9"/>
          </w:tcPr>
          <w:p>
            <w:pPr>
              <w:jc w:val="right"/>
              <w:ind w:right="168"/>
              <w:spacing w:after="0"/>
              <w:rPr>
                <w:sz w:val="20"/>
                <w:szCs w:val="20"/>
                <w:color w:val="auto"/>
              </w:rPr>
            </w:pPr>
            <w:r>
              <w:rPr>
                <w:rFonts w:ascii="Arial" w:cs="Arial" w:eastAsia="Arial" w:hAnsi="Arial"/>
                <w:sz w:val="14"/>
                <w:szCs w:val="14"/>
                <w:color w:val="auto"/>
              </w:rPr>
              <w:t>3,217</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26,537</w:t>
            </w:r>
          </w:p>
        </w:tc>
      </w:tr>
      <w:tr>
        <w:trPr>
          <w:trHeight w:val="195"/>
        </w:trPr>
        <w:tc>
          <w:tcPr>
            <w:tcW w:w="8360" w:type="dxa"/>
            <w:vAlign w:val="bottom"/>
          </w:tcPr>
          <w:p>
            <w:pPr>
              <w:ind w:left="20"/>
              <w:spacing w:after="0"/>
              <w:rPr>
                <w:sz w:val="20"/>
                <w:szCs w:val="20"/>
                <w:color w:val="auto"/>
              </w:rPr>
            </w:pPr>
            <w:r>
              <w:rPr>
                <w:rFonts w:ascii="Arial" w:cs="Arial" w:eastAsia="Arial" w:hAnsi="Arial"/>
                <w:sz w:val="14"/>
                <w:szCs w:val="14"/>
                <w:color w:val="auto"/>
              </w:rPr>
              <w:t>Less: Adjusted income tax expense (benefit)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6,559</w:t>
            </w:r>
          </w:p>
        </w:tc>
        <w:tc>
          <w:tcPr>
            <w:tcW w:w="26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5,659</w:t>
            </w:r>
          </w:p>
        </w:tc>
      </w:tr>
      <w:tr>
        <w:trPr>
          <w:trHeight w:val="210"/>
        </w:trPr>
        <w:tc>
          <w:tcPr>
            <w:tcW w:w="8360" w:type="dxa"/>
            <w:vAlign w:val="bottom"/>
            <w:tcBorders>
              <w:bottom w:val="single" w:sz="8" w:color="E3E1E9"/>
            </w:tcBorders>
          </w:tcPr>
          <w:p>
            <w:pPr>
              <w:ind w:left="20"/>
              <w:spacing w:after="0"/>
              <w:rPr>
                <w:sz w:val="20"/>
                <w:szCs w:val="20"/>
                <w:color w:val="auto"/>
              </w:rPr>
            </w:pPr>
            <w:r>
              <w:rPr>
                <w:rFonts w:ascii="Arial" w:cs="Arial" w:eastAsia="Arial" w:hAnsi="Arial"/>
                <w:sz w:val="14"/>
                <w:szCs w:val="14"/>
                <w:color w:val="auto"/>
              </w:rPr>
              <w:t>Add: If-converted income tax expense (benefit)</w:t>
            </w:r>
            <w:r>
              <w:rPr>
                <w:rFonts w:ascii="Arial" w:cs="Arial" w:eastAsia="Arial" w:hAnsi="Arial"/>
                <w:sz w:val="18"/>
                <w:szCs w:val="18"/>
                <w:color w:val="auto"/>
                <w:vertAlign w:val="superscript"/>
              </w:rPr>
              <w:t>(8)</w:t>
            </w:r>
          </w:p>
        </w:tc>
        <w:tc>
          <w:tcPr>
            <w:tcW w:w="80" w:type="dxa"/>
            <w:vAlign w:val="bottom"/>
            <w:tcBorders>
              <w:bottom w:val="single" w:sz="8" w:color="B6B6B6"/>
            </w:tcBorders>
          </w:tcPr>
          <w:p>
            <w:pPr>
              <w:spacing w:after="0"/>
              <w:rPr>
                <w:sz w:val="18"/>
                <w:szCs w:val="18"/>
                <w:color w:val="auto"/>
              </w:rPr>
            </w:pPr>
          </w:p>
        </w:tc>
        <w:tc>
          <w:tcPr>
            <w:tcW w:w="200" w:type="dxa"/>
            <w:vAlign w:val="bottom"/>
            <w:tcBorders>
              <w:bottom w:val="single" w:sz="8" w:color="B6B6B6"/>
            </w:tcBorders>
          </w:tcPr>
          <w:p>
            <w:pPr>
              <w:spacing w:after="0"/>
              <w:rPr>
                <w:sz w:val="18"/>
                <w:szCs w:val="18"/>
                <w:color w:val="auto"/>
              </w:rPr>
            </w:pPr>
          </w:p>
        </w:tc>
        <w:tc>
          <w:tcPr>
            <w:tcW w:w="116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(8,403)</w:t>
            </w:r>
          </w:p>
        </w:tc>
        <w:tc>
          <w:tcPr>
            <w:tcW w:w="26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jc w:val="right"/>
              <w:ind w:right="68"/>
              <w:spacing w:after="0"/>
              <w:rPr>
                <w:sz w:val="20"/>
                <w:szCs w:val="20"/>
                <w:color w:val="auto"/>
              </w:rPr>
            </w:pPr>
            <w:r>
              <w:rPr>
                <w:rFonts w:ascii="Arial" w:cs="Arial" w:eastAsia="Arial" w:hAnsi="Arial"/>
                <w:sz w:val="14"/>
                <w:szCs w:val="14"/>
                <w:color w:val="auto"/>
              </w:rPr>
              <w:t>(8,382)</w:t>
            </w:r>
          </w:p>
        </w:tc>
      </w:tr>
      <w:tr>
        <w:trPr>
          <w:trHeight w:val="196"/>
        </w:trPr>
        <w:tc>
          <w:tcPr>
            <w:tcW w:w="83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if-converted net income</w:t>
            </w:r>
          </w:p>
        </w:tc>
        <w:tc>
          <w:tcPr>
            <w:tcW w:w="280" w:type="dxa"/>
            <w:vAlign w:val="bottom"/>
            <w:gridSpan w:val="2"/>
            <w:shd w:val="clear" w:color="auto" w:fill="E3E1E9"/>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3E1E9"/>
          </w:tcPr>
          <w:p>
            <w:pPr>
              <w:jc w:val="right"/>
              <w:ind w:right="168"/>
              <w:spacing w:after="0"/>
              <w:rPr>
                <w:sz w:val="20"/>
                <w:szCs w:val="20"/>
                <w:color w:val="auto"/>
              </w:rPr>
            </w:pPr>
            <w:r>
              <w:rPr>
                <w:rFonts w:ascii="Arial" w:cs="Arial" w:eastAsia="Arial" w:hAnsi="Arial"/>
                <w:sz w:val="14"/>
                <w:szCs w:val="14"/>
                <w:color w:val="auto"/>
              </w:rPr>
              <w:t>5,061</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29,260</w:t>
            </w:r>
          </w:p>
        </w:tc>
      </w:tr>
      <w:tr>
        <w:trPr>
          <w:trHeight w:val="248"/>
        </w:trPr>
        <w:tc>
          <w:tcPr>
            <w:tcW w:w="8360" w:type="dxa"/>
            <w:vAlign w:val="bottom"/>
          </w:tcPr>
          <w:p>
            <w:pPr>
              <w:ind w:left="20"/>
              <w:spacing w:after="0"/>
              <w:rPr>
                <w:sz w:val="20"/>
                <w:szCs w:val="20"/>
                <w:color w:val="auto"/>
              </w:rPr>
            </w:pPr>
            <w:r>
              <w:rPr>
                <w:rFonts w:ascii="Arial" w:cs="Arial" w:eastAsia="Arial" w:hAnsi="Arial"/>
                <w:sz w:val="14"/>
                <w:szCs w:val="14"/>
                <w:color w:val="auto"/>
              </w:rPr>
              <w:t>Weighted-average diluted shares of Class A common stock outstanding</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101,175,788</w:t>
            </w:r>
          </w:p>
        </w:tc>
        <w:tc>
          <w:tcPr>
            <w:tcW w:w="260" w:type="dxa"/>
            <w:vAlign w:val="bottom"/>
          </w:tcPr>
          <w:p>
            <w:pPr>
              <w:spacing w:after="0"/>
              <w:rPr>
                <w:sz w:val="21"/>
                <w:szCs w:val="21"/>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75,839,577</w:t>
            </w:r>
          </w:p>
        </w:tc>
      </w:tr>
      <w:tr>
        <w:trPr>
          <w:trHeight w:val="210"/>
        </w:trPr>
        <w:tc>
          <w:tcPr>
            <w:tcW w:w="83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Weighted average number of incremental shares from if-converted PWP OpCo units</w:t>
            </w:r>
            <w:r>
              <w:rPr>
                <w:rFonts w:ascii="Arial" w:cs="Arial" w:eastAsia="Arial" w:hAnsi="Arial"/>
                <w:sz w:val="18"/>
                <w:szCs w:val="18"/>
                <w:color w:val="auto"/>
                <w:vertAlign w:val="superscript"/>
              </w:rPr>
              <w:t>(9)</w:t>
            </w:r>
          </w:p>
        </w:tc>
        <w:tc>
          <w:tcPr>
            <w:tcW w:w="80" w:type="dxa"/>
            <w:vAlign w:val="bottom"/>
            <w:tcBorders>
              <w:bottom w:val="single" w:sz="8" w:color="B6B6B6"/>
            </w:tcBorders>
          </w:tcPr>
          <w:p>
            <w:pPr>
              <w:spacing w:after="0"/>
              <w:rPr>
                <w:sz w:val="18"/>
                <w:szCs w:val="18"/>
                <w:color w:val="auto"/>
              </w:rPr>
            </w:pPr>
          </w:p>
        </w:tc>
        <w:tc>
          <w:tcPr>
            <w:tcW w:w="200" w:type="dxa"/>
            <w:vAlign w:val="bottom"/>
            <w:tcBorders>
              <w:bottom w:val="single" w:sz="8" w:color="B6B6B6"/>
            </w:tcBorders>
          </w:tcPr>
          <w:p>
            <w:pPr>
              <w:spacing w:after="0"/>
              <w:rPr>
                <w:sz w:val="18"/>
                <w:szCs w:val="18"/>
                <w:color w:val="auto"/>
              </w:rPr>
            </w:pPr>
          </w:p>
        </w:tc>
        <w:tc>
          <w:tcPr>
            <w:tcW w:w="1160" w:type="dxa"/>
            <w:vAlign w:val="bottom"/>
            <w:tcBorders>
              <w:bottom w:val="single" w:sz="8" w:color="B6B6B6"/>
            </w:tcBorders>
          </w:tcPr>
          <w:p>
            <w:pPr>
              <w:jc w:val="right"/>
              <w:ind w:right="1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6B6B6"/>
            </w:tcBorders>
          </w:tcPr>
          <w:p>
            <w:pPr>
              <w:spacing w:after="0"/>
              <w:rPr>
                <w:sz w:val="18"/>
                <w:szCs w:val="18"/>
                <w:color w:val="auto"/>
              </w:rPr>
            </w:pPr>
          </w:p>
        </w:tc>
        <w:tc>
          <w:tcPr>
            <w:tcW w:w="11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27,051,350</w:t>
            </w:r>
          </w:p>
        </w:tc>
      </w:tr>
      <w:tr>
        <w:trPr>
          <w:trHeight w:val="196"/>
        </w:trPr>
        <w:tc>
          <w:tcPr>
            <w:tcW w:w="8360" w:type="dxa"/>
            <w:vAlign w:val="bottom"/>
            <w:shd w:val="clear" w:color="auto" w:fill="E3E1E9"/>
          </w:tcPr>
          <w:p>
            <w:pPr>
              <w:ind w:left="2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80" w:type="dxa"/>
            <w:vAlign w:val="bottom"/>
            <w:shd w:val="clear" w:color="auto" w:fill="E3E1E9"/>
          </w:tcPr>
          <w:p>
            <w:pPr>
              <w:spacing w:after="0"/>
              <w:rPr>
                <w:sz w:val="17"/>
                <w:szCs w:val="17"/>
                <w:color w:val="auto"/>
              </w:rPr>
            </w:pPr>
          </w:p>
        </w:tc>
        <w:tc>
          <w:tcPr>
            <w:tcW w:w="200" w:type="dxa"/>
            <w:vAlign w:val="bottom"/>
            <w:shd w:val="clear" w:color="auto" w:fill="E3E1E9"/>
          </w:tcPr>
          <w:p>
            <w:pPr>
              <w:spacing w:after="0"/>
              <w:rPr>
                <w:sz w:val="17"/>
                <w:szCs w:val="17"/>
                <w:color w:val="auto"/>
              </w:rPr>
            </w:pPr>
          </w:p>
        </w:tc>
        <w:tc>
          <w:tcPr>
            <w:tcW w:w="1160" w:type="dxa"/>
            <w:vAlign w:val="bottom"/>
            <w:shd w:val="clear" w:color="auto" w:fill="E3E1E9"/>
          </w:tcPr>
          <w:p>
            <w:pPr>
              <w:jc w:val="right"/>
              <w:ind w:right="168"/>
              <w:spacing w:after="0"/>
              <w:rPr>
                <w:sz w:val="20"/>
                <w:szCs w:val="20"/>
                <w:color w:val="auto"/>
              </w:rPr>
            </w:pPr>
            <w:r>
              <w:rPr>
                <w:rFonts w:ascii="Arial" w:cs="Arial" w:eastAsia="Arial" w:hAnsi="Arial"/>
                <w:sz w:val="14"/>
                <w:szCs w:val="14"/>
                <w:color w:val="auto"/>
              </w:rPr>
              <w:t>101,175,788</w:t>
            </w:r>
          </w:p>
        </w:tc>
        <w:tc>
          <w:tcPr>
            <w:tcW w:w="260" w:type="dxa"/>
            <w:vAlign w:val="bottom"/>
            <w:shd w:val="clear" w:color="auto" w:fill="E3E1E9"/>
          </w:tcPr>
          <w:p>
            <w:pPr>
              <w:spacing w:after="0"/>
              <w:rPr>
                <w:sz w:val="17"/>
                <w:szCs w:val="17"/>
                <w:color w:val="auto"/>
              </w:rPr>
            </w:pPr>
          </w:p>
        </w:tc>
        <w:tc>
          <w:tcPr>
            <w:tcW w:w="110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102,890,927</w:t>
            </w:r>
          </w:p>
        </w:tc>
      </w:tr>
      <w:tr>
        <w:trPr>
          <w:trHeight w:val="54"/>
        </w:trPr>
        <w:tc>
          <w:tcPr>
            <w:tcW w:w="8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03"/>
        </w:trPr>
        <w:tc>
          <w:tcPr>
            <w:tcW w:w="8360" w:type="dxa"/>
            <w:vAlign w:val="bottom"/>
            <w:shd w:val="clear" w:color="auto" w:fill="E3E1E9"/>
          </w:tcPr>
          <w:p>
            <w:pPr>
              <w:ind w:left="20"/>
              <w:spacing w:after="0"/>
              <w:rPr>
                <w:sz w:val="20"/>
                <w:szCs w:val="20"/>
                <w:color w:val="auto"/>
              </w:rPr>
            </w:pPr>
            <w:r>
              <w:rPr>
                <w:rFonts w:ascii="Arial" w:cs="Arial" w:eastAsia="Arial" w:hAnsi="Arial"/>
                <w:sz w:val="14"/>
                <w:szCs w:val="14"/>
                <w:color w:val="auto"/>
              </w:rPr>
              <w:t>Adjusted net income per Class A share—diluted, if-converted</w:t>
            </w:r>
          </w:p>
        </w:tc>
        <w:tc>
          <w:tcPr>
            <w:tcW w:w="280" w:type="dxa"/>
            <w:vAlign w:val="bottom"/>
            <w:gridSpan w:val="2"/>
            <w:shd w:val="clear" w:color="auto" w:fill="E3E1E9"/>
          </w:tcPr>
          <w:p>
            <w:pPr>
              <w:jc w:val="right"/>
              <w:ind w:righ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E3E1E9"/>
          </w:tcPr>
          <w:p>
            <w:pPr>
              <w:jc w:val="right"/>
              <w:ind w:right="168"/>
              <w:spacing w:after="0"/>
              <w:rPr>
                <w:sz w:val="20"/>
                <w:szCs w:val="20"/>
                <w:color w:val="auto"/>
              </w:rPr>
            </w:pPr>
            <w:r>
              <w:rPr>
                <w:rFonts w:ascii="Arial" w:cs="Arial" w:eastAsia="Arial" w:hAnsi="Arial"/>
                <w:sz w:val="14"/>
                <w:szCs w:val="14"/>
                <w:color w:val="auto"/>
              </w:rPr>
              <w:t>0.05</w:t>
            </w:r>
          </w:p>
        </w:tc>
        <w:tc>
          <w:tcPr>
            <w:tcW w:w="260" w:type="dxa"/>
            <w:vAlign w:val="bottom"/>
            <w:shd w:val="clear" w:color="auto" w:fill="E3E1E9"/>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3E1E9"/>
          </w:tcPr>
          <w:p>
            <w:pPr>
              <w:jc w:val="right"/>
              <w:ind w:right="108"/>
              <w:spacing w:after="0"/>
              <w:rPr>
                <w:sz w:val="20"/>
                <w:szCs w:val="20"/>
                <w:color w:val="auto"/>
              </w:rPr>
            </w:pPr>
            <w:r>
              <w:rPr>
                <w:rFonts w:ascii="Arial" w:cs="Arial" w:eastAsia="Arial" w:hAnsi="Arial"/>
                <w:sz w:val="14"/>
                <w:szCs w:val="14"/>
                <w:color w:val="auto"/>
              </w:rPr>
              <w:t>0.28</w:t>
            </w:r>
          </w:p>
        </w:tc>
      </w:tr>
      <w:tr>
        <w:trPr>
          <w:trHeight w:val="261"/>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 xml:space="preserve">Key metrics: </w:t>
            </w:r>
            <w:r>
              <w:rPr>
                <w:rFonts w:ascii="Arial" w:cs="Arial" w:eastAsia="Arial" w:hAnsi="Arial"/>
                <w:sz w:val="18"/>
                <w:szCs w:val="18"/>
                <w:b w:val="1"/>
                <w:bCs w:val="1"/>
                <w:color w:val="auto"/>
                <w:vertAlign w:val="superscript"/>
              </w:rPr>
              <w:t>(10)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5.5 %</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Adjusted operating income (loss) margin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9.7 %</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GAAP compensation ratio</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82 %</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Adjusted compensation ratio</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79 %</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67 %</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GAAP effective tax rate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93 %</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3"/>
        </w:trPr>
        <w:tc>
          <w:tcPr>
            <w:tcW w:w="8360" w:type="dxa"/>
            <w:vAlign w:val="bottom"/>
          </w:tcPr>
          <w:p>
            <w:pPr>
              <w:ind w:left="20"/>
              <w:spacing w:after="0"/>
              <w:rPr>
                <w:sz w:val="20"/>
                <w:szCs w:val="20"/>
                <w:color w:val="auto"/>
              </w:rPr>
            </w:pPr>
            <w:r>
              <w:rPr>
                <w:rFonts w:ascii="Arial" w:cs="Arial" w:eastAsia="Arial" w:hAnsi="Arial"/>
                <w:sz w:val="14"/>
                <w:szCs w:val="14"/>
                <w:color w:val="auto"/>
              </w:rPr>
              <w:t>Adjusted if-converted effective tax rate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251 %</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w:t>
            </w:r>
          </w:p>
        </w:tc>
      </w:tr>
    </w:tbl>
    <w:p>
      <w:pPr>
        <w:spacing w:after="0" w:line="200" w:lineRule="exact"/>
        <w:rPr>
          <w:sz w:val="20"/>
          <w:szCs w:val="20"/>
          <w:color w:val="auto"/>
        </w:rPr>
      </w:pPr>
    </w:p>
    <w:p>
      <w:pPr>
        <w:spacing w:after="0" w:line="325" w:lineRule="exact"/>
        <w:rPr>
          <w:sz w:val="20"/>
          <w:szCs w:val="20"/>
          <w:color w:val="auto"/>
        </w:rPr>
      </w:pPr>
    </w:p>
    <w:p>
      <w:pPr>
        <w:jc w:val="both"/>
        <w:ind w:left="-8" w:firstLine="8"/>
        <w:spacing w:after="0" w:line="259" w:lineRule="auto"/>
        <w:tabs>
          <w:tab w:leader="none" w:pos="88"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12" w:right="339" w:bottom="1440" w:gutter="0" w:footer="0" w:header="0"/>
        </w:sectPr>
      </w:pPr>
    </w:p>
    <w:bookmarkStart w:id="12" w:name="page13"/>
    <w:bookmarkEnd w:id="12"/>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Notes to GAAP Reconciliation of Adjusted Results:</w:t>
      </w:r>
    </w:p>
    <w:p>
      <w:pPr>
        <w:spacing w:after="0" w:line="299" w:lineRule="exact"/>
        <w:rPr>
          <w:sz w:val="20"/>
          <w:szCs w:val="20"/>
          <w:color w:val="auto"/>
        </w:rPr>
      </w:pPr>
    </w:p>
    <w:p>
      <w:pPr>
        <w:jc w:val="both"/>
        <w:ind w:left="500" w:hanging="492"/>
        <w:spacing w:after="0" w:line="341" w:lineRule="auto"/>
        <w:tabs>
          <w:tab w:leader="none" w:pos="495" w:val="left"/>
        </w:tabs>
        <w:numPr>
          <w:ilvl w:val="0"/>
          <w:numId w:val="16"/>
        </w:numPr>
        <w:rPr>
          <w:rFonts w:ascii="Arial" w:cs="Arial" w:eastAsia="Arial" w:hAnsi="Arial"/>
          <w:sz w:val="19"/>
          <w:szCs w:val="19"/>
          <w:color w:val="auto"/>
        </w:rPr>
      </w:pPr>
      <w:r>
        <w:rPr>
          <w:rFonts w:ascii="Arial" w:cs="Arial" w:eastAsia="Arial" w:hAnsi="Arial"/>
          <w:sz w:val="19"/>
          <w:szCs w:val="19"/>
          <w:color w:val="auto"/>
        </w:rPr>
        <w:t>Public company transaction related incentives includes equity-based compensation for transaction-related RSUs and performance restricted stock units (“PSUs”), which are directly related to milestone events that were part of a business combination that closed on June 24, 2021, as well as employment taxes for these RSUs and PSUs. These expenses were outside of PWP’s normal and recurring bonus and compensation processes and will be fully expensed by the end of 2026.</w:t>
      </w:r>
    </w:p>
    <w:p>
      <w:pPr>
        <w:spacing w:after="0" w:line="81" w:lineRule="exact"/>
        <w:rPr>
          <w:rFonts w:ascii="Arial" w:cs="Arial" w:eastAsia="Arial" w:hAnsi="Arial"/>
          <w:sz w:val="19"/>
          <w:szCs w:val="19"/>
          <w:color w:val="auto"/>
        </w:rPr>
      </w:pPr>
    </w:p>
    <w:p>
      <w:pPr>
        <w:jc w:val="both"/>
        <w:ind w:left="500" w:right="20" w:hanging="492"/>
        <w:spacing w:after="0" w:line="32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Acquisition related incentives includes retention bonus payments and equity-based compensation for RSUs granted in conjunction with the acquisition of Devon Park Advisors (“Devon Park”), as well as associated employment taxes. These expenses are outside of PWP’s normal and recurring bonus and compensation processes.</w:t>
      </w:r>
    </w:p>
    <w:p>
      <w:pPr>
        <w:spacing w:after="0" w:line="102" w:lineRule="exact"/>
        <w:rPr>
          <w:rFonts w:ascii="Arial" w:cs="Arial" w:eastAsia="Arial" w:hAnsi="Arial"/>
          <w:sz w:val="20"/>
          <w:szCs w:val="20"/>
          <w:color w:val="auto"/>
        </w:rPr>
      </w:pPr>
    </w:p>
    <w:p>
      <w:pPr>
        <w:jc w:val="both"/>
        <w:ind w:left="500" w:right="100" w:hanging="492"/>
        <w:spacing w:after="0" w:line="32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adjustment reflects the amortization of intangible assets associated with the Tudor, Pickering, Holt &amp; Co., LLC (TPH) and Devon Park business combinations. This adjustment was previously referred to as “TPH business combination related expenses” in prior releases.</w:t>
      </w:r>
    </w:p>
    <w:p>
      <w:pPr>
        <w:spacing w:after="0" w:line="102" w:lineRule="exact"/>
        <w:rPr>
          <w:rFonts w:ascii="Arial" w:cs="Arial" w:eastAsia="Arial" w:hAnsi="Arial"/>
          <w:sz w:val="20"/>
          <w:szCs w:val="20"/>
          <w:color w:val="auto"/>
        </w:rPr>
      </w:pPr>
    </w:p>
    <w:p>
      <w:pPr>
        <w:ind w:left="500" w:hanging="492"/>
        <w:spacing w:after="0"/>
        <w:tabs>
          <w:tab w:leader="none" w:pos="5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Business combination transaction costs that were expensed associated with the acquisition of Devon Park.</w:t>
      </w:r>
    </w:p>
    <w:p>
      <w:pPr>
        <w:spacing w:after="0" w:line="202" w:lineRule="exact"/>
        <w:rPr>
          <w:rFonts w:ascii="Arial" w:cs="Arial" w:eastAsia="Arial" w:hAnsi="Arial"/>
          <w:sz w:val="20"/>
          <w:szCs w:val="20"/>
          <w:color w:val="auto"/>
        </w:rPr>
      </w:pPr>
    </w:p>
    <w:p>
      <w:pPr>
        <w:ind w:left="500" w:hanging="492"/>
        <w:spacing w:after="0" w:line="342"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See reconciliation on the following page for the components of the consolidated statements of operations included in non-compensation expense—GAAP as well as Adjusted non-compensation expense.</w:t>
      </w:r>
    </w:p>
    <w:p>
      <w:pPr>
        <w:spacing w:after="0" w:line="87" w:lineRule="exact"/>
        <w:rPr>
          <w:rFonts w:ascii="Arial" w:cs="Arial" w:eastAsia="Arial" w:hAnsi="Arial"/>
          <w:sz w:val="20"/>
          <w:szCs w:val="20"/>
          <w:color w:val="auto"/>
        </w:rPr>
      </w:pPr>
    </w:p>
    <w:p>
      <w:pPr>
        <w:jc w:val="both"/>
        <w:ind w:left="500" w:hanging="492"/>
        <w:spacing w:after="0" w:line="32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Includes the amortization of debt discounts and issuance costs for all periods presented. For the three months ended March 31, 2026, it includes the fair value adjustments to the liability-classified contingent consideration recognized in the Devon Park acquisition.</w:t>
      </w:r>
    </w:p>
    <w:p>
      <w:pPr>
        <w:spacing w:after="0" w:line="102" w:lineRule="exact"/>
        <w:rPr>
          <w:rFonts w:ascii="Arial" w:cs="Arial" w:eastAsia="Arial" w:hAnsi="Arial"/>
          <w:sz w:val="20"/>
          <w:szCs w:val="20"/>
          <w:color w:val="auto"/>
        </w:rPr>
      </w:pPr>
    </w:p>
    <w:p>
      <w:pPr>
        <w:jc w:val="both"/>
        <w:ind w:left="500" w:right="120" w:hanging="492"/>
        <w:spacing w:after="0" w:line="320"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adjusted income tax expense (benefit) represents the Company’s calculated tax expense (benefit) on adjusted non-GAAP results. It excludes the impact on income taxes of certain transaction-related items and other items not reflected in our adjusted non-GAAP results. It does not represent the cash that the Company expects to pay for taxes in the current periods.</w:t>
      </w:r>
    </w:p>
    <w:p>
      <w:pPr>
        <w:spacing w:after="0" w:line="96" w:lineRule="exact"/>
        <w:rPr>
          <w:rFonts w:ascii="Arial" w:cs="Arial" w:eastAsia="Arial" w:hAnsi="Arial"/>
          <w:sz w:val="20"/>
          <w:szCs w:val="20"/>
          <w:color w:val="auto"/>
        </w:rPr>
      </w:pPr>
    </w:p>
    <w:p>
      <w:pPr>
        <w:jc w:val="both"/>
        <w:ind w:left="500" w:hanging="492"/>
        <w:spacing w:after="0" w:line="326" w:lineRule="auto"/>
        <w:tabs>
          <w:tab w:leader="none" w:pos="495"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if-converted income tax expense (benefit) represents the Company's calculated tax expense (benefit) on adjusted non-GAAP results assuming the exchange of all PWP OpCo units for PWP Class A common stock, resulting in all of the Company’s results for the period being subject to corporate-level tax.</w:t>
      </w:r>
    </w:p>
    <w:p>
      <w:pPr>
        <w:spacing w:after="0" w:line="102" w:lineRule="exact"/>
        <w:rPr>
          <w:rFonts w:ascii="Arial" w:cs="Arial" w:eastAsia="Arial" w:hAnsi="Arial"/>
          <w:sz w:val="20"/>
          <w:szCs w:val="20"/>
          <w:color w:val="auto"/>
        </w:rPr>
      </w:pPr>
    </w:p>
    <w:p>
      <w:pPr>
        <w:ind w:left="500" w:hanging="492"/>
        <w:spacing w:after="0"/>
        <w:tabs>
          <w:tab w:leader="none" w:pos="5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Represents the dilutive impact assuming the conversion of all PWP OpCo units to shares of Class A common stock.</w:t>
      </w:r>
    </w:p>
    <w:p>
      <w:pPr>
        <w:spacing w:after="0" w:line="215" w:lineRule="exact"/>
        <w:rPr>
          <w:rFonts w:ascii="Arial" w:cs="Arial" w:eastAsia="Arial" w:hAnsi="Arial"/>
          <w:sz w:val="20"/>
          <w:szCs w:val="20"/>
          <w:color w:val="auto"/>
        </w:rPr>
      </w:pPr>
    </w:p>
    <w:p>
      <w:pPr>
        <w:ind w:left="500" w:hanging="492"/>
        <w:spacing w:after="0"/>
        <w:tabs>
          <w:tab w:leader="none" w:pos="5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Reconciliations of key metrics from GAAP to Adjusted results are a derivative of the reconciliation of their components.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8"/>
        <w:spacing w:after="0" w:line="259" w:lineRule="auto"/>
        <w:tabs>
          <w:tab w:leader="none" w:pos="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3" w:name="page14"/>
    <w:bookmarkEnd w:id="13"/>
    <w:p>
      <w:pPr>
        <w:jc w:val="center"/>
        <w:ind w:right="1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03695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36955" cy="325755"/>
                    </a:xfrm>
                    <a:prstGeom prst="rect">
                      <a:avLst/>
                    </a:prstGeom>
                    <a:noFill/>
                  </pic:spPr>
                </pic:pic>
              </a:graphicData>
            </a:graphic>
          </wp:anchor>
        </w:drawing>
        <w:t>GAAP Reconciliation of Adjusted Results (Unaudited)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w:t>
      </w:r>
    </w:p>
    <w:p>
      <w:pPr>
        <w:spacing w:after="0" w:line="277"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60" w:type="dxa"/>
            <w:vAlign w:val="bottom"/>
            <w:tcBorders>
              <w:bottom w:val="single" w:sz="8" w:color="B6B6B6"/>
            </w:tcBorders>
          </w:tcPr>
          <w:p>
            <w:pPr>
              <w:spacing w:after="0"/>
              <w:rPr>
                <w:sz w:val="17"/>
                <w:szCs w:val="17"/>
                <w:color w:val="auto"/>
              </w:rPr>
            </w:pPr>
          </w:p>
        </w:tc>
        <w:tc>
          <w:tcPr>
            <w:tcW w:w="3100" w:type="dxa"/>
            <w:vAlign w:val="bottom"/>
            <w:tcBorders>
              <w:bottom w:val="single" w:sz="8" w:color="B6B6B6"/>
            </w:tcBorders>
            <w:gridSpan w:val="4"/>
          </w:tcPr>
          <w:p>
            <w:pPr>
              <w:jc w:val="right"/>
              <w:ind w:right="128"/>
              <w:spacing w:after="0"/>
              <w:rPr>
                <w:sz w:val="20"/>
                <w:szCs w:val="20"/>
                <w:color w:val="auto"/>
              </w:rPr>
            </w:pPr>
            <w:r>
              <w:rPr>
                <w:rFonts w:ascii="Arial" w:cs="Arial" w:eastAsia="Arial" w:hAnsi="Arial"/>
                <w:sz w:val="14"/>
                <w:szCs w:val="14"/>
                <w:b w:val="1"/>
                <w:bCs w:val="1"/>
                <w:color w:val="503C64"/>
              </w:rPr>
              <w:t>Three Months Ended March 31, 2026</w:t>
            </w:r>
          </w:p>
        </w:tc>
        <w:tc>
          <w:tcPr>
            <w:tcW w:w="128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68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b w:val="1"/>
                <w:bCs w:val="1"/>
                <w:color w:val="503C64"/>
              </w:rPr>
              <w:t>Adjustments</w:t>
            </w:r>
          </w:p>
        </w:tc>
        <w:tc>
          <w:tcPr>
            <w:tcW w:w="38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7,912</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 xml:space="preserve">(127) </w:t>
            </w:r>
            <w:r>
              <w:rPr>
                <w:rFonts w:ascii="Arial" w:cs="Arial" w:eastAsia="Arial" w:hAnsi="Arial"/>
                <w:sz w:val="12"/>
                <w:szCs w:val="12"/>
                <w:color w:val="auto"/>
              </w:rPr>
              <w:t>(1)</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7,785</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6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9,980</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9,980</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6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5,872</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5,872</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6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5,928</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5,928</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60" w:type="dxa"/>
            <w:vAlign w:val="bottom"/>
          </w:tcPr>
          <w:p>
            <w:pPr>
              <w:spacing w:after="0"/>
              <w:rPr>
                <w:sz w:val="17"/>
                <w:szCs w:val="17"/>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4,235</w:t>
            </w:r>
          </w:p>
        </w:tc>
        <w:tc>
          <w:tcPr>
            <w:tcW w:w="420" w:type="dxa"/>
            <w:vAlign w:val="bottom"/>
          </w:tcPr>
          <w:p>
            <w:pPr>
              <w:spacing w:after="0"/>
              <w:rPr>
                <w:sz w:val="17"/>
                <w:szCs w:val="17"/>
                <w:color w:val="auto"/>
              </w:rPr>
            </w:pPr>
          </w:p>
        </w:tc>
        <w:tc>
          <w:tcPr>
            <w:tcW w:w="16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4,235</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Borders>
              <w:bottom w:val="single" w:sz="8" w:color="B6B6B6"/>
            </w:tcBorders>
          </w:tcPr>
          <w:p>
            <w:pPr>
              <w:spacing w:after="0"/>
              <w:rPr>
                <w:sz w:val="17"/>
                <w:szCs w:val="17"/>
                <w:color w:val="auto"/>
              </w:rPr>
            </w:pPr>
          </w:p>
        </w:tc>
        <w:tc>
          <w:tcPr>
            <w:tcW w:w="68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5,831</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right"/>
              <w:ind w:right="8"/>
              <w:spacing w:after="0"/>
              <w:rPr>
                <w:sz w:val="20"/>
                <w:szCs w:val="20"/>
                <w:color w:val="auto"/>
              </w:rPr>
            </w:pPr>
            <w:r>
              <w:rPr>
                <w:rFonts w:ascii="Arial" w:cs="Arial" w:eastAsia="Arial" w:hAnsi="Arial"/>
                <w:sz w:val="14"/>
                <w:szCs w:val="14"/>
                <w:color w:val="auto"/>
              </w:rPr>
              <w:t xml:space="preserve">(2,253) </w:t>
            </w:r>
            <w:r>
              <w:rPr>
                <w:rFonts w:ascii="Arial" w:cs="Arial" w:eastAsia="Arial" w:hAnsi="Arial"/>
                <w:sz w:val="12"/>
                <w:szCs w:val="12"/>
                <w:color w:val="auto"/>
              </w:rPr>
              <w:t>(2)</w:t>
            </w:r>
          </w:p>
        </w:tc>
        <w:tc>
          <w:tcPr>
            <w:tcW w:w="38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3,578</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39,758</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(2,380)</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37,378</w:t>
            </w:r>
          </w:p>
        </w:tc>
      </w:tr>
    </w:tbl>
    <w:p>
      <w:pPr>
        <w:spacing w:after="0" w:line="222"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1040" w:type="dxa"/>
            <w:vAlign w:val="bottom"/>
            <w:tcBorders>
              <w:bottom w:val="single" w:sz="8" w:color="B6B6B6"/>
            </w:tcBorders>
          </w:tcPr>
          <w:p>
            <w:pPr>
              <w:spacing w:after="0"/>
              <w:rPr>
                <w:sz w:val="17"/>
                <w:szCs w:val="17"/>
                <w:color w:val="auto"/>
              </w:rPr>
            </w:pPr>
          </w:p>
        </w:tc>
        <w:tc>
          <w:tcPr>
            <w:tcW w:w="3120" w:type="dxa"/>
            <w:vAlign w:val="bottom"/>
            <w:tcBorders>
              <w:bottom w:val="single" w:sz="8" w:color="B6B6B6"/>
            </w:tcBorders>
            <w:gridSpan w:val="4"/>
          </w:tcPr>
          <w:p>
            <w:pPr>
              <w:jc w:val="center"/>
              <w:ind w:left="168"/>
              <w:spacing w:after="0"/>
              <w:rPr>
                <w:sz w:val="20"/>
                <w:szCs w:val="20"/>
                <w:color w:val="auto"/>
              </w:rPr>
            </w:pPr>
            <w:r>
              <w:rPr>
                <w:rFonts w:ascii="Arial" w:cs="Arial" w:eastAsia="Arial" w:hAnsi="Arial"/>
                <w:sz w:val="14"/>
                <w:szCs w:val="14"/>
                <w:b w:val="1"/>
                <w:bCs w:val="1"/>
                <w:color w:val="503C64"/>
              </w:rPr>
              <w:t>Three Months Ended March 31, 2025</w:t>
            </w:r>
          </w:p>
        </w:tc>
        <w:tc>
          <w:tcPr>
            <w:tcW w:w="1280" w:type="dxa"/>
            <w:vAlign w:val="bottom"/>
            <w:tcBorders>
              <w:bottom w:val="single" w:sz="8" w:color="B6B6B6"/>
            </w:tcBorders>
          </w:tcPr>
          <w:p>
            <w:pPr>
              <w:spacing w:after="0"/>
              <w:rPr>
                <w:sz w:val="17"/>
                <w:szCs w:val="17"/>
                <w:color w:val="auto"/>
              </w:rPr>
            </w:pPr>
          </w:p>
        </w:tc>
      </w:tr>
      <w:tr>
        <w:trPr>
          <w:trHeight w:val="196"/>
        </w:trPr>
        <w:tc>
          <w:tcPr>
            <w:tcW w:w="4960" w:type="dxa"/>
            <w:vAlign w:val="bottom"/>
            <w:tcBorders>
              <w:bottom w:val="single" w:sz="8" w:color="B6B6B6"/>
            </w:tcBorders>
          </w:tcPr>
          <w:p>
            <w:pPr>
              <w:spacing w:after="0"/>
              <w:rPr>
                <w:sz w:val="17"/>
                <w:szCs w:val="17"/>
                <w:color w:val="auto"/>
              </w:rPr>
            </w:pPr>
          </w:p>
        </w:tc>
        <w:tc>
          <w:tcPr>
            <w:tcW w:w="1040" w:type="dxa"/>
            <w:vAlign w:val="bottom"/>
            <w:tcBorders>
              <w:bottom w:val="single" w:sz="8" w:color="B6B6B6"/>
            </w:tcBorders>
          </w:tcPr>
          <w:p>
            <w:pPr>
              <w:jc w:val="right"/>
              <w:spacing w:after="0"/>
              <w:rPr>
                <w:sz w:val="20"/>
                <w:szCs w:val="20"/>
                <w:color w:val="auto"/>
              </w:rPr>
            </w:pPr>
            <w:r>
              <w:rPr>
                <w:rFonts w:ascii="Arial" w:cs="Arial" w:eastAsia="Arial" w:hAnsi="Arial"/>
                <w:sz w:val="14"/>
                <w:szCs w:val="14"/>
                <w:b w:val="1"/>
                <w:bCs w:val="1"/>
                <w:color w:val="503C64"/>
              </w:rPr>
              <w:t>GAAP</w:t>
            </w:r>
          </w:p>
        </w:tc>
        <w:tc>
          <w:tcPr>
            <w:tcW w:w="700" w:type="dxa"/>
            <w:vAlign w:val="bottom"/>
            <w:tcBorders>
              <w:bottom w:val="single" w:sz="8" w:color="B6B6B6"/>
            </w:tcBorders>
          </w:tcPr>
          <w:p>
            <w:pPr>
              <w:spacing w:after="0"/>
              <w:rPr>
                <w:sz w:val="17"/>
                <w:szCs w:val="17"/>
                <w:color w:val="auto"/>
              </w:rPr>
            </w:pP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right="428"/>
              <w:spacing w:after="0"/>
              <w:rPr>
                <w:sz w:val="20"/>
                <w:szCs w:val="20"/>
                <w:color w:val="auto"/>
              </w:rPr>
            </w:pPr>
            <w:r>
              <w:rPr>
                <w:rFonts w:ascii="Arial" w:cs="Arial" w:eastAsia="Arial" w:hAnsi="Arial"/>
                <w:sz w:val="14"/>
                <w:szCs w:val="14"/>
                <w:b w:val="1"/>
                <w:bCs w:val="1"/>
                <w:color w:val="503C64"/>
              </w:rPr>
              <w:t>Adjustments</w:t>
            </w:r>
          </w:p>
        </w:tc>
        <w:tc>
          <w:tcPr>
            <w:tcW w:w="38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jc w:val="right"/>
              <w:ind w:right="408"/>
              <w:spacing w:after="0"/>
              <w:rPr>
                <w:sz w:val="20"/>
                <w:szCs w:val="20"/>
                <w:color w:val="auto"/>
              </w:rPr>
            </w:pPr>
            <w:r>
              <w:rPr>
                <w:rFonts w:ascii="Arial" w:cs="Arial" w:eastAsia="Arial" w:hAnsi="Arial"/>
                <w:sz w:val="14"/>
                <w:szCs w:val="14"/>
                <w:b w:val="1"/>
                <w:bCs w:val="1"/>
                <w:color w:val="503C64"/>
              </w:rPr>
              <w:t>Adjusted</w:t>
            </w:r>
          </w:p>
        </w:tc>
      </w:tr>
      <w:tr>
        <w:trPr>
          <w:trHeight w:val="189"/>
        </w:trPr>
        <w:tc>
          <w:tcPr>
            <w:tcW w:w="49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19,196</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19,196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Technology and infrastructure</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9,289</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9,289</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Rent and occupancy</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6,326</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6,326</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Travel and related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5,644</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5,644</w:t>
            </w:r>
          </w:p>
        </w:tc>
      </w:tr>
      <w:tr>
        <w:trPr>
          <w:trHeight w:val="203"/>
        </w:trPr>
        <w:tc>
          <w:tcPr>
            <w:tcW w:w="4960" w:type="dxa"/>
            <w:vAlign w:val="bottom"/>
          </w:tcPr>
          <w:p>
            <w:pPr>
              <w:ind w:left="20"/>
              <w:spacing w:after="0"/>
              <w:rPr>
                <w:sz w:val="20"/>
                <w:szCs w:val="20"/>
                <w:color w:val="auto"/>
              </w:rPr>
            </w:pPr>
            <w:r>
              <w:rPr>
                <w:rFonts w:ascii="Arial" w:cs="Arial" w:eastAsia="Arial" w:hAnsi="Arial"/>
                <w:sz w:val="14"/>
                <w:szCs w:val="14"/>
                <w:color w:val="auto"/>
              </w:rPr>
              <w:t>General, administrative and other expenses</w:t>
            </w:r>
          </w:p>
        </w:tc>
        <w:tc>
          <w:tcPr>
            <w:tcW w:w="10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5,463</w:t>
            </w:r>
          </w:p>
        </w:tc>
        <w:tc>
          <w:tcPr>
            <w:tcW w:w="420" w:type="dxa"/>
            <w:vAlign w:val="bottom"/>
          </w:tcPr>
          <w:p>
            <w:pPr>
              <w:spacing w:after="0"/>
              <w:rPr>
                <w:sz w:val="17"/>
                <w:szCs w:val="17"/>
                <w:color w:val="auto"/>
              </w:rPr>
            </w:pPr>
          </w:p>
        </w:tc>
        <w:tc>
          <w:tcPr>
            <w:tcW w:w="1620" w:type="dxa"/>
            <w:vAlign w:val="bottom"/>
          </w:tcPr>
          <w:p>
            <w:pPr>
              <w:jc w:val="center"/>
              <w:ind w:left="768"/>
              <w:spacing w:after="0"/>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5,463</w:t>
            </w:r>
          </w:p>
        </w:tc>
      </w:tr>
      <w:tr>
        <w:trPr>
          <w:trHeight w:val="207"/>
        </w:trPr>
        <w:tc>
          <w:tcPr>
            <w:tcW w:w="4960" w:type="dxa"/>
            <w:vAlign w:val="bottom"/>
            <w:tcBorders>
              <w:bottom w:val="single" w:sz="8" w:color="B6B6B6"/>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Borders>
              <w:bottom w:val="single" w:sz="8" w:color="B6B6B6"/>
            </w:tcBorders>
          </w:tcPr>
          <w:p>
            <w:pPr>
              <w:spacing w:after="0"/>
              <w:rPr>
                <w:sz w:val="17"/>
                <w:szCs w:val="17"/>
                <w:color w:val="auto"/>
              </w:rPr>
            </w:pPr>
          </w:p>
        </w:tc>
        <w:tc>
          <w:tcPr>
            <w:tcW w:w="7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5,001</w:t>
            </w:r>
          </w:p>
        </w:tc>
        <w:tc>
          <w:tcPr>
            <w:tcW w:w="420" w:type="dxa"/>
            <w:vAlign w:val="bottom"/>
            <w:tcBorders>
              <w:bottom w:val="single" w:sz="8" w:color="B6B6B6"/>
            </w:tcBorders>
          </w:tcPr>
          <w:p>
            <w:pPr>
              <w:spacing w:after="0"/>
              <w:rPr>
                <w:sz w:val="17"/>
                <w:szCs w:val="17"/>
                <w:color w:val="auto"/>
              </w:rPr>
            </w:pPr>
          </w:p>
        </w:tc>
        <w:tc>
          <w:tcPr>
            <w:tcW w:w="1620" w:type="dxa"/>
            <w:vAlign w:val="bottom"/>
            <w:tcBorders>
              <w:bottom w:val="single" w:sz="8" w:color="B6B6B6"/>
            </w:tcBorders>
          </w:tcPr>
          <w:p>
            <w:pPr>
              <w:jc w:val="center"/>
              <w:ind w:left="728"/>
              <w:spacing w:after="0"/>
              <w:rPr>
                <w:sz w:val="20"/>
                <w:szCs w:val="20"/>
                <w:color w:val="auto"/>
              </w:rPr>
            </w:pPr>
            <w:r>
              <w:rPr>
                <w:rFonts w:ascii="Arial" w:cs="Arial" w:eastAsia="Arial" w:hAnsi="Arial"/>
                <w:sz w:val="14"/>
                <w:szCs w:val="14"/>
                <w:color w:val="auto"/>
              </w:rPr>
              <w:t xml:space="preserve">(1,645) </w:t>
            </w:r>
            <w:r>
              <w:rPr>
                <w:rFonts w:ascii="Arial" w:cs="Arial" w:eastAsia="Arial" w:hAnsi="Arial"/>
                <w:sz w:val="12"/>
                <w:szCs w:val="12"/>
                <w:color w:val="auto"/>
              </w:rPr>
              <w:t>(3)</w:t>
            </w:r>
          </w:p>
        </w:tc>
        <w:tc>
          <w:tcPr>
            <w:tcW w:w="380" w:type="dxa"/>
            <w:vAlign w:val="bottom"/>
            <w:tcBorders>
              <w:bottom w:val="single" w:sz="8" w:color="B6B6B6"/>
            </w:tcBorders>
          </w:tcPr>
          <w:p>
            <w:pPr>
              <w:spacing w:after="0"/>
              <w:rPr>
                <w:sz w:val="17"/>
                <w:szCs w:val="17"/>
                <w:color w:val="auto"/>
              </w:rPr>
            </w:pPr>
          </w:p>
        </w:tc>
        <w:tc>
          <w:tcPr>
            <w:tcW w:w="12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3,356</w:t>
            </w:r>
          </w:p>
        </w:tc>
      </w:tr>
      <w:tr>
        <w:trPr>
          <w:trHeight w:val="198"/>
        </w:trPr>
        <w:tc>
          <w:tcPr>
            <w:tcW w:w="4960" w:type="dxa"/>
            <w:vAlign w:val="bottom"/>
          </w:tcPr>
          <w:p>
            <w:pPr>
              <w:ind w:left="240"/>
              <w:spacing w:after="0"/>
              <w:rPr>
                <w:sz w:val="20"/>
                <w:szCs w:val="20"/>
                <w:color w:val="auto"/>
              </w:rPr>
            </w:pPr>
            <w:r>
              <w:rPr>
                <w:rFonts w:ascii="Arial" w:cs="Arial" w:eastAsia="Arial" w:hAnsi="Arial"/>
                <w:sz w:val="14"/>
                <w:szCs w:val="14"/>
                <w:b w:val="1"/>
                <w:bCs w:val="1"/>
                <w:color w:val="auto"/>
              </w:rPr>
              <w:t>Non-compensation expense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48"/>
              <w:spacing w:after="0"/>
              <w:rPr>
                <w:sz w:val="20"/>
                <w:szCs w:val="20"/>
                <w:color w:val="auto"/>
              </w:rPr>
            </w:pPr>
            <w:r>
              <w:rPr>
                <w:rFonts w:ascii="Arial" w:cs="Arial" w:eastAsia="Arial" w:hAnsi="Arial"/>
                <w:sz w:val="14"/>
                <w:szCs w:val="14"/>
                <w:color w:val="auto"/>
              </w:rPr>
              <w:t>50,919</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08"/>
              <w:spacing w:after="0"/>
              <w:rPr>
                <w:sz w:val="20"/>
                <w:szCs w:val="20"/>
                <w:color w:val="auto"/>
              </w:rPr>
            </w:pPr>
            <w:r>
              <w:rPr>
                <w:rFonts w:ascii="Arial" w:cs="Arial" w:eastAsia="Arial" w:hAnsi="Arial"/>
                <w:sz w:val="14"/>
                <w:szCs w:val="14"/>
                <w:color w:val="auto"/>
              </w:rPr>
              <w:t>(1,645)</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49,274</w:t>
            </w:r>
          </w:p>
        </w:tc>
      </w:tr>
    </w:tbl>
    <w:p>
      <w:pPr>
        <w:spacing w:after="0" w:line="200" w:lineRule="exact"/>
        <w:rPr>
          <w:sz w:val="20"/>
          <w:szCs w:val="20"/>
          <w:color w:val="auto"/>
        </w:rPr>
      </w:pPr>
    </w:p>
    <w:p>
      <w:pPr>
        <w:spacing w:after="0" w:line="238" w:lineRule="exact"/>
        <w:rPr>
          <w:sz w:val="20"/>
          <w:szCs w:val="20"/>
          <w:color w:val="auto"/>
        </w:rPr>
      </w:pPr>
    </w:p>
    <w:p>
      <w:pPr>
        <w:ind w:left="880" w:hanging="382"/>
        <w:spacing w:after="0"/>
        <w:tabs>
          <w:tab w:leader="none" w:pos="8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Reflects an adjustment to exclude transaction and integration costs associated with the Devon Park acquisition.</w:t>
      </w:r>
    </w:p>
    <w:p>
      <w:pPr>
        <w:spacing w:after="0" w:line="15" w:lineRule="exact"/>
        <w:rPr>
          <w:rFonts w:ascii="Arial" w:cs="Arial" w:eastAsia="Arial" w:hAnsi="Arial"/>
          <w:sz w:val="14"/>
          <w:szCs w:val="14"/>
          <w:color w:val="auto"/>
        </w:rPr>
      </w:pPr>
    </w:p>
    <w:p>
      <w:pPr>
        <w:ind w:left="880" w:hanging="382"/>
        <w:spacing w:after="0"/>
        <w:tabs>
          <w:tab w:leader="none" w:pos="8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and Devon Park business combinations.</w:t>
      </w:r>
    </w:p>
    <w:p>
      <w:pPr>
        <w:spacing w:after="0" w:line="14" w:lineRule="exact"/>
        <w:rPr>
          <w:rFonts w:ascii="Arial" w:cs="Arial" w:eastAsia="Arial" w:hAnsi="Arial"/>
          <w:sz w:val="14"/>
          <w:szCs w:val="14"/>
          <w:color w:val="auto"/>
        </w:rPr>
      </w:pPr>
    </w:p>
    <w:p>
      <w:pPr>
        <w:ind w:left="880" w:hanging="382"/>
        <w:spacing w:after="0"/>
        <w:tabs>
          <w:tab w:leader="none" w:pos="8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Reflects an adjustment to exclude the amortization of intangible assets related to the TPH business combination.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7" w:lineRule="exact"/>
        <w:rPr>
          <w:rFonts w:ascii="Arial" w:cs="Arial" w:eastAsia="Arial" w:hAnsi="Arial"/>
          <w:sz w:val="14"/>
          <w:szCs w:val="14"/>
          <w:color w:val="auto"/>
        </w:rPr>
      </w:pPr>
    </w:p>
    <w:p>
      <w:pPr>
        <w:jc w:val="both"/>
        <w:spacing w:after="0" w:line="259" w:lineRule="auto"/>
        <w:rPr>
          <w:rFonts w:ascii="Arial" w:cs="Arial" w:eastAsia="Arial" w:hAnsi="Arial"/>
          <w:sz w:val="14"/>
          <w:szCs w:val="14"/>
          <w:color w:val="auto"/>
        </w:rPr>
      </w:pPr>
      <w:r>
        <w:rPr>
          <w:rFonts w:ascii="Arial" w:cs="Arial" w:eastAsia="Arial" w:hAnsi="Arial"/>
          <w:sz w:val="14"/>
          <w:szCs w:val="14"/>
          <w:color w:val="auto"/>
        </w:rPr>
        <w:t>* Throughout this release, adjusted figures represent Non-GAAP information. See “Non-GAAP Financial Measures” and the tables at the end of this release for an explanation of the adjustments and reconciliations to the comparable GAAP numbers. GAAP diluted net income (loss) per share attributable to Class A common shareholders and Adjusted net income (loss) per Class A share—diluted, if—converted will be referred to as “GAAP Diluted EPS” and “Adjusted EPS,” respectively.</w:t>
      </w:r>
    </w:p>
    <w:p>
      <w:pPr>
        <w:jc w:val="center"/>
        <w:ind w:right="-19"/>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14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endash "/>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2026-05-01T11:00:41Z</dcterms:created>
  <dcterms:modified xsi:type="dcterms:W3CDTF">2026-05-01T11:00:41Z</dcterms:modified>
</cp:coreProperties>
</file>