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480" w:hanging="440"/>
        <w:spacing w:after="0"/>
        <w:tabs>
          <w:tab w:leader="none" w:pos="4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4" w:lineRule="exact"/>
        <w:rPr>
          <w:sz w:val="24"/>
          <w:szCs w:val="24"/>
          <w:color w:val="auto"/>
        </w:rPr>
      </w:pPr>
    </w:p>
    <w:p>
      <w:pPr>
        <w:ind w:left="480" w:hanging="440"/>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5" w:lineRule="exact"/>
        <w:rPr>
          <w:sz w:val="24"/>
          <w:szCs w:val="24"/>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6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44"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0" w:lineRule="exact"/>
        <w:rPr>
          <w:sz w:val="24"/>
          <w:szCs w:val="24"/>
          <w:color w:val="auto"/>
        </w:rPr>
      </w:pPr>
    </w:p>
    <w:tbl>
      <w:tblPr>
        <w:tblLayout w:type="fixed"/>
        <w:tblInd w:w="2200" w:type="dxa"/>
        <w:tblCellMar>
          <w:top w:w="0" w:type="dxa"/>
          <w:left w:w="0" w:type="dxa"/>
          <w:bottom w:w="0" w:type="dxa"/>
          <w:right w:w="0" w:type="dxa"/>
        </w:tblCellMar>
      </w:tblPr>
      <w:tr>
        <w:trPr>
          <w:trHeight w:val="23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26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202"/>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245"/>
        </w:trPr>
        <w:tc>
          <w:tcPr>
            <w:tcW w:w="410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040" w:type="dxa"/>
            <w:vAlign w:val="bottom"/>
            <w:vMerge w:val="restart"/>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40" w:type="dxa"/>
            <w:vAlign w:val="bottom"/>
          </w:tcPr>
          <w:p>
            <w:pPr>
              <w:jc w:val="center"/>
              <w:ind w:left="1946"/>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7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8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r>
      <w:tr>
        <w:trPr>
          <w:trHeight w:val="21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PWP</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6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2" w:lineRule="exact"/>
        <w:rPr>
          <w:sz w:val="24"/>
          <w:szCs w:val="24"/>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700" w:type="dxa"/>
            <w:vAlign w:val="bottom"/>
          </w:tcPr>
          <w:p>
            <w:pPr>
              <w:ind w:left="180"/>
              <w:spacing w:after="0"/>
              <w:rPr>
                <w:sz w:val="20"/>
                <w:szCs w:val="20"/>
                <w:color w:val="auto"/>
              </w:rPr>
            </w:pPr>
            <w:r>
              <w:rPr>
                <w:rFonts w:ascii="Wingdings" w:cs="Wingdings" w:eastAsia="Wingdings" w:hAnsi="Wingdings"/>
                <w:sz w:val="16"/>
                <w:szCs w:val="16"/>
                <w:b w:val="1"/>
                <w:bCs w:val="1"/>
                <w:color w:val="auto"/>
              </w:rPr>
              <w:t>x</w:t>
            </w:r>
          </w:p>
        </w:tc>
        <w:tc>
          <w:tcPr>
            <w:tcW w:w="1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70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Smaller reporting company </w:t>
            </w:r>
            <w:r>
              <w:rPr>
                <w:rFonts w:ascii="Wingdings" w:cs="Wingdings" w:eastAsia="Wingdings" w:hAnsi="Wingdings"/>
                <w:sz w:val="16"/>
                <w:szCs w:val="16"/>
                <w:b w:val="1"/>
                <w:bCs w:val="1"/>
                <w:color w:val="auto"/>
              </w:rPr>
              <w:t>o</w:t>
            </w:r>
          </w:p>
        </w:tc>
      </w:tr>
      <w:tr>
        <w:trPr>
          <w:trHeight w:val="216"/>
        </w:trPr>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tc>
      </w:tr>
    </w:tbl>
    <w:p>
      <w:pPr>
        <w:spacing w:after="0" w:line="154"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30" w:lineRule="exact"/>
        <w:rPr>
          <w:sz w:val="24"/>
          <w:szCs w:val="24"/>
          <w:color w:val="auto"/>
        </w:rPr>
      </w:pPr>
    </w:p>
    <w:p>
      <w:pPr>
        <w:spacing w:after="0"/>
        <w:tabs>
          <w:tab w:leader="none" w:pos="79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86" w:lineRule="exact"/>
        <w:rPr>
          <w:sz w:val="24"/>
          <w:szCs w:val="24"/>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As of April 28, 2026, the registrant had 71,009,967 shares of Class A common stock, par value $0.0001 per share, and 21,924,506 shares of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0" w:type="dxa"/>
            <w:vAlign w:val="bottom"/>
            <w:gridSpan w:val="2"/>
            <w:vMerge w:val="restart"/>
          </w:tcPr>
          <w:p>
            <w:pPr>
              <w:spacing w:after="0"/>
              <w:rPr>
                <w:sz w:val="2"/>
                <w:szCs w:val="2"/>
                <w:color w:val="auto"/>
              </w:rPr>
            </w:pPr>
          </w:p>
        </w:tc>
        <w:tc>
          <w:tcPr>
            <w:tcW w:w="908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gridSpan w:val="3"/>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9080" w:type="dxa"/>
            <w:vAlign w:val="bottom"/>
            <w:gridSpan w:val="17"/>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0" w:type="dxa"/>
            <w:vAlign w:val="bottom"/>
            <w:gridSpan w:val="2"/>
          </w:tcPr>
          <w:p>
            <w:pPr>
              <w:spacing w:after="0"/>
              <w:rPr>
                <w:sz w:val="22"/>
                <w:szCs w:val="22"/>
                <w:color w:val="auto"/>
              </w:rPr>
            </w:pPr>
          </w:p>
        </w:tc>
        <w:tc>
          <w:tcPr>
            <w:tcW w:w="600" w:type="dxa"/>
            <w:vAlign w:val="bottom"/>
            <w:gridSpan w:val="2"/>
          </w:tcPr>
          <w:p>
            <w:pPr>
              <w:spacing w:after="0"/>
              <w:rPr>
                <w:sz w:val="22"/>
                <w:szCs w:val="22"/>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660" w:type="dxa"/>
            <w:vAlign w:val="bottom"/>
            <w:gridSpan w:val="8"/>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Financial Condition as of March 31, 2026 and December 31, 2025</w:t>
            </w:r>
          </w:p>
        </w:tc>
        <w:tc>
          <w:tcPr>
            <w:tcW w:w="1440" w:type="dxa"/>
            <w:vAlign w:val="bottom"/>
            <w:gridSpan w:val="3"/>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2026 and 2025</w:t>
            </w:r>
          </w:p>
        </w:tc>
        <w:tc>
          <w:tcPr>
            <w:tcW w:w="1440" w:type="dxa"/>
            <w:vAlign w:val="bottom"/>
            <w:gridSpan w:val="3"/>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for the Three Months Ended March 31, 2026 and 2025</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and Redeemable Non-Controlling Interests for the Three Months</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4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Ended March 31, 2026 and 2025</w:t>
            </w:r>
          </w:p>
        </w:tc>
        <w:tc>
          <w:tcPr>
            <w:tcW w:w="4560" w:type="dxa"/>
            <w:vAlign w:val="bottom"/>
            <w:tcBorders>
              <w:top w:val="single" w:sz="8" w:color="0000FF"/>
            </w:tcBorders>
            <w:gridSpan w:val="5"/>
          </w:tcPr>
          <w:p>
            <w:pPr>
              <w:spacing w:after="0"/>
              <w:rPr>
                <w:sz w:val="18"/>
                <w:szCs w:val="18"/>
                <w:color w:val="auto"/>
              </w:rPr>
            </w:pPr>
          </w:p>
        </w:tc>
        <w:tc>
          <w:tcPr>
            <w:tcW w:w="180" w:type="dxa"/>
            <w:vAlign w:val="bottom"/>
            <w:gridSpan w:val="2"/>
          </w:tcPr>
          <w:p>
            <w:pPr>
              <w:spacing w:after="0"/>
              <w:rPr>
                <w:sz w:val="18"/>
                <w:szCs w:val="18"/>
                <w:color w:val="auto"/>
              </w:rPr>
            </w:pPr>
          </w:p>
        </w:tc>
        <w:tc>
          <w:tcPr>
            <w:tcW w:w="9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20" w:type="dxa"/>
            <w:vAlign w:val="bottom"/>
            <w:gridSpan w:val="4"/>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for the Three Months Ended March 31, 2026 and 2025</w:t>
            </w:r>
          </w:p>
        </w:tc>
        <w:tc>
          <w:tcPr>
            <w:tcW w:w="1440" w:type="dxa"/>
            <w:vAlign w:val="bottom"/>
            <w:gridSpan w:val="3"/>
          </w:tcPr>
          <w:p>
            <w:pPr>
              <w:spacing w:after="0"/>
              <w:rPr>
                <w:sz w:val="23"/>
                <w:szCs w:val="23"/>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440" w:type="dxa"/>
            <w:vAlign w:val="bottom"/>
            <w:gridSpan w:val="3"/>
          </w:tcPr>
          <w:p>
            <w:pPr>
              <w:spacing w:after="0"/>
              <w:rPr>
                <w:sz w:val="22"/>
                <w:szCs w:val="22"/>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700" w:type="dxa"/>
            <w:vAlign w:val="bottom"/>
            <w:gridSpan w:val="3"/>
          </w:tcPr>
          <w:p>
            <w:pPr>
              <w:spacing w:after="0"/>
              <w:rPr>
                <w:sz w:val="22"/>
                <w:szCs w:val="22"/>
                <w:color w:val="auto"/>
              </w:rPr>
            </w:pP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20" w:type="dxa"/>
            <w:vAlign w:val="bottom"/>
            <w:gridSpan w:val="4"/>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600" w:type="dxa"/>
            <w:vAlign w:val="bottom"/>
            <w:gridSpan w:val="2"/>
          </w:tcPr>
          <w:p>
            <w:pPr>
              <w:spacing w:after="0"/>
              <w:rPr>
                <w:sz w:val="22"/>
                <w:szCs w:val="22"/>
                <w:color w:val="auto"/>
              </w:rPr>
            </w:pP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20" w:type="dxa"/>
            <w:vAlign w:val="bottom"/>
            <w:gridSpan w:val="6"/>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720" w:type="dxa"/>
            <w:vAlign w:val="bottom"/>
            <w:gridSpan w:val="4"/>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2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2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60" w:type="dxa"/>
            <w:vAlign w:val="bottom"/>
            <w:gridSpan w:val="12"/>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20" w:type="dxa"/>
            <w:vAlign w:val="bottom"/>
            <w:tcBorders>
              <w:top w:val="single" w:sz="8" w:color="0000FF"/>
            </w:tcBorders>
            <w:gridSpan w:val="2"/>
          </w:tcPr>
          <w:p>
            <w:pPr>
              <w:spacing w:after="0"/>
              <w:rPr>
                <w:sz w:val="22"/>
                <w:szCs w:val="22"/>
                <w:color w:val="auto"/>
              </w:rPr>
            </w:pPr>
          </w:p>
        </w:tc>
        <w:tc>
          <w:tcPr>
            <w:tcW w:w="480" w:type="dxa"/>
            <w:vAlign w:val="bottom"/>
          </w:tcPr>
          <w:p>
            <w:pPr>
              <w:spacing w:after="0"/>
              <w:rPr>
                <w:sz w:val="22"/>
                <w:szCs w:val="22"/>
                <w:color w:val="auto"/>
              </w:rPr>
            </w:pPr>
          </w:p>
        </w:tc>
        <w:tc>
          <w:tcPr>
            <w:tcW w:w="2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4"/>
          </w:tcPr>
          <w:p>
            <w:pPr>
              <w:spacing w:after="0"/>
              <w:rPr>
                <w:sz w:val="22"/>
                <w:szCs w:val="22"/>
                <w:color w:val="auto"/>
              </w:rPr>
            </w:pPr>
          </w:p>
        </w:tc>
        <w:tc>
          <w:tcPr>
            <w:tcW w:w="4740" w:type="dxa"/>
            <w:vAlign w:val="bottom"/>
            <w:gridSpan w:val="7"/>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700" w:type="dxa"/>
            <w:vAlign w:val="bottom"/>
            <w:gridSpan w:val="3"/>
          </w:tcPr>
          <w:p>
            <w:pPr>
              <w:spacing w:after="0"/>
              <w:rPr>
                <w:sz w:val="22"/>
                <w:szCs w:val="22"/>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700" w:type="dxa"/>
            <w:vAlign w:val="bottom"/>
            <w:gridSpan w:val="3"/>
          </w:tcPr>
          <w:p>
            <w:pPr>
              <w:spacing w:after="0"/>
              <w:rPr>
                <w:sz w:val="22"/>
                <w:szCs w:val="22"/>
                <w:color w:val="auto"/>
              </w:rPr>
            </w:pPr>
          </w:p>
        </w:tc>
        <w:tc>
          <w:tcPr>
            <w:tcW w:w="17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20" w:type="dxa"/>
            <w:vAlign w:val="bottom"/>
            <w:gridSpan w:val="13"/>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700" w:type="dxa"/>
            <w:vAlign w:val="bottom"/>
            <w:gridSpan w:val="3"/>
          </w:tcPr>
          <w:p>
            <w:pPr>
              <w:spacing w:after="0"/>
              <w:rPr>
                <w:sz w:val="22"/>
                <w:szCs w:val="22"/>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2"/>
          </w:tcPr>
          <w:p>
            <w:pPr>
              <w:spacing w:after="0"/>
              <w:rPr>
                <w:sz w:val="22"/>
                <w:szCs w:val="22"/>
                <w:color w:val="auto"/>
              </w:rPr>
            </w:pPr>
          </w:p>
        </w:tc>
        <w:tc>
          <w:tcPr>
            <w:tcW w:w="7760" w:type="dxa"/>
            <w:vAlign w:val="bottom"/>
            <w:gridSpan w:val="14"/>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90170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2" w:name="page3"/>
    <w:bookmarkEnd w:id="2"/>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June 24, 2021, Perella Weinberg Partners consummated a business combination (the “Business Combination”) pursuant to the Business Combination Agreement, dated as of December 29, 2020. Unless the context otherwise requires, all references to “PWP,” the “Company,” “we,” “us”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refer to Perella Weinberg Partners and its consolidated subsidiaries.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statements made in this Quarterly Report on Form 10-Q are “forward-looking statements” within the meaning of the federal securities laws,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the Private Securities Litigation Reform Act of 1995, Section 27A of the Securities Act of 1933, as amended (the “Securities Act”), and Section 21E of the Securities Exchange Act of 1934, as amended (the “Exchange Act”). Statements regarding expectations for the business are “forward-looking statements.” In addition, words such as “estimates,” “projected,” “expects,” “estimated,” “anticipates,” “forecasts,” “plans,” “intends,” “believes,” “seeks,”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which are outside the control of the parties, that could cause actual results or outcomes to differ materially from those discussed in the forward-looking statements.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(but are not limited to): changing market conditions;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industry and U.S. and foreign regulatory developments relating to, among other things, financial institutions and markets, government oversight, fiscal and tax policy and laws; and other risks and uncertainties described under the section entitled “</w:t>
      </w:r>
      <w:r>
        <w:rPr>
          <w:rFonts w:ascii="Times New Roman" w:cs="Times New Roman" w:eastAsia="Times New Roman" w:hAnsi="Times New Roman"/>
          <w:sz w:val="18"/>
          <w:szCs w:val="18"/>
          <w:i w:val="1"/>
          <w:iCs w:val="1"/>
          <w:color w:val="auto"/>
        </w:rPr>
        <w:t>Part I—Item 1A. Risk Factors</w:t>
      </w:r>
      <w:r>
        <w:rPr>
          <w:rFonts w:ascii="Times New Roman" w:cs="Times New Roman" w:eastAsia="Times New Roman" w:hAnsi="Times New Roman"/>
          <w:sz w:val="18"/>
          <w:szCs w:val="18"/>
          <w:color w:val="auto"/>
        </w:rPr>
        <w:t>” included in our Annual Report on Form 10-K.</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future events or otherwise, except as may be required under applicable securities laws.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94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Perella Weinberg Partners</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20" w:type="dxa"/>
            <w:vAlign w:val="bottom"/>
            <w:gridSpan w:val="2"/>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Per Share and Per Unit Amounts)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595,795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367,538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 (21,924,506 units at redemption value of $17.47 per unit as of</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 22,139,506 units at redemption value of $17.53 per unit as of December 31, 2025)</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388,099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A common stock, par value $0.0001 per share (1,500,000,000 shares authorized, 84,629,593 issued</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70,556,186 outstanding at March 31, 2026; 1,500,000,000 shares authorized, 81,308,801 issued and</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66,739,647 outstanding at December 31, 2025)</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21,924,506 issued and</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at March 31, 2026; 600,000,000 shares authorized, 22,139,506 issued and outstanding at</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par value $0.0001 per share (100,000,000 shares authorized, no shares issued and</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March 31, 2026 and December 31, 2025)</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 at cost (14,073,407 and 14,569,154 shares of Class A common stock at March 31, 2026 and</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(154,709)</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(154,709)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(127,359)</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595,795</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46" w:right="359" w:bottom="1440" w:gutter="0" w:footer="0" w:header="0"/>
        </w:sectPr>
      </w:pPr>
    </w:p>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40005</wp:posOffset>
            </wp:positionV>
            <wp:extent cx="2074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211,831</w:t>
            </w: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122,999</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149,244</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 and occupancy</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161,818</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200,163</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 shareholders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Class A common stock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70,398,710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62,138,123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101,175,788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75,839,577</w:t>
            </w:r>
          </w:p>
        </w:tc>
        <w:tc>
          <w:tcPr>
            <w:tcW w:w="0" w:type="dxa"/>
            <w:vAlign w:val="bottom"/>
          </w:tcPr>
          <w:p>
            <w:pPr>
              <w:spacing w:after="0"/>
              <w:rPr>
                <w:sz w:val="1"/>
                <w:szCs w:val="1"/>
                <w:color w:val="auto"/>
              </w:rPr>
            </w:pPr>
          </w:p>
        </w:tc>
      </w:tr>
      <w:tr>
        <w:trPr>
          <w:trHeight w:val="27"/>
        </w:trPr>
        <w:tc>
          <w:tcPr>
            <w:tcW w:w="7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5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13335</wp:posOffset>
            </wp:positionV>
            <wp:extent cx="20745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21,373</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24,129</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r>
      <w:tr>
        <w:trPr>
          <w:trHeight w:val="27"/>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Perella Weinberg Partners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0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9"/>
                <w:szCs w:val="9"/>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92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6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0" w:type="dxa"/>
            <w:vAlign w:val="bottom"/>
          </w:tcPr>
          <w:p>
            <w:pPr>
              <w:spacing w:after="0"/>
              <w:rPr>
                <w:sz w:val="1"/>
                <w:szCs w:val="1"/>
                <w:color w:val="auto"/>
              </w:rPr>
            </w:pPr>
          </w:p>
        </w:tc>
      </w:tr>
      <w:tr>
        <w:trPr>
          <w:trHeight w:val="169"/>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81,308,801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22,139,506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(14,569,154)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(138,449)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144,197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(130,596)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(127,359)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388,099</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1,487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(2,232)</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30,971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30,971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3,105,577</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495,747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 Incentive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Plan Awards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(55,160)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(55,160)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(1,289)</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B common stock for Class A common stock</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(Note 10—Stockholders’ Equity and Redeemable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Non-Controlling Interests)</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215,215</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(215,000)</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9,170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(9,170)</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Changes in redemption value of redeemable non-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controlling interests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6,658</w:t>
            </w:r>
          </w:p>
        </w:tc>
        <w:tc>
          <w:tcPr>
            <w:tcW w:w="0" w:type="dxa"/>
            <w:vAlign w:val="bottom"/>
          </w:tcPr>
          <w:p>
            <w:pPr>
              <w:spacing w:after="0"/>
              <w:rPr>
                <w:sz w:val="1"/>
                <w:szCs w:val="1"/>
                <w:color w:val="auto"/>
              </w:rPr>
            </w:pPr>
          </w:p>
        </w:tc>
      </w:tr>
      <w:tr>
        <w:trPr>
          <w:trHeight w:val="178"/>
        </w:trPr>
        <w:tc>
          <w:tcPr>
            <w:tcW w:w="2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2026</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84,629,593</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21,924,506</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(14,073,407)</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(134,657)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119,364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(135,616)</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(3,810)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(154,709)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382,966</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0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9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0" w:type="dxa"/>
            <w:vAlign w:val="bottom"/>
          </w:tcPr>
          <w:p>
            <w:pPr>
              <w:spacing w:after="0"/>
              <w:rPr>
                <w:sz w:val="1"/>
                <w:szCs w:val="1"/>
                <w:color w:val="auto"/>
              </w:rPr>
            </w:pPr>
          </w:p>
        </w:tc>
      </w:tr>
      <w:tr>
        <w:trPr>
          <w:trHeight w:val="156"/>
        </w:trPr>
        <w:tc>
          <w:tcPr>
            <w:tcW w:w="24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72,544,696</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27,460,600</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(13,362,975)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(111,484)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(303,708)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(421,375)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651,140</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17,339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17,339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4,034</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26,396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26,396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3,366,995</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387,054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4,644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Withholding tax payments on vested PWP Incentive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Plan Awards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(69,741)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(69,741)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1,932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1,932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824</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B common stock for cash (Note 10—</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Stockholders’ Equity and Redeemable Non-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Controlling Interests)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(1,270,086)</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(28,792)</w:t>
            </w:r>
          </w:p>
        </w:tc>
        <w:tc>
          <w:tcPr>
            <w:tcW w:w="0" w:type="dxa"/>
            <w:vAlign w:val="bottom"/>
          </w:tcPr>
          <w:p>
            <w:pPr>
              <w:spacing w:after="0"/>
              <w:rPr>
                <w:sz w:val="1"/>
                <w:szCs w:val="1"/>
                <w:color w:val="auto"/>
              </w:rPr>
            </w:pPr>
          </w:p>
        </w:tc>
      </w:tr>
      <w:tr>
        <w:trPr>
          <w:trHeight w:val="167"/>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(749,432)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3,207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3,207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(3,207)</w:t>
            </w:r>
          </w:p>
        </w:tc>
        <w:tc>
          <w:tcPr>
            <w:tcW w:w="0" w:type="dxa"/>
            <w:vAlign w:val="bottom"/>
          </w:tcPr>
          <w:p>
            <w:pPr>
              <w:spacing w:after="0"/>
              <w:rPr>
                <w:sz w:val="1"/>
                <w:szCs w:val="1"/>
                <w:color w:val="auto"/>
              </w:rPr>
            </w:pPr>
          </w:p>
        </w:tc>
      </w:tr>
      <w:tr>
        <w:trPr>
          <w:trHeight w:val="148"/>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Changes in redemption value of redeemable non-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controlling interests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139,162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139,162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(139,162)</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75,911,691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26,190,514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(13,725,353)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(121,282)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(197,595)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(323,128)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484,834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79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21,373</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Equity-based awards vesting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26,396</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revaluation</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taxes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(10,033)</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Decrease (increase) in operating assets: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25,645</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(12,213)</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(160,455)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(241,715)</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(109,707)</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(176,521)</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Maturities of investments in short-term marketable debt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74,911</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73,867</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Exchange of PWP OpCo Units and corresponding Class B common stock for cash</w:t>
            </w:r>
          </w:p>
        </w:tc>
        <w:tc>
          <w:tcPr>
            <w:tcW w:w="9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(28,258)</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Withholding tax payments for vested PWP Incentive Plan Awards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(69,741)</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paid on Class A and Class B common stock</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(8,349)</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Treasury stock purchases</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(14,442)</w:t>
            </w:r>
          </w:p>
        </w:tc>
        <w:tc>
          <w:tcPr>
            <w:tcW w:w="0" w:type="dxa"/>
            <w:vAlign w:val="bottom"/>
          </w:tcPr>
          <w:p>
            <w:pPr>
              <w:spacing w:after="0"/>
              <w:rPr>
                <w:sz w:val="1"/>
                <w:szCs w:val="1"/>
                <w:color w:val="auto"/>
              </w:rPr>
            </w:pPr>
          </w:p>
        </w:tc>
      </w:tr>
      <w:tr>
        <w:trPr>
          <w:trHeight w:val="200"/>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(63,793)</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(120,790)</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0" w:type="dxa"/>
            <w:vAlign w:val="bottom"/>
          </w:tcPr>
          <w:p>
            <w:pPr>
              <w:spacing w:after="0"/>
              <w:rPr>
                <w:sz w:val="1"/>
                <w:szCs w:val="1"/>
                <w:color w:val="auto"/>
              </w:rPr>
            </w:pP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(178,271)</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(220,265)</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257,050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332,771</w:t>
            </w:r>
          </w:p>
        </w:tc>
        <w:tc>
          <w:tcPr>
            <w:tcW w:w="0" w:type="dxa"/>
            <w:vAlign w:val="bottom"/>
          </w:tcPr>
          <w:p>
            <w:pPr>
              <w:spacing w:after="0"/>
              <w:rPr>
                <w:sz w:val="1"/>
                <w:szCs w:val="1"/>
                <w:color w:val="auto"/>
              </w:rPr>
            </w:pPr>
          </w:p>
        </w:tc>
      </w:tr>
      <w:tr>
        <w:trPr>
          <w:trHeight w:val="232"/>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6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78,779</w:t>
            </w:r>
          </w:p>
        </w:tc>
        <w:tc>
          <w:tcPr>
            <w:tcW w:w="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112,506</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dividends and dividend equivalent units on unvested PWP Incentive Plan Awards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Non-cash paydown of Partner promissory notes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tax effect resulting from changes in ownership and exchanges of PWP OpCo Units, net of amounts payable under tax</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receivable agreement</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(refunded) for income taxes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Perella Weinberg Partners and its consolidated subsidiaries, including PWP Holdings LP (“PWP OpCo”) (collectively, “PWP” and the “Company”),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global independent advisory firm that provides strategic and financial advice to a wide range of clients. The Company’s activities constitute a single business segment that provides a range of advisory services, including advice related to strategic and financial decisions, mergers and acquisitions (“M&amp;A”) execution, shareholder engagement advisory, financing and capital solutions advice with a focus on restructuring and liability management,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capital markets advisory, private funds advisory, and private capital placement, as well as specialized underwriting and research services primarily for the energy and related industries.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24, 2021, the Company consummated a business combination that resulted in PWP OpCo becoming jointly-owned by Perella Weinberg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Partners, PWP Professional Partners LP (“Professional Partners”) and certain existing partners of PWP OpCo as part of an umbrella limited partnership C-corporation (Up-C) structure (the “Business Combination”). As a result of a subsequent internal reorganization, the interests previously held by Professional Partners are now held by PWP VoteCo Professionals LP (“VoteCo Professionals”) and the former partners of Professional Partners directly.</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operations of PWP OpCo are conducted through a wholly-owned subsidiary, Perella Weinberg Partners Group LP, and its subsidiaries which are consolidated in these financial statements. PWP GP LLC (“PWP GP”) is the general partner that controls PWP OpCo. The limited partner interests of PWP OpCo are held by the Company and certain current and former working partners. The Company shareholders are entitled to receive a portion of PWP</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OpCo’s economics through their direct ownership interests in shares of Class A common stock of PWP. The non-controlling interest owners of PWP OpCo receive economics through ownership of PWP OpCo Class A partnership units (“PWP OpCo Units”) and have voting rights through indirect ownership of Class B common stock via VoteCo Professionals.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have been prepared in accordance with generally accepted accounting principles in the United States (“U.S. GAAP”) and all intercompany balances and transactions have been eliminated.</w:t>
      </w:r>
    </w:p>
    <w:p>
      <w:pPr>
        <w:spacing w:after="0" w:line="14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These condensed consolidated financial statements and notes thereto are unaudited, and as permitted by the interim reporting rules and regulations set forth by the SEC, exclude certain financial information and note disclosures normally included in annual audited financial statements prepared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accordance with U.S. GAAP. Accordingly, these condensed consolidated financial statements should be read in conjunction with the audited consolidated financial statements for the year ended December 31, 2025, included in the Company’s Annual Report on Form 10-K. The condensed consolidated financial statements reflect all material adjustments of a normal recurring nature that, in the opinion of management, are necessary for a fair presentation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for the interim periods.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preparation of the condensed consolidated financial statements and related disclosures in accordance with U.S. GAAP requires management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 which they are determined to be necessary.</w:t>
      </w:r>
    </w:p>
    <w:p>
      <w:pPr>
        <w:spacing w:after="0" w:line="165"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preparing the condensed consolidated financial statements, management makes certain estimates regarding the measurement of amounts due pursuant to the tax receivable agreement, measurement and timing of revenue recognition, assumptions used in the provision for income taxes, measurement of equity-based compensation, expected insurance reimbursements related to litigation costs, fair value measurement and impairment</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assessment of goodwill and intangible assets, fair value measurement of financial instruments, and other matters that affect the reported amounts and disclosures of contingencies in the condensed consolidated financial statements and notes thereto.</w:t>
      </w: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include cash held at banks, including interest-bearing money market accounts, and any highly liquid investments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original maturities of three months or less from the date of purchase. Cash account balances often exceed federally insured limits. Restricted cash represents cash that is not readily available for general purpose cash needs. As of March 31, 2026 and December 31, 2025, the Company had restricted cash of $1.1 million maintained as collateral for letters of credit related to certain office leases. As of March 31, 2026 and December 31, 2025, the Company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held no cash equivalents. The sum of Cash and cash equivalents and Restricted cash on the Condensed Consolidated Statements of Financial Condition corresponds to the total cash, cash equivalents, and restricted cash presented on the Condensed Consolidated Statements of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policy is to consolidate entities in which the Company has a controlling financial interest and variable interest entities where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VIE. As of March 31, 2026 and December 31, 2025, the net assets of PWP OpCo were $196.5 million and $235.3 million, respectively. As of March 31, 2026 and December 31, 2025, the Company did not consolidate any VIEs other than PWP OpCo.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(loss) and equity is allocated to holders of the non-controlling interest. Profits and losses of PWP OpCo are allocated to the non-controlling interests in proportion to their ownership interest regardless of their basis. Refer to Note 11—Equity-Based Compensation for further information.</w:t>
      </w:r>
    </w:p>
    <w:p>
      <w:pPr>
        <w:spacing w:after="0" w:line="171"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Redeemable non-controlling interests are presented within temporary equity on the Condensed Consolidated Statements of Financial Condition at the higher of: (i) their redemption value as of the reporting date, which corresponds to the price of the Company’s Class A common stock, or (ii) their measurement pursuant to Accounting Standards Codification (“ASC” or the “Codification”) Topic 810, Consolidation. Changes in the current redemption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value are recorded to Additional paid-in capital immediately as they occur. The magnitude of these changes may exceed the available balance of Additional paid-in capital, resulting in subsequent equity transactions being recorded to Accumulated deficit. As of March 31, 2025, $66.7 million was recorded to Accumulated deficit, driven by increases in the redemption value of Redeemable non-controlling interests. During the year ended December 31, 2025,</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equity transactions offset this cumulative amount and restored an Additional paid-in capital balance. Accordingly, no such amounts were recorded to Accumulated deficit as of December 31, 2025 or March 31, 2026.</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the Company has an unconditional obligation to purchase the Redeemable non-controlling interests for cash, the mandatorily redeemable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interests are reclassified from temporary equity to a liability with changes in fair value recorded to Other income (expense) on the Condensed Consolidated Statements of Operations. As of March 31, 2026, there were no non-controlling interests considered mandatorily redeemable.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Equity-based compensation relates to equity-based awards granted to employees and partners of the Company. Equity-based compensation expense is recognized over the requisite vesting period or requisite service period in an amount equal to the grant date fair value (for equity-classified awards) or the settlement fair value (for liability-classified awards). Equity-based compensation expense for employees and partners is included in Equity-based</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compensation on the Condensed Consolidated Statements of Operations and equity-based compensation expense for non-employees is included in Professional fees on the Condensed Consolidated Statements of Operations.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portion of the award at each reporting date.</w:t>
      </w: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16"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the normal course of business, the Company and its subsidiaries may enter into transactions denominated in a non-functional currency. The Company recognized net foreign exchange gains (losses) arising from such transactions of $1.2 million and $(1.8) million during the three months ended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March 31, 2026 and 2025, respectively, which are included in Other income (expense) on the Condensed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profit and loss activity is generally translated using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average exchange rate throughout the period. Cumulative translation adjustments arising from the translation of non-U.S. dollar denominated operations are included as a component of Accumulated other comprehensive income (loss) on the Condensed Consolidated Statements of Changes in Equity and Redeemable Non-Controlling Interests.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7"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—Effective for the interim period ended March 31, 2026, the Company prospectively adopted Accounting Standards Update 2025-05,</w:t>
      </w:r>
      <w:r>
        <w:rPr>
          <w:rFonts w:ascii="Times New Roman" w:cs="Times New Roman" w:eastAsia="Times New Roman" w:hAnsi="Times New Roman"/>
          <w:sz w:val="18"/>
          <w:szCs w:val="18"/>
          <w:i w:val="1"/>
          <w:iCs w:val="1"/>
          <w:color w:val="auto"/>
        </w:rPr>
        <w:t xml:space="preserve"> Measurement of Credit Losses for Accounts Receivable and Contract Assets </w:t>
      </w:r>
      <w:r>
        <w:rPr>
          <w:rFonts w:ascii="Times New Roman" w:cs="Times New Roman" w:eastAsia="Times New Roman" w:hAnsi="Times New Roman"/>
          <w:sz w:val="18"/>
          <w:szCs w:val="18"/>
          <w:color w:val="auto"/>
        </w:rPr>
        <w:t>(“ASU 2025-05”), which amends the guidance in ASC Topic 326, Financial</w:t>
      </w:r>
    </w:p>
    <w:p>
      <w:pPr>
        <w:jc w:val="both"/>
        <w:spacing w:after="0" w:line="218" w:lineRule="auto"/>
        <w:rPr>
          <w:sz w:val="20"/>
          <w:szCs w:val="20"/>
          <w:color w:val="auto"/>
        </w:rPr>
      </w:pPr>
      <w:r>
        <w:rPr>
          <w:rFonts w:ascii="Times New Roman" w:cs="Times New Roman" w:eastAsia="Times New Roman" w:hAnsi="Times New Roman"/>
          <w:sz w:val="18"/>
          <w:szCs w:val="18"/>
          <w:color w:val="auto"/>
        </w:rPr>
        <w:t>Instruments—Credit Losses to simplify the process for preparing the estimate of expected credit losses. The Company elected the practical expedient provided under ASU 2025-05 that assumes that current conditions as of the balance sheet date do not change for the remaining life of the asset. The adoption did not have a material impact on the Company's condensed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Pronouncements</w:t>
      </w:r>
    </w:p>
    <w:p>
      <w:pPr>
        <w:spacing w:after="0" w:line="187"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i w:val="1"/>
          <w:iCs w:val="1"/>
          <w:color w:val="auto"/>
        </w:rPr>
        <w:t>Expense Disaggregation</w:t>
      </w:r>
      <w:r>
        <w:rPr>
          <w:rFonts w:ascii="Times New Roman" w:cs="Times New Roman" w:eastAsia="Times New Roman" w:hAnsi="Times New Roman"/>
          <w:sz w:val="18"/>
          <w:szCs w:val="18"/>
          <w:color w:val="auto"/>
        </w:rPr>
        <w:t>—In November 2024, the FASB issued Accounting Standards Update 2024-03,</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 2024-03”), which amends the guidance in ASC Topic 220, Income Statement—Reporting Comprehensive Income, to improve the transparency of</w:t>
      </w:r>
    </w:p>
    <w:p>
      <w:pPr>
        <w:jc w:val="both"/>
        <w:spacing w:after="0" w:line="208" w:lineRule="auto"/>
        <w:rPr>
          <w:sz w:val="20"/>
          <w:szCs w:val="20"/>
          <w:color w:val="auto"/>
        </w:rPr>
      </w:pPr>
      <w:r>
        <w:rPr>
          <w:rFonts w:ascii="Times New Roman" w:cs="Times New Roman" w:eastAsia="Times New Roman" w:hAnsi="Times New Roman"/>
          <w:sz w:val="18"/>
          <w:szCs w:val="18"/>
          <w:color w:val="auto"/>
        </w:rPr>
        <w:t>expense disclosures by requiring more detailed information about the types of expenses in commonly presented expense captions. The amendments in ASU 2024-03 are effective for the Company beginning with the annual period ended December 31, 2027. The amendments are to be applied prospectively with both retrospective application and early adoption permitted. The Company does not expect the adoption of ASU 2024-03 to have a material impact on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163"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—In September 2025, the FASB issued Accounting Standards Update 2025-06,</w:t>
      </w:r>
      <w:r>
        <w:rPr>
          <w:rFonts w:ascii="Times New Roman" w:cs="Times New Roman" w:eastAsia="Times New Roman" w:hAnsi="Times New Roman"/>
          <w:sz w:val="18"/>
          <w:szCs w:val="18"/>
          <w:i w:val="1"/>
          <w:iCs w:val="1"/>
          <w:color w:val="auto"/>
        </w:rPr>
        <w:t xml:space="preserve"> Targeted Improvements to the Accounting for Internal-Use Software </w:t>
      </w:r>
      <w:r>
        <w:rPr>
          <w:rFonts w:ascii="Times New Roman" w:cs="Times New Roman" w:eastAsia="Times New Roman" w:hAnsi="Times New Roman"/>
          <w:sz w:val="18"/>
          <w:szCs w:val="18"/>
          <w:color w:val="auto"/>
        </w:rPr>
        <w:t>(“ASU 2025-06”), which amends the guidance in ASC Subtopic 350-40, Intangibles—Goodwill and Other—Internal-Use Software,</w:t>
      </w:r>
    </w:p>
    <w:p>
      <w:pPr>
        <w:jc w:val="both"/>
        <w:spacing w:after="0" w:line="208" w:lineRule="auto"/>
        <w:rPr>
          <w:sz w:val="20"/>
          <w:szCs w:val="20"/>
          <w:color w:val="auto"/>
        </w:rPr>
      </w:pPr>
      <w:r>
        <w:rPr>
          <w:rFonts w:ascii="Times New Roman" w:cs="Times New Roman" w:eastAsia="Times New Roman" w:hAnsi="Times New Roman"/>
          <w:sz w:val="18"/>
          <w:szCs w:val="18"/>
          <w:color w:val="auto"/>
        </w:rPr>
        <w:t>to clarify and increase the operability of applying the internal-use software guidance to software costs incurred in an iterative development environment. The amendments in ASU 2025-06 are effective for the Company beginning with the interim periods within the annual period ended December 31, 2028. The amendments can be applied prospectively, retrospectively, or on a modified transition approach based on the status of the project and whether software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costs were capitalized before the date of adoption. Early adoption is permitted. The Company does not expect the adoption of ASU 2025-06 to have a material impact on the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 and Receivables from Contracts with Customers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between over time and point in time recognition:</w:t>
      </w:r>
    </w:p>
    <w:p>
      <w:pPr>
        <w:spacing w:after="0" w:line="248"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22860</wp:posOffset>
            </wp:positionV>
            <wp:extent cx="2074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208,731</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Reimbursable expenses billed to clients were $0.8 million and $1.7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and Contract Balances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the aggregate amount of the transaction price, as defined in the Codification, allocated to performance obligations yet to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satisfied was $0.6 million, and the Company generally expects to recognize this revenue within the next twelve months. Such amounts primarily relate to the Company’s performance obligations of providing transaction-related advisory services. A significant portion of total revenues in any given period often relates to performance obligations that were satisfied or partially satisfied in prior periods. These amounts are recognized upon the resolution of revenue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constraints and uncertainties in the relevant period and are generally related to transaction-related advisory services.</w:t>
      </w:r>
    </w:p>
    <w:p>
      <w:pPr>
        <w:spacing w:after="0" w:line="16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As of March 31, 2026 and December 31, 2025, the Company recorded $0.7 million and $1.0 million, respectively, for contract liabilities which are presented within Accounts payable, accrued expenses and other liabilities on the Condensed Consolidated Statements of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March 31, 2026 and December 31, 2025, $14.2 million and $22.2 million, respectively, of accrued revenue was included in Accounts receivable, net of allowance on the Condensed Consolidated Statements of Financial Condition. These amounts have been recognized as revenue in accordance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Company’s revenue recognition policies but remained unbilled at the end of the period. As of March 31, 2026, certain accounts receivable in the aggregate amount of $14.4 million were individually greater than 10% of the Company’s gross accounts receivable and were concentrated with two clients. Of that amount, $10.3 million was subsequently received after March 31, 2026. As of December 31, 2025, certain accounts receivable in the aggregate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amount of $22.3 million were individually greater than 10% of the Company’s gross accounts receivable and were concentrated with three clients. Of that amount, all was subsequently received after year end.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allowance for credit losses activity for the three months ended March 31, 2026 and 2025 was as follows:</w:t>
      </w:r>
    </w:p>
    <w:p>
      <w:pPr>
        <w:spacing w:after="0" w:line="262"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22860</wp:posOffset>
            </wp:positionV>
            <wp:extent cx="20745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 net of reversals</w:t>
            </w: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7"/>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104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4—Leases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leases office space and equipment under operating lease agreements.</w:t>
      </w:r>
    </w:p>
    <w:p>
      <w:pPr>
        <w:spacing w:after="0" w:line="18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April 1, 2025, the Company entered into a seven-year agreement to sublease a portion of its New York office. The sublease term commenced in September 2025 and continues through August 2032. Sublease income is presented net within Rent and occupancy on the Condensed Consolidated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Variable lease payments for the subtenant’s portion of occupancy costs will be recognized as incurred.</w:t>
      </w: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information as it relates to the Company’s operating leases is as follows: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7"/>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60" w:type="dxa"/>
            <w:vAlign w:val="bottom"/>
          </w:tcPr>
          <w:p>
            <w:pPr>
              <w:spacing w:after="0"/>
              <w:rPr>
                <w:sz w:val="22"/>
                <w:szCs w:val="22"/>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12.3 years</w:t>
            </w:r>
          </w:p>
        </w:tc>
        <w:tc>
          <w:tcPr>
            <w:tcW w:w="380" w:type="dxa"/>
            <w:vAlign w:val="bottom"/>
          </w:tcPr>
          <w:p>
            <w:pPr>
              <w:spacing w:after="0"/>
              <w:rPr>
                <w:sz w:val="22"/>
                <w:szCs w:val="22"/>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12.5 years</w:t>
            </w:r>
          </w:p>
        </w:tc>
      </w:tr>
      <w:tr>
        <w:trPr>
          <w:trHeight w:val="585"/>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 operating leases</w:t>
            </w: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w:t>
            </w:r>
          </w:p>
        </w:tc>
      </w:tr>
      <w:tr>
        <w:trPr>
          <w:trHeight w:val="27"/>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outflows on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inflows on sublease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the maturities of undiscounted cash payments and cash receipts for operating leases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2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Sublease Receipts</w:t>
            </w:r>
          </w:p>
        </w:tc>
        <w:tc>
          <w:tcPr>
            <w:tcW w:w="8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Payments</w:t>
            </w:r>
          </w:p>
        </w:tc>
        <w:tc>
          <w:tcPr>
            <w:tcW w:w="0" w:type="dxa"/>
            <w:vAlign w:val="bottom"/>
          </w:tcPr>
          <w:p>
            <w:pPr>
              <w:spacing w:after="0"/>
              <w:rPr>
                <w:sz w:val="1"/>
                <w:szCs w:val="1"/>
                <w:color w:val="auto"/>
              </w:rPr>
            </w:pPr>
          </w:p>
        </w:tc>
      </w:tr>
      <w:tr>
        <w:trPr>
          <w:trHeight w:val="243"/>
        </w:trPr>
        <w:tc>
          <w:tcPr>
            <w:tcW w:w="624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0" w:type="dxa"/>
            <w:vAlign w:val="bottom"/>
          </w:tcPr>
          <w:p>
            <w:pPr>
              <w:spacing w:after="0"/>
              <w:rPr>
                <w:sz w:val="1"/>
                <w:szCs w:val="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0" w:type="dxa"/>
            <w:vAlign w:val="bottom"/>
          </w:tcPr>
          <w:p>
            <w:pPr>
              <w:spacing w:after="0"/>
              <w:rPr>
                <w:sz w:val="1"/>
                <w:szCs w:val="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16,261</w:t>
            </w:r>
          </w:p>
        </w:tc>
        <w:tc>
          <w:tcPr>
            <w:tcW w:w="0" w:type="dxa"/>
            <w:vAlign w:val="bottom"/>
          </w:tcPr>
          <w:p>
            <w:pPr>
              <w:spacing w:after="0"/>
              <w:rPr>
                <w:sz w:val="1"/>
                <w:szCs w:val="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145,564</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247,675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27,106</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220,569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(65,618)</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5—Intangible Assets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provides the detail of the Company’s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710628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2057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63"/>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(45,457)</w:t>
            </w:r>
          </w:p>
        </w:tc>
        <w:tc>
          <w:tcPr>
            <w:tcW w:w="8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0" w:type="dxa"/>
            <w:vAlign w:val="bottom"/>
          </w:tcPr>
          <w:p>
            <w:pPr>
              <w:spacing w:after="0"/>
              <w:rPr>
                <w:sz w:val="1"/>
                <w:szCs w:val="1"/>
                <w:color w:val="auto"/>
              </w:rPr>
            </w:pPr>
          </w:p>
        </w:tc>
      </w:tr>
      <w:tr>
        <w:trPr>
          <w:trHeight w:val="284"/>
        </w:trPr>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5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(62,630)</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20" w:space="520"/>
            <w:col w:w="4980"/>
          </w:cols>
          <w:pgMar w:left="320" w:top="117" w:right="35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4"/>
                <w:szCs w:val="14"/>
                <w:color w:val="auto"/>
              </w:rPr>
            </w:pPr>
          </w:p>
        </w:tc>
        <w:tc>
          <w:tcPr>
            <w:tcW w:w="14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1"/>
                <w:szCs w:val="21"/>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57"/>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0" w:type="dxa"/>
            <w:vAlign w:val="bottom"/>
          </w:tcPr>
          <w:p>
            <w:pPr>
              <w:spacing w:after="0"/>
              <w:rPr>
                <w:sz w:val="1"/>
                <w:szCs w:val="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Amortization expense related to intangible assets was $2.3 million and $1.6 million for the three months ended March 31, 2026 and 2025, respectively, and is included in Depreciation and amortization on the Condensed Consolidated Statements of Operations.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future aggregate amortization expense of the Company’s intangible assets held at March 31, 2026: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r>
      <w:tr>
        <w:trPr>
          <w:trHeight w:val="28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8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10,270</w:t>
            </w:r>
          </w:p>
        </w:tc>
      </w:tr>
      <w:tr>
        <w:trPr>
          <w:trHeight w:val="21"/>
        </w:trPr>
        <w:tc>
          <w:tcPr>
            <w:tcW w:w="9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6—Regulatory Requirements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has a number of consolidated subsidiaries registered as broker-dealers with regulatory agencies in their respective countries. The SEC-regulated subsidiary does not hold funds or securities for, or owe money or securities to clients or carry accounts of or for clients, and as such is exempt from the SEC Customer Protection Rule (Rule 15c3-3). As of March 31, 2026 and December 31, 2025, all regulated subsidiaries had capital in excess of</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their applicable minimum capital requirements. As a result of the minimum capital requirements and various regulations on these broker dealers, a portion of the capital of each subsidiary of the Company is restricted and may be unavailable to pay its creditors.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7—Fixed Assets</w:t>
      </w:r>
    </w:p>
    <w:p>
      <w:pPr>
        <w:spacing w:after="0" w:line="20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March 31, 2026 and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7"/>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85,226</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120,106</w:t>
            </w:r>
          </w:p>
        </w:tc>
      </w:tr>
      <w:tr>
        <w:trPr>
          <w:trHeight w:val="25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related to fixed assets was $3.4 million and $3.3 million for the three months ended March 31, 2026 and 2025, respectively.</w:t>
      </w:r>
    </w:p>
    <w:p>
      <w:pPr>
        <w:spacing w:after="0"/>
        <w:rPr>
          <w:sz w:val="20"/>
          <w:szCs w:val="20"/>
          <w:color w:val="auto"/>
        </w:rPr>
      </w:pPr>
      <w:r>
        <w:rPr>
          <w:rFonts w:ascii="Times New Roman" w:cs="Times New Roman" w:eastAsia="Times New Roman" w:hAnsi="Times New Roman"/>
          <w:sz w:val="18"/>
          <w:szCs w:val="18"/>
          <w:color w:val="auto"/>
        </w:rPr>
        <w:t>Amortization expense related to software costs was immaterial for the three months ended March 31, 2026 and 2025.</w:t>
      </w: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tax position for the periods presented:</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7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77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r>
      <w:tr>
        <w:trPr>
          <w:trHeight w:val="252"/>
        </w:trPr>
        <w:tc>
          <w:tcPr>
            <w:tcW w:w="7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11,899</w:t>
            </w:r>
          </w:p>
        </w:tc>
      </w:tr>
      <w:tr>
        <w:trPr>
          <w:trHeight w:val="25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(9,474)</w:t>
            </w:r>
          </w:p>
        </w:tc>
      </w:tr>
      <w:tr>
        <w:trPr>
          <w:trHeight w:val="27"/>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7"/>
        </w:trPr>
        <w:tc>
          <w:tcPr>
            <w:tcW w:w="77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Company’s overall effective income tax rate in each of the periods presented above varies from the U.S. federal statutory rate primarily because (i)</w:t>
      </w:r>
    </w:p>
    <w:p>
      <w:pPr>
        <w:spacing w:after="0" w:line="1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 portion of the Company’s income is allocated to non-controlling interests held in PWP OpCo in which the majority of any tax liability on such income is borne by the holders of such non-controlling interests and reported outside of the condensed consolidated financial statements and (ii) permanent differences related to compensation expenses.</w:t>
      </w:r>
    </w:p>
    <w:p>
      <w:pPr>
        <w:spacing w:after="0" w:line="17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As of March 31, 2026 and December 31, 2025, the Company recorded a liability for unrecognized tax benefits of $3.6 million and $3.7 million, respectively, primarily related to potential double taxation at certain of its foreign subsidiaries. The Company does not expect there to be any material changes to uncertain tax positions within 12 months of the reporting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9—Debt</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outstanding debt. The Company has a revolving credit facility (the “Revolving Credit Facility”) through a credit agreement with Cadence Bank (the “Credit Agreement”), with an available line of credit of $50.0 million with up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$20.0 million of available incremental revolving commitments, and a maturity date of July 1, 2028. Issuance costs incurred related to the Credit Agreement are amortized over the life of the Revolving Credit Facility. The Company is also charged a quarterly commitment fee of 0.25% on any unused portion of the line of credit.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10—Stockholders’ Equity and Redeemable Non-Controlling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16, 2022, the Company’s Board of Directors initially approved a stock repurchase program and the authorized amount under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program was increased on February 8, 2023 such that the Company is authorized to repurchase up to $200.0 million of the Company’s Class A common stock. Since inception of the share repurchase program, 14,750,036 shares have been purchased at an average price per share of $9.48 through March 31, 2026 for a total purchase price of $139.8 million. These amounts include 1,000,000 founder shares repurchased during 2024 at a purchase price of $15.00</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per share for a total purchase price of $15.0 million. During 2021, prior to the implementation of the stock repurchase program, the Company repurchased 1,000,000 founder shares at a purchase price of $12.00 per share for a total purchase price of $12.0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Redeemable non-controlling interests on the Condensed Consolidated Statements of Financial Condition are presented within temporary equity. Redeemable non-controlling interests are presented at their redemption value as of the reporting date and represent the ownership interests in PWP OpCo held by holders other than Perella Weinberg Partners. As of March 31, 2026, the current and former working partners collectively own 21,924,506 PWP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OpCo Units, which represents a 23.7% non-controlling ownership interest in PWP OpCo.</w:t>
      </w: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PWP OpCo Units (the “PWP OpCo Unitholders”) other than the Company may exchange their units for (i) shares of Class A common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 on a one-for-one basis or (ii) cash from an offering of shares of Class A common stock and (iii) cash from any other source. Concurrently with an exchange, such PWP OpCo Unitholder is required to surrender shares of Class B common stock for additional shares of Class A common stock or cash at a conversion rate of 0.001. Whether the exchanging PWP OpCo Unitholder receives cash or Class A common stock in exchange for their PWP OpCo Units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Class B common stock is at the Company’s discretion. Working partners are restricted in their ability to exchange PWP OpCo Units for a period between three to five years after the Business Combination. PWP GP may waive, and in certain cases has waived, the foregoing restrictions for any holder with respect to all or a portion of such holder’s units, with no obligation to do so for any other holder. The Company settled exchanges of certain PWP</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OpCo Units and corresponding shares of Class B common stock for 215,215 shares of Class A common stock during the three months ended March 31, 2026. During the three months ended March 31, 2025, the Company settled exchanges of 1,270,086 PWP OpCo Units and corresponding shares of Class B common stock at a price of $22.65 per PWP OpCo Unit for $28.3 million in cash as well as the non-cash settlement of certain partner promissory notes.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15—Related Party Transactions for more information on partner promissory notes.</w:t>
      </w:r>
    </w:p>
    <w:p>
      <w:pPr>
        <w:spacing w:after="0" w:line="16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To the extent an exchange creates a step-up in tax basis, the Company records an increase in Deferred tax assets, net, Amounts due pursuant to tax receivable agreement, and Additional paid-in-capital.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11—Equity-Based Compensation</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Further information regarding the Company’s equity-based compensation awards is described in Note 12—Equity-Based Compensation in the Notes to Consolidated Financial Statements in “Part II. Item 8. Financial Statements and Supplementary Data” in the Company’s Annual Report on Form 10-K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Plan”), which establishes a plan for the granting of various forms of incentive compensation awards, including restricted stock units (“RSUs”) and 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“General Share Reserve”). Grantees have rights to dividends declared during the vesting period and receive such dividends only upon vesting in the form of cash or dividend equivalent units. The Company uses newly issued shares of Class A common stock to satisfy vested awards, with the exception of shares issued out of treasury stock for vested awards (and related dividend equivalent units) held by French employees. Pursuant to the PWP Incentive Plan,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Class A common stock reserved for issuance from the General Share Reserve increases each year.</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connection with the Business Combination, the Company granted awards (the “Business Combination Awards”) in the form of (a) RSUs that vest upon the achievement of service conditions (“Transaction RSUs”) and (b) PSUs that only vest upon the achievement of both service and market conditions,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certain long-term incentive awards granted to management (“Transaction PSUs”).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During the three months ended March 31, 2026 and 2025, 548,483 and 1,287,329 Business Combination Awards vested with a total fair value of $10.2 million and $30.8 million, respectively. As of March 31, 2026, the price targets ranging from $12.00 to $20.00 as well as substantially all of the $25.00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target were met for the Transaction PSUs.</w:t>
      </w:r>
    </w:p>
    <w:p>
      <w:pPr>
        <w:spacing w:after="0" w:line="165"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 PSUs”).</w:t>
      </w:r>
    </w:p>
    <w:p>
      <w:pPr>
        <w:spacing w:after="0" w:line="171"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granted 5,034,866 and 5,086,594 General RSUs at a weighted average grant date fair value of $21.48 and $23.82 per award, respectively. During the three months ended March 31, 2026 and 2025, 6,669,885 and 5,455,764 General RSUs vested with a total fair value of $132.7 million and $126.0 million, respectively. During the three months ended March 31, 2026, 474,850 General</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PSUs vested with a total fair value of $8.6 million. During the three months ended March 31, 2025, no General PSUs vested. As of March 31, 2026, the price targets ranging from $15.00 to $20.00 as well as substantially all of the $25.00 price target were met for the General PSUs.</w:t>
      </w: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Equity-based compensation expense related to the PWP Incentive Plan was $30.8 million and $26.2 million for the three months ended March 31, 2026 and 2025, respectively. Additionally, equity-based amortization expense related to non-employee awards was $0.2 million for each of the three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months ended March 31, 2026 and 2025 and is included in Professional fees on the Condensed Consolidated Statements of Operations. The income tax benefit recognized related to equity-based awards was $5.7 million and $4.2 million for the three months ended March 31, 2026 and 2025, respectively.</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all unvested equity-based awards was $214.5 million, which is expected to be recognized over a weighted average period of 2.3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12—Other Compensation and Benefits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employees participate in employee benefit plans, which consist of defined contribution plans including (i) profit-sharing plans qualified under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Section 401(k) of the Internal Revenue Code, (ii) a U.K. pension scheme for U.K. employees and (iii) a German pension plan for employees in Germany. Expenses related to the Company’s employee benefit plans were $2.1 million and $1.8 million for the three months ended March 31, 2026 and 2025, respectively, and are included in Compensation and benefits on the Condensed Consolidated Statements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13—Net Income (Loss) Per Share Attributable to Class A Common Shareholders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calculations of basic and diluted net income (loss) per share attributable to Class A common shareholders are presented below:</w:t>
      </w:r>
    </w:p>
    <w:p>
      <w:pPr>
        <w:spacing w:after="0" w:line="262"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6"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36830</wp:posOffset>
            </wp:positionV>
            <wp:extent cx="20745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effect from assumed exchange of PWP OpCo Units, net of tax</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from assumed vesting of PWP Incentive Plan Awards, net of tax</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7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diluted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18,252</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basic</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70,398,710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62,138,123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incremental shares from assumed exchange of PWP OpCo Units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21,198,284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incremental shares from assumed vesting of PWP Incentive Plan Awards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9,578,794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13,701,454</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diluted</w:t>
            </w: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101,175,788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75,839,577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Class A common shareholders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339"/>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42"/>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80" w:hanging="472"/>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net income (loss) per share attributable to Class A common shareholders for the three months ended March 31, 2026 are the same due to rounding.</w:t>
      </w:r>
    </w:p>
    <w:p>
      <w:pPr>
        <w:spacing w:after="0" w:line="199"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beginning of the applicable period.</w:t>
      </w:r>
    </w:p>
    <w:p>
      <w:pPr>
        <w:spacing w:after="0" w:line="17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248"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40005</wp:posOffset>
            </wp:positionV>
            <wp:extent cx="20745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5" w:lineRule="exact"/>
        <w:rPr>
          <w:sz w:val="20"/>
          <w:szCs w:val="20"/>
          <w:color w:val="auto"/>
        </w:rPr>
      </w:pPr>
    </w:p>
    <w:p>
      <w:pPr>
        <w:ind w:left="8560"/>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1517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74" w:lineRule="exact"/>
        <w:rPr>
          <w:sz w:val="20"/>
          <w:szCs w:val="20"/>
          <w:color w:val="auto"/>
        </w:rPr>
      </w:pPr>
    </w:p>
    <w:p>
      <w:pPr>
        <w:ind w:left="20"/>
        <w:spacing w:after="0"/>
        <w:tabs>
          <w:tab w:leader="none" w:pos="9260" w:val="left"/>
          <w:tab w:leader="none" w:pos="10320" w:val="left"/>
        </w:tabs>
        <w:rPr>
          <w:sz w:val="20"/>
          <w:szCs w:val="20"/>
          <w:color w:val="auto"/>
        </w:rPr>
      </w:pPr>
      <w:r>
        <w:rPr>
          <w:rFonts w:ascii="Times New Roman" w:cs="Times New Roman" w:eastAsia="Times New Roman" w:hAnsi="Times New Roman"/>
          <w:sz w:val="18"/>
          <w:szCs w:val="18"/>
          <w:color w:val="auto"/>
        </w:rPr>
        <w:t>PWP OpCo Units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27,051,350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60325</wp:posOffset>
            </wp:positionV>
            <wp:extent cx="20745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14—Fair Value Measurements and Investments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observability and a lesser degree of judgment used in measuring fair value.</w:t>
      </w:r>
    </w:p>
    <w:p>
      <w:pPr>
        <w:spacing w:after="0" w:line="16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 based on inputs: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financial instruments as of the reporting date.</w:t>
      </w:r>
    </w:p>
    <w:p>
      <w:pPr>
        <w:spacing w:after="0" w:line="185" w:lineRule="exact"/>
        <w:rPr>
          <w:sz w:val="20"/>
          <w:szCs w:val="20"/>
          <w:color w:val="auto"/>
        </w:rPr>
      </w:pPr>
    </w:p>
    <w:p>
      <w:pPr>
        <w:ind w:left="660" w:right="20"/>
        <w:spacing w:after="0" w:line="237" w:lineRule="auto"/>
        <w:rPr>
          <w:sz w:val="20"/>
          <w:szCs w:val="20"/>
          <w:color w:val="auto"/>
        </w:rPr>
      </w:pPr>
      <w:r>
        <w:rPr>
          <w:rFonts w:ascii="Times New Roman" w:cs="Times New Roman" w:eastAsia="Times New Roman" w:hAnsi="Times New Roman"/>
          <w:sz w:val="18"/>
          <w:szCs w:val="18"/>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72"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18"/>
          <w:szCs w:val="18"/>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certain cases, the inputs used to measure fair value may fall into different levels of the fair value hierarchy. In such cases, the determination of which</w:t>
      </w:r>
    </w:p>
    <w:p>
      <w:pPr>
        <w:spacing w:after="0" w:line="1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level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7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As of March 31, 2026 and December 31, 2025, the fair values of cash, restricted cash, accounts receivable, due from related parties, accounts payable and certain accrued liabilities approximate their carrying amounts due to the short-term nature of these items.</w:t>
      </w: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were measured on a recurring basis pursuant to the above fair value hierarchy levels as of March 31, 2026 and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594"/>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transfers between fair value levels during the three months ended March 31, 2026 and 2025.</w:t>
      </w:r>
    </w:p>
    <w:p>
      <w:pPr>
        <w:spacing w:after="0" w:line="19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October 1, 2025, the Company acquired Devon Park Advisors, LLC under an arrangement that included contingent consideration whereby additional amounts may be earned if certain client engagements generate revenue within one year of the acquisition closing (the “Earn-out”). The Earn-out is presented at fair value within Accounts payable, accrued expenses and other liabilities on the Condensed Consolidated Statements of Financial Condition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adjustments to the fair value are recorded within Other income (expense) on the Condensed Consolidated Statements of Operations. The Earn-out is classified as Level 3 due to use of significant unobservable inputs in the discounted cash flow valuation model, including the application of probabilities when assessing when and whether performance thresholds will be met. Additional inputs utilized in the valuation of the Earn-out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63"/>
        </w:trPr>
        <w:tc>
          <w:tcPr>
            <w:tcW w:w="7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top w:val="single" w:sz="8" w:color="CCEEFF"/>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8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 (years)</w:t>
            </w: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4"/>
                <w:szCs w:val="24"/>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26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Company’s discount rate assumption reflects a blended corporate credit rating representative of comparable entities, considering the expected timing of cash outflows.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Level 3 financial liabilities for the period from January 1, 2026 to March 31,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r>
      <w:tr>
        <w:trPr>
          <w:trHeight w:val="257"/>
        </w:trPr>
        <w:tc>
          <w:tcPr>
            <w:tcW w:w="8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57"/>
        </w:trPr>
        <w:tc>
          <w:tcPr>
            <w:tcW w:w="8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8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302"/>
        </w:trPr>
        <w:tc>
          <w:tcPr>
            <w:tcW w:w="8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Capital Holdings LP</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advisory business and (ii) PWP Capital Holdings LP (“Capital Holdings”), which holds the asset management business. Capital Holdings entered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into an arrangement with certain employees of the Company, including members of management, related to services provided directly to Capital Holdings. With respect to services provided to Capital Holdings, the amounts paid and payable to such employees now and in the future are recognized by Capital Holdings. All compensation related to services these employees provide to the Company are included in Compensation and benefits on the Condensed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PWP OpCo, Professional Partners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Investor Limited Partners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March 31, 2026, the Company had a liability of $94.0 million pursuant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tax receivable 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Condensed Consolidated Statements of Financial Condition. The Company expects to make the following payments with respect to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tax receivable agreement, which are exclusive of potential payments in respect of future exchanges and may differ significantly from actual payments made: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Payments Under</w:t>
            </w:r>
          </w:p>
        </w:tc>
        <w:tc>
          <w:tcPr>
            <w:tcW w:w="0" w:type="dxa"/>
            <w:vAlign w:val="bottom"/>
          </w:tcPr>
          <w:p>
            <w:pPr>
              <w:spacing w:after="0"/>
              <w:rPr>
                <w:sz w:val="1"/>
                <w:szCs w:val="1"/>
                <w:color w:val="auto"/>
              </w:rPr>
            </w:pPr>
          </w:p>
        </w:tc>
      </w:tr>
      <w:tr>
        <w:trPr>
          <w:trHeight w:val="238"/>
        </w:trPr>
        <w:tc>
          <w:tcPr>
            <w:tcW w:w="9020" w:type="dxa"/>
            <w:vAlign w:val="bottom"/>
            <w:tcBorders>
              <w:bottom w:val="single" w:sz="8" w:color="CCEEFF"/>
            </w:tcBorders>
            <w:vMerge w:val="continue"/>
          </w:tcPr>
          <w:p>
            <w:pPr>
              <w:spacing w:after="0"/>
              <w:rPr>
                <w:sz w:val="20"/>
                <w:szCs w:val="20"/>
                <w:color w:val="auto"/>
              </w:rPr>
            </w:pPr>
          </w:p>
        </w:tc>
        <w:tc>
          <w:tcPr>
            <w:tcW w:w="2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Tax Receivable Agreement</w:t>
            </w: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0" w:type="dxa"/>
            <w:vAlign w:val="bottom"/>
          </w:tcPr>
          <w:p>
            <w:pPr>
              <w:spacing w:after="0"/>
              <w:rPr>
                <w:sz w:val="1"/>
                <w:szCs w:val="1"/>
                <w:color w:val="auto"/>
              </w:rPr>
            </w:pP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0" w:type="dxa"/>
            <w:vAlign w:val="bottom"/>
          </w:tcPr>
          <w:p>
            <w:pPr>
              <w:spacing w:after="0"/>
              <w:rPr>
                <w:sz w:val="1"/>
                <w:szCs w:val="1"/>
                <w:color w:val="auto"/>
              </w:rPr>
            </w:pPr>
          </w:p>
        </w:tc>
      </w:tr>
      <w:tr>
        <w:trPr>
          <w:trHeight w:val="257"/>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93,988</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Loans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time to time, PWP OpCo and certain of its subsidiaries have agreed to provide loans to or make payments on behalf of certain partners. As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both March 31, 2026 and December 31, 2025, $0.6 million of amounts due from partners are recognized in Due from related parties on the Condensed Consolidated Statements of Financial Condition. During the three months ended March 31, 2025, $0.5 million of principal and interest related to partner loans was effectively repaid through the cancellation of PWP OpCo units held by such partners.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enters into certain contracts that contain a variety of indemnification provisions. The Company’s maximum exposure under these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arrangements is unknown. As of March 31, 2026 and December 31, 2025, the Company expects no claims or losses pursuant to these contracts; therefore, no liability has been recorded related to these indemnification provisions.</w:t>
      </w: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and for the three months ended March 31, 2026 and 2025.</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2015, the Company filed a complaint against three former partners and one former employee which alleges they entered into a scheme while at PWP to lift out the Company’s restructuring group to secretly form a new competing firm in breach of their contractual and fiduciary duties. The complaint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contains 14 causes of action and seeks declaratory relief as well as damages. A bench trial took place from January 24, 2025 through March 14, 2025. The court has yet to issue a decision.</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legal and professional fees, net of expected insurance reimbursement, of nominal amounts during the three months ended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March 31, 2026 and $11.4 million during the three months ended March 31, 2025 related to this litigation. These litigation costs are included in Professional fees on the Condensed Consolidated Statements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17—Segment and Geographic Information</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a global independent advisory firm, the Company provides a range of advisory services depending on the needs of its clients, including advice related to M&amp;A execution, shareholder engagement advisory, financing and capital solutions, as well as underwriting and research services primarily for the energy and related industries. The Company provides advisory services to multiple industry sectors, geographic markets and clients, but the nature,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process, delivery and regulatory complexities of advisory services are similar across the business. The Company is organized under an integrated approach to maximize the value of advice to clients by drawing upon the diversified expertise and broad relationships of its senior professionals. As such, the Company is managed on a consolidated basis, which results in one reportable segment: Advisory.</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Company’s chief operating decision maker (“CODM”), the Chief Executive Officer, evaluates the performance of the Advisory segment and allocates resources based on consolidated net income (loss), as presented on the Consolidated Statements of Operations. The CODM uses consolidated net income (loss) to evaluate the profitability generated by segment assets and personnel and decides whether to reinvest any profits in the Advisory segment,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as through hiring, compensation management, and capital expenditures, or to return value to shareholders and partners, such as through share repurchases, cash-settled exchanges, net-settlement of equity-based awards, distributions, and dividends. The CODM is regularly provided with both actual and budgeted expense information on a consolidated basis that aligns with the expense categories as presented on the Consolidated Statements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CODM does not review assets of the Advisory segment at a different level or category than what is presented as Total assets on the Consolidated Statements of Financial Condition. The accounting policies of the Company’s Advisory segment are the same as those described in Note 2—Summary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Accounting Policies.</w:t>
      </w:r>
    </w:p>
    <w:p>
      <w:pPr>
        <w:spacing w:after="0" w:line="16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For the three months ended March 31, 2026, no individual client accounted for more than 10% of aggregate revenues, and for the three months ended March 31, 2025, one individual client accounted for more than 10% of aggregate revenues.</w:t>
      </w:r>
    </w:p>
    <w:p>
      <w:pPr>
        <w:spacing w:after="0" w:line="17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35"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40005</wp:posOffset>
            </wp:positionV>
            <wp:extent cx="20745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177,958</w:t>
            </w:r>
          </w:p>
        </w:tc>
        <w:tc>
          <w:tcPr>
            <w:tcW w:w="0" w:type="dxa"/>
            <w:vAlign w:val="bottom"/>
          </w:tcPr>
          <w:p>
            <w:pPr>
              <w:spacing w:after="0"/>
              <w:rPr>
                <w:sz w:val="1"/>
                <w:szCs w:val="1"/>
                <w:color w:val="auto"/>
              </w:rPr>
            </w:pPr>
          </w:p>
        </w:tc>
      </w:tr>
      <w:tr>
        <w:trPr>
          <w:trHeight w:val="25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 countries</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0" w:type="dxa"/>
            <w:vAlign w:val="bottom"/>
          </w:tcPr>
          <w:p>
            <w:pPr>
              <w:spacing w:after="0"/>
              <w:rPr>
                <w:sz w:val="1"/>
                <w:szCs w:val="1"/>
                <w:color w:val="auto"/>
              </w:rPr>
            </w:pP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148,917</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211,831</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425,579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588,736</w:t>
            </w: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149,365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 countries</w:t>
            </w: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59,536</w:t>
            </w:r>
          </w:p>
        </w:tc>
        <w:tc>
          <w:tcPr>
            <w:tcW w:w="0" w:type="dxa"/>
            <w:vAlign w:val="bottom"/>
          </w:tcPr>
          <w:p>
            <w:pPr>
              <w:spacing w:after="0"/>
              <w:rPr>
                <w:sz w:val="1"/>
                <w:szCs w:val="1"/>
                <w:color w:val="auto"/>
              </w:rPr>
            </w:pP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595,795</w:t>
            </w:r>
          </w:p>
        </w:tc>
        <w:tc>
          <w:tcPr>
            <w:tcW w:w="100" w:type="dxa"/>
            <w:vAlign w:val="bottom"/>
          </w:tcPr>
          <w:p>
            <w:pPr>
              <w:spacing w:after="0"/>
              <w:rPr>
                <w:sz w:val="21"/>
                <w:szCs w:val="21"/>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797,637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18—Subsequent Events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condensed consolidated financial statements.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29, 2026, the Company’s Board of Directors declared a cash dividend of $0.07 per outstanding share of Class A common stock. This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dividend will be paid on June 15, 2026 to Class A common stockholders of record on June 1, 2026. Holders of Class B common stock will also receive dividends equal to the amount of dividends declared on 0.001 shares of Class A common stock.</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entered into an agreement to acquire Gleacher Shacklock LLP, an independent advisory firm headquartered in London with a focus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long-standing presence in the UK advisory market. Gleacher Shacklock LLP specializes in providing strategic and financial advice across M&amp;A and defense advisory, debt and equity advisory, and restructuring. The transaction is expected to be completed in the second half of 2026, following regulatory approval.</w:t>
      </w: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i w:val="1"/>
          <w:iCs w:val="1"/>
          <w:color w:val="auto"/>
        </w:rPr>
        <w:t>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are a leading global independent advisory firm that provides strategic and financial advice to clients across some of the most active industry sectors</w:t>
      </w:r>
    </w:p>
    <w:p>
      <w:pPr>
        <w:spacing w:after="0" w:line="1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For further information regarding our business, refer to “Part I. Item 1. Business” and “Part I. Item 1A. Risk Factors” in the Company’s Annual Report on Form 10-K for the year ended December 31, 2025 as filed with the SEC on February 27,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Economic and global financial market conditions impact our financial performance. Our core advisory services benefit from macroeconomic changes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that impact our client base and lead them to consider business combinations, acquisitions and divestitures, capital raises and restructurings. We continue to invest in our platform to achieve scale, accelerate growth, and deliver value.</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“Risk Factors” included in our Annual Report on Form 10-K for a discussion of some of the factors that can affect our performance.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operate in a highly competitive environment, and each revenue-generating engagement is separately solicited and negotiated. Our fee-paying client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engagements are not predictable, and we may experience fluctuations in revenues from quarter to quarter. To develop new business, we maintain an active 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or mergers, changes in clients’ senior management, and competition from other financial services firms.</w:t>
      </w:r>
    </w:p>
    <w:p>
      <w:pPr>
        <w:spacing w:after="0" w:line="165" w:lineRule="exact"/>
        <w:rPr>
          <w:sz w:val="20"/>
          <w:szCs w:val="20"/>
          <w:color w:val="auto"/>
        </w:rPr>
      </w:pP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unpredictability to the timing of revenues. Despite our efforts, we may receive lower advisory fees or no fee at all if a transaction is not completed. Other 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do not present our revenue by the type of advice we provide because of the complexity of the transactions on which we may earn revenue and our 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resources and expertise to each engagement, regardless of product lines, to achieve the desired outcome for our clients. Consequently, tracking the type of advisory service offered in each instance is not practical.</w:t>
      </w: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and benefits expenses consist of salaries, bonuses (discretionary awards and guaranteed amounts), severance, payroll and related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taxes, benefits, and the amortization of equity-based compensation awards that are subject to a service-based vesting condition, and in some cases, a market-based performance vesting condition. These expenses also include signing bonuses and compensation paid pursuant to guarantees for new hires.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is determined by management based on revenues earned, headcount, labor market conditions, and anticipated compensation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requirements for our employees. Such factors can fluctuate, including headcount and revenues earned, and as a result, our compensation expenses may fluctuate materially in any particular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Non-Compensation Expenses</w:t>
      </w:r>
    </w:p>
    <w:p>
      <w:pPr>
        <w:spacing w:after="0" w:line="20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Our non-compensation expenses include the costs of professional fees, technology and infrastructure, rent and occupancy, travel and related expenses, 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89"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Non-operating income (expenses) includes the impact of income and expense items that we consider to be non-operational in nature, which typically includes interest income and expense and other non-operating gains (losses), including the impact of foreign exchange rate fluctuations.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Non-controlling interests represent the ownership interests in PWP OpCo held by holders other than Perella Weinberg Partners, which are current and former working partners. Profits and losses of PWP OpCo are allocated to the non-controlling interests in proportion to their ownership interest regardless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their basis.</w:t>
      </w: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7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respective periods indicated:</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77"/>
        </w:trPr>
        <w:tc>
          <w:tcPr>
            <w:tcW w:w="5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8"/>
        </w:trPr>
        <w:tc>
          <w:tcPr>
            <w:tcW w:w="5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51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5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2026 vs. 2025</w:t>
            </w:r>
          </w:p>
        </w:tc>
      </w:tr>
      <w:tr>
        <w:trPr>
          <w:trHeight w:val="27"/>
        </w:trPr>
        <w:tc>
          <w:tcPr>
            <w:tcW w:w="51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7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148,917</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(30)%</w:t>
            </w:r>
          </w:p>
        </w:tc>
        <w:tc>
          <w:tcPr>
            <w:tcW w:w="140" w:type="dxa"/>
            <w:vAlign w:val="bottom"/>
          </w:tcPr>
          <w:p>
            <w:pPr>
              <w:spacing w:after="0"/>
              <w:rPr>
                <w:sz w:val="24"/>
                <w:szCs w:val="24"/>
                <w:color w:val="auto"/>
              </w:rPr>
            </w:pPr>
          </w:p>
        </w:tc>
      </w:tr>
      <w:tr>
        <w:trPr>
          <w:trHeight w:val="25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7"/>
        </w:trPr>
        <w:tc>
          <w:tcPr>
            <w:tcW w:w="5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3"/>
        </w:trPr>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(26)%</w:t>
            </w:r>
          </w:p>
        </w:tc>
        <w:tc>
          <w:tcPr>
            <w:tcW w:w="140" w:type="dxa"/>
            <w:vAlign w:val="bottom"/>
          </w:tcPr>
          <w:p>
            <w:pPr>
              <w:spacing w:after="0"/>
              <w:rPr>
                <w:sz w:val="24"/>
                <w:szCs w:val="24"/>
                <w:color w:val="auto"/>
              </w:rPr>
            </w:pPr>
          </w:p>
        </w:tc>
      </w:tr>
      <w:tr>
        <w:trPr>
          <w:trHeight w:val="283"/>
        </w:trPr>
        <w:tc>
          <w:tcPr>
            <w:tcW w:w="5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17%</w:t>
            </w:r>
          </w:p>
        </w:tc>
        <w:tc>
          <w:tcPr>
            <w:tcW w:w="140" w:type="dxa"/>
            <w:vAlign w:val="bottom"/>
          </w:tcPr>
          <w:p>
            <w:pPr>
              <w:spacing w:after="0"/>
              <w:rPr>
                <w:sz w:val="24"/>
                <w:szCs w:val="24"/>
                <w:color w:val="auto"/>
              </w:rPr>
            </w:pPr>
          </w:p>
        </w:tc>
      </w:tr>
      <w:tr>
        <w:trPr>
          <w:trHeight w:val="277"/>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16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(18)%</w:t>
            </w:r>
          </w:p>
        </w:tc>
        <w:tc>
          <w:tcPr>
            <w:tcW w:w="140" w:type="dxa"/>
            <w:vAlign w:val="bottom"/>
          </w:tcPr>
          <w:p>
            <w:pPr>
              <w:spacing w:after="0"/>
              <w:rPr>
                <w:sz w:val="24"/>
                <w:szCs w:val="24"/>
                <w:color w:val="auto"/>
              </w:rPr>
            </w:pPr>
          </w:p>
        </w:tc>
      </w:tr>
      <w:tr>
        <w:trPr>
          <w:trHeight w:val="283"/>
        </w:trPr>
        <w:tc>
          <w:tcPr>
            <w:tcW w:w="5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Non-compensation expenses</w:t>
            </w:r>
          </w:p>
        </w:tc>
        <w:tc>
          <w:tcPr>
            <w:tcW w:w="16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(22)%</w:t>
            </w:r>
          </w:p>
        </w:tc>
        <w:tc>
          <w:tcPr>
            <w:tcW w:w="140" w:type="dxa"/>
            <w:vAlign w:val="bottom"/>
          </w:tcPr>
          <w:p>
            <w:pPr>
              <w:spacing w:after="0"/>
              <w:rPr>
                <w:sz w:val="24"/>
                <w:szCs w:val="24"/>
                <w:color w:val="auto"/>
              </w:rPr>
            </w:pPr>
          </w:p>
        </w:tc>
      </w:tr>
      <w:tr>
        <w:trPr>
          <w:trHeight w:val="277"/>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161,818</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(19)%</w:t>
            </w:r>
          </w:p>
        </w:tc>
        <w:tc>
          <w:tcPr>
            <w:tcW w:w="140" w:type="dxa"/>
            <w:vAlign w:val="bottom"/>
          </w:tcPr>
          <w:p>
            <w:pPr>
              <w:spacing w:after="0"/>
              <w:rPr>
                <w:sz w:val="24"/>
                <w:szCs w:val="24"/>
                <w:color w:val="auto"/>
              </w:rPr>
            </w:pPr>
          </w:p>
        </w:tc>
      </w:tr>
      <w:tr>
        <w:trPr>
          <w:trHeight w:val="27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NM</w:t>
            </w:r>
          </w:p>
        </w:tc>
      </w:tr>
      <w:tr>
        <w:trPr>
          <w:trHeight w:val="26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16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283"/>
        </w:trPr>
        <w:tc>
          <w:tcPr>
            <w:tcW w:w="5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16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878%</w:t>
            </w:r>
          </w:p>
        </w:tc>
        <w:tc>
          <w:tcPr>
            <w:tcW w:w="140" w:type="dxa"/>
            <w:vAlign w:val="bottom"/>
          </w:tcPr>
          <w:p>
            <w:pPr>
              <w:spacing w:after="0"/>
              <w:rPr>
                <w:sz w:val="24"/>
                <w:szCs w:val="24"/>
                <w:color w:val="auto"/>
              </w:rPr>
            </w:pPr>
          </w:p>
        </w:tc>
      </w:tr>
      <w:tr>
        <w:trPr>
          <w:trHeight w:val="27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(expenses)</w:t>
            </w:r>
          </w:p>
        </w:tc>
        <w:tc>
          <w:tcPr>
            <w:tcW w:w="16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878%</w:t>
            </w:r>
          </w:p>
        </w:tc>
        <w:tc>
          <w:tcPr>
            <w:tcW w:w="140" w:type="dxa"/>
            <w:vAlign w:val="bottom"/>
          </w:tcPr>
          <w:p>
            <w:pPr>
              <w:spacing w:after="0"/>
              <w:rPr>
                <w:sz w:val="24"/>
                <w:szCs w:val="24"/>
                <w:color w:val="auto"/>
              </w:rPr>
            </w:pPr>
          </w:p>
        </w:tc>
      </w:tr>
      <w:tr>
        <w:trPr>
          <w:trHeight w:val="27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NM</w:t>
            </w:r>
          </w:p>
        </w:tc>
      </w:tr>
      <w:tr>
        <w:trPr>
          <w:trHeight w:val="283"/>
        </w:trPr>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(4)%</w:t>
            </w:r>
          </w:p>
        </w:tc>
        <w:tc>
          <w:tcPr>
            <w:tcW w:w="140" w:type="dxa"/>
            <w:vAlign w:val="bottom"/>
          </w:tcPr>
          <w:p>
            <w:pPr>
              <w:spacing w:after="0"/>
              <w:rPr>
                <w:sz w:val="24"/>
                <w:szCs w:val="24"/>
                <w:color w:val="auto"/>
              </w:rPr>
            </w:pPr>
          </w:p>
        </w:tc>
      </w:tr>
      <w:tr>
        <w:trPr>
          <w:trHeight w:val="27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NM</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6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6"/>
              </w:rPr>
              <w:t>NM</w:t>
            </w:r>
          </w:p>
        </w:tc>
        <w:tc>
          <w:tcPr>
            <w:tcW w:w="140" w:type="dxa"/>
            <w:vAlign w:val="bottom"/>
          </w:tcPr>
          <w:p>
            <w:pPr>
              <w:spacing w:after="0"/>
              <w:rPr>
                <w:sz w:val="19"/>
                <w:szCs w:val="19"/>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16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(91)%</w:t>
            </w:r>
          </w:p>
        </w:tc>
        <w:tc>
          <w:tcPr>
            <w:tcW w:w="140" w:type="dxa"/>
            <w:vAlign w:val="bottom"/>
          </w:tcPr>
          <w:p>
            <w:pPr>
              <w:spacing w:after="0"/>
              <w:rPr>
                <w:sz w:val="19"/>
                <w:szCs w:val="19"/>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16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702"/>
        </w:trPr>
        <w:tc>
          <w:tcPr>
            <w:tcW w:w="5140" w:type="dxa"/>
            <w:vAlign w:val="bottom"/>
          </w:tcPr>
          <w:p>
            <w:pPr>
              <w:spacing w:after="0"/>
              <w:rPr>
                <w:sz w:val="24"/>
                <w:szCs w:val="24"/>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4"/>
        </w:trPr>
        <w:tc>
          <w:tcPr>
            <w:tcW w:w="5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revenue statistics for the three months ended March 31, 2026 and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00" w:type="dxa"/>
            <w:vAlign w:val="bottom"/>
          </w:tcPr>
          <w:p>
            <w:pPr>
              <w:spacing w:after="0"/>
              <w:rPr>
                <w:sz w:val="19"/>
                <w:szCs w:val="19"/>
                <w:color w:val="auto"/>
              </w:rPr>
            </w:pPr>
          </w:p>
        </w:tc>
      </w:tr>
      <w:tr>
        <w:trPr>
          <w:trHeight w:val="238"/>
        </w:trPr>
        <w:tc>
          <w:tcPr>
            <w:tcW w:w="6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00" w:type="dxa"/>
            <w:vAlign w:val="bottom"/>
          </w:tcPr>
          <w:p>
            <w:pPr>
              <w:spacing w:after="0"/>
              <w:rPr>
                <w:sz w:val="20"/>
                <w:szCs w:val="20"/>
                <w:color w:val="auto"/>
              </w:rPr>
            </w:pPr>
          </w:p>
        </w:tc>
      </w:tr>
      <w:tr>
        <w:trPr>
          <w:trHeight w:val="40"/>
        </w:trPr>
        <w:tc>
          <w:tcPr>
            <w:tcW w:w="67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77"/>
        </w:trPr>
        <w:tc>
          <w:tcPr>
            <w:tcW w:w="67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 vs. 2025</w:t>
            </w:r>
          </w:p>
        </w:tc>
      </w:tr>
      <w:tr>
        <w:trPr>
          <w:trHeight w:val="264"/>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Advisory Clients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8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Clients with Fees Greater than or Equal to $1.0 million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79"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Revenues were $148.9 million for the three months ended March 31, 2026 as compared to $211.8 million for the three months ended March 31, 2025, a decrease of 30%. The decrease in revenues is driven by fewer fee-paying clients and a decline in transaction completions across both M&amp;A and financing and capital solutions, despite an increase in average fee per client.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For the three months ended March 31, 2026, total compensation and benefits expenses were $122.1 million, a decrease of 18% compared to $149.2 million for the three months ended March 31, 2025. The decrease was primarily driven by a lower discretionary bonus accrual on lower revenues.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Excluding the lower bonus accrual, compensation expense increased year-over-year from higher cash compensation and equity-based awards amortization due to investments in new hires and higher headcount. The higher compensation margin period-over-period reflects the decline in revenues on an absolute dollar basis against a higher non-bonus compensation base, compounded by the timing of equity-based awards vesting, which is concentrated in the first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total non-compensation expenses were $39.8 million, a decrease of 22% compared to $50.9 million for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three months ended March 31, 2025. The decrease was primarily driven by lower professional fees from reduced litigation spend, a decrease in bad debt expense, and a decrease in recruiting costs. This decrease was only partially offset by increases in technology and depreciation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For the three months ended March 31, 2026, non-operating income was $2.3 million compared to non-operating income of $0.2 million for the three months ended March 31, 2025. In the current period, non-operating income primarily included interest income and a net gain from foreign exchange rate fluctuations. Non-operating income in the prior year period included interest income, which was mostly offset by a net loss from foreign exchange rate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fluctuations. For both periods, the impact of foreign exchange rate fluctuations was largely related to U.S. dollar-denominated cash and intercompany receivables held by our foreign subsidiaries.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02"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The Company’s income tax benefit and effective tax rate were $(9.9) million and 93.0%, respectively, for the three months ended March 31, 2026 compared to an income tax benefit and effective tax rate of $(9.5) million and (79.6)%, respectively, for the three months ended March 31,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the effective tax rate for both periods was primarily due to the relative size of our permanent differences in relation to the pre-tax</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income (loss) in the respective periods. In addition, the Company recognized a $6.6 million tax benefit associated with the appreciation in our share price upon vesting of RSUs above the original grant price during the three months ended March 31, 2026 versus $12.5 million in the prior year period.</w:t>
      </w: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working capital assets and liabilities, commitments and other liquidity requirements. Our primary sources of liquidity are generally our cash balances, the net cash generated from operations, and the available borrowing capacity under our Revolving Credit Facility. Our primary cash needs are typically for working capital, operating expenses (including cash compensation for our employees),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repurchasing shares of the Company’s Class A common stock, withholding tax payments for vested PWP Incentive Plan Awards, cash-settled exchanges of PWP OpCo Units, income taxes, dividends and distributions, capital expenditures, making payments pursuant to the tax receivable agreement, commitments, and strategic investments. We generally pay a significant portion of our annual cash incentive compensation during the first quarter of each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calendar year with respect to the prior year’s results. Therefore, cash levels generally decline during the first quarter and build over the remainder of the year.</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assets are typically composed of cash, receivables related to fees earned from providing advisory services, certain prepaid expenses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certain amounts due from related parties. Our current liabilities are primarily composed of accrued employee compensation, accounts payable and other accrued expenses. Cash and cash equivalents include cash held at banks, including interest-bearing money market accounts, and any short-term highly liquid investments that have original maturities of three months or less from the date of purchase. As of March 31, 2026 and December 31, 2025,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had cash balances of $77.7 million and $255.9 million, respectively, and no cash equivalents.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liquidity is highly dependent upon cash receipts from clients, which generally require the successful completion of transactions. Accounts receivable typically have net terms of 30 days. Accounts receivable, net of allowance for credit losses, were $33.5 million and $62.7 million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have a Revolving Credit Facility with Cadence Bank with an available line of credit of $50.0 million. Additionally, up to $20.0 million of incremental revolving commitments above the $50.0 million commitment amount may be incurred under the Credit Agreement. As of March 31, 2026, we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had no outstanding balance related to the Revolving Credit Facility and no incremental revolving commitments were incurred. For further information on the Revolving Credit Facility, refer to Note 9—Debt in the notes to condensed consolidated financial statements included elsewhere in this Form 10-Q.</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current market conditions, we believe that our cash on hand, net cash generated from operations, and the available borrowing capacity under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Revolving Credit Facility will be sufficient to meet our operating needs and commitments for the next twelve months; however, if these sources of liquidity are not sufficient, we may seek additional debt or equity financing.</w:t>
      </w: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7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22"/>
                <w:szCs w:val="22"/>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21,373</w:t>
            </w:r>
          </w:p>
        </w:tc>
        <w:tc>
          <w:tcPr>
            <w:tcW w:w="0" w:type="dxa"/>
            <w:vAlign w:val="bottom"/>
          </w:tcPr>
          <w:p>
            <w:pPr>
              <w:spacing w:after="0"/>
              <w:rPr>
                <w:sz w:val="1"/>
                <w:szCs w:val="1"/>
                <w:color w:val="auto"/>
              </w:rPr>
            </w:pPr>
          </w:p>
        </w:tc>
      </w:tr>
      <w:tr>
        <w:trPr>
          <w:trHeight w:val="284"/>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charges and other operating activity adjustments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25,957</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(140,101)</w:t>
            </w:r>
          </w:p>
        </w:tc>
        <w:tc>
          <w:tcPr>
            <w:tcW w:w="8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(223,851)</w:t>
            </w:r>
          </w:p>
        </w:tc>
        <w:tc>
          <w:tcPr>
            <w:tcW w:w="0" w:type="dxa"/>
            <w:vAlign w:val="bottom"/>
          </w:tcPr>
          <w:p>
            <w:pPr>
              <w:spacing w:after="0"/>
              <w:rPr>
                <w:sz w:val="1"/>
                <w:szCs w:val="1"/>
                <w:color w:val="auto"/>
              </w:rPr>
            </w:pPr>
          </w:p>
        </w:tc>
      </w:tr>
      <w:tr>
        <w:trPr>
          <w:trHeight w:val="263"/>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(109,707)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(176,521)</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73,867</w:t>
            </w:r>
          </w:p>
        </w:tc>
        <w:tc>
          <w:tcPr>
            <w:tcW w:w="0" w:type="dxa"/>
            <w:vAlign w:val="bottom"/>
          </w:tcPr>
          <w:p>
            <w:pPr>
              <w:spacing w:after="0"/>
              <w:rPr>
                <w:sz w:val="1"/>
                <w:szCs w:val="1"/>
                <w:color w:val="auto"/>
              </w:rPr>
            </w:pPr>
          </w:p>
        </w:tc>
      </w:tr>
      <w:tr>
        <w:trPr>
          <w:trHeight w:val="28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(120,790)</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6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(178,271)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(220,265)</w:t>
            </w:r>
          </w:p>
        </w:tc>
        <w:tc>
          <w:tcPr>
            <w:tcW w:w="0" w:type="dxa"/>
            <w:vAlign w:val="bottom"/>
          </w:tcPr>
          <w:p>
            <w:pPr>
              <w:spacing w:after="0"/>
              <w:rPr>
                <w:sz w:val="1"/>
                <w:szCs w:val="1"/>
                <w:color w:val="auto"/>
              </w:rPr>
            </w:pPr>
          </w:p>
        </w:tc>
      </w:tr>
      <w:tr>
        <w:trPr>
          <w:trHeight w:val="28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257,050</w:t>
            </w:r>
          </w:p>
        </w:tc>
        <w:tc>
          <w:tcPr>
            <w:tcW w:w="8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332,771</w:t>
            </w: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78,779</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112,506</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w:t>
      </w:r>
    </w:p>
    <w:p>
      <w:pPr>
        <w:spacing w:after="0" w:line="200"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Operating activities resulted in a net cash outflow of $109.7 million primarily attributable to cash operating expense outflows, including discretionary bonuses paid during the first quarter of 2026 with respect to prior year compensation expense, partially offset by cash collections from clients.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Investing activities resulted in a net cash outflow of $2.1 million attributable to purchases of fixed assets.</w:t>
      </w:r>
    </w:p>
    <w:p>
      <w:pPr>
        <w:spacing w:after="0" w:line="19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Financing activities resulted in a net cash outflow of $63.8 million primarily due to withholding tax payments for vested PWP Incentive Plan Awards and dividend payments.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w:t>
      </w:r>
    </w:p>
    <w:p>
      <w:pPr>
        <w:spacing w:after="0" w:line="200"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Operating activities resulted in a net cash outflow of $176.5 million primarily attributable to cash operating expense outflows, including discretionary bonuses paid during the first quarter of 2025 with respect to prior year compensation expense, partially offset by cash collections from clients.</w:t>
      </w:r>
    </w:p>
    <w:p>
      <w:pPr>
        <w:spacing w:after="0" w:line="15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Investing activities resulted in a net cash inflow of $73.9 million attributable to the maturation of investments in U.S. Treasury securities, which was nominally offset by capital expenditures related to office space renovations.</w:t>
      </w:r>
    </w:p>
    <w:p>
      <w:pPr>
        <w:spacing w:after="0" w:line="14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Financing activities resulted in a net cash outflow of $120.8 million primarily due to withholding tax payments for vested PWP Incentive Plan Awards, the cash settlement of exchanges of PWP OpCo Units, share repurchases, and dividend payments.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board of directors has approved a stock repurchase program under which we are authorized to repurchase up to $200.0 million of our Class A common stock with no requirement to purchase any minimum number of shares. As of March 31, 2026, $60.2 million remains of the $200.0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share repurchases.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limited partnership agreement of PWP OpCo, holders of PWP OpCo Units (other than the Company) may exchange these units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(i) shares of Class A common stock on a one-for-one basis or (ii) cash from an offering of shares of Class A common stock and (iii) cash from any other source. Whether future exchanges are settled in cash or shares of Class A common stock is at our discretion and will depend on our liquidity and capital resources, market conditions, the timing and concentration of exchange elections and other factors. See Note 10—Stockholders’ Equity and Redeemable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 in the notes to the condensed consolidated financial statements included elsewhere in the Form 10-Q for further information.</w:t>
      </w:r>
    </w:p>
    <w:p>
      <w:pPr>
        <w:sectPr>
          <w:pgSz w:w="11900" w:h="16838" w:orient="portrait"/>
          <w:cols w:equalWidth="0" w:num="1">
            <w:col w:w="11240"/>
          </w:cols>
          <w:pgMar w:left="320" w:top="1346"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6—Regulatory Requirements in the notes to condensed consolidated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subsidiaries with sufficient capital and liquidity, consistent with their business and regulatory requirements to effectively operate in each jurisdiction.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we had an amount due of $94.0 million pursuant to the tax receivable agreement, which represents management’s best estimate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the amounts currently expected to be owed in connection with the tax receivable agreement for the Business Combination and subsequent exchanges made to date. See Note 15—Related Party Transactions in the notes to the condensed consolidated financial statements included elsewhere in the Form 10-Q for further information as well as the expected timing of payments.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have non-cancelable operating leases for our office space and certain equipment. As of March 31, 2026, we had $182.1 million of operating lease liabilities. See Note 4—Leases in the notes to condensed consolidated financial statements included elsewhere in this Form 10-Q for further information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as the expected timing of payments.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and cash equivalents include any short-term highly liquid investments that are readily convertible to known amounts of cash and have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original maturities of three months or less from the date of purchase. Cash is maintained in U.S. and non-U.S. bank accounts. Most account balances exceed U.S. Federal Deposit Insurance Corporation (FDIC) coverage limits or the coverage limits of the relevant foreign deposit insurance system, as applicable. We believe our cash and cash equivalents are not subject to any material interest rate risk, equity price risk, credit risk or other market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us. We maintain an allowance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 credit losses that, in our opinion, provides for an adequate reserve to cover current expected credit losses. Refer to Note 2—Summary of Significant Accounting Policies in the notes to condensed consolidated financial statements included elsewhere in this Form 10-Q for further information.</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we invest our excess cash, we manage our credit risk exposure by holding investments primarily with investment grade credit quality.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exchange rate risk as a result of having foreign subsidiaries with non-U.S. dollar functional currencies as well as from entering into</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transactions and holding monetary assets and liabilities that are not denominated in the functional currency of our operating subsidiaries. Specifically, the reported amounts in our consolidated financial statements may be affected by movements in the rate of exchange between the pound sterling, euro, and</w:t>
      </w:r>
    </w:p>
    <w:p>
      <w:pPr>
        <w:jc w:val="both"/>
        <w:spacing w:after="0" w:line="219" w:lineRule="auto"/>
        <w:rPr>
          <w:sz w:val="20"/>
          <w:szCs w:val="20"/>
          <w:color w:val="auto"/>
        </w:rPr>
      </w:pPr>
      <w:r>
        <w:rPr>
          <w:rFonts w:ascii="Times New Roman" w:cs="Times New Roman" w:eastAsia="Times New Roman" w:hAnsi="Times New Roman"/>
          <w:sz w:val="18"/>
          <w:szCs w:val="18"/>
          <w:color w:val="auto"/>
        </w:rPr>
        <w:t>Canadian dollar and our reporting currency, the U.S. dollar. For the three months ended March 31, 2026 and 2025, the net impact of non-functional currency related transaction gains (losses) recorded in Other income (expense) on our Condensed Consolidated Statements of Operations was $1.2 million</w:t>
      </w:r>
    </w:p>
    <w:p>
      <w:pPr>
        <w:jc w:val="both"/>
        <w:spacing w:after="0" w:line="208" w:lineRule="auto"/>
        <w:rPr>
          <w:sz w:val="20"/>
          <w:szCs w:val="20"/>
          <w:color w:val="auto"/>
        </w:rPr>
      </w:pPr>
      <w:r>
        <w:rPr>
          <w:rFonts w:ascii="Times New Roman" w:cs="Times New Roman" w:eastAsia="Times New Roman" w:hAnsi="Times New Roman"/>
          <w:sz w:val="18"/>
          <w:szCs w:val="18"/>
          <w:color w:val="auto"/>
        </w:rPr>
        <w:t>and $(1.8) million, respectively, primarily related to U.S. dollar-denominated cash and intercompany receivables held by our foreign subsidiaries as the strength of the U.S. dollar fluctuated. For the three months ended March 31, 2026 and 2025, the net impact from the fluctuation of foreign currencies recorded in Foreign currency translation gain (loss) on our Condensed Consolidated Statements of Comprehensive Income (Loss) was $(1.7) million and</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$2.8 million, respectively. We have not entered into any transactions to hedge our exposure to these foreign currency fluctuations using derivative instruments or other methods but may do so if we deem appropriate in the future. As of March 31, 2026, we held cash balances of $26.8 million in non-U.S. dollar currencies, composed of pound sterling, euros, and Canadian dollars.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elsewhere in this Form 10-Q are prepared in accordance with U.S. GAAP, which requires management to make estimates and assumptions that affect the reported amounts of assets, liabilities, revenues, expenses, and the disclosure of</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contingent assets and liabilities. Actual results could differ from those estimates. Estimates and the assumptions underlying these estimates are reviewed periodically, and the effects of revisions are reflected in the period in which they are determined to be necessary. There have been no material changes to our critical accounting estimates from those described in our Annual Report on Form 10-K filed on February 27,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“Management’s Discussion and Analysis of Financial Condition and Results of Operations – Market Risk and Credit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This Item 4 includes information concerning the controls and controls evaluation referred to in the certifications of our Chief Executive Officer and Chief Financial Officer required by Rule 13a-14 of the Exchange Act included in this Quarterly Report on Form 10-Q as Exhibits 31.1 and 31.2.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specified in SEC rules and forms, and that such information is accumulated and communicated to management to allow timely decisions regarding required disclosures.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under the supervision and with the participation of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principal executive officer and principal financial officer, evaluated the effectiveness of the design and operation of our disclosure controls and procedures as of March 31, 2026.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Act is accumulated and communicated to management, and made known to our principal executive officer and principal financial officer, on a timely basis to ensure that it is recorded, processed, summarized and reported within the time periods specified in the SEC’s rules and forms.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March 31, 2026 that materially affected, or are reasonably likely to materially affect, our internal control over financial reporting.</w:t>
      </w:r>
    </w:p>
    <w:p>
      <w:pPr>
        <w:spacing w:after="0" w:line="200" w:lineRule="exact"/>
        <w:rPr>
          <w:sz w:val="20"/>
          <w:szCs w:val="20"/>
          <w:color w:val="auto"/>
        </w:rPr>
      </w:pPr>
    </w:p>
    <w:p>
      <w:pPr>
        <w:spacing w:after="0" w:line="3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71"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For details on the current legal proceedings, refer to Note 16—Commitments and Contingencies in the notes to condensed consolidated financial statements included elsewhere in this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20" w:firstLine="324"/>
        <w:spacing w:after="0" w:line="237" w:lineRule="auto"/>
        <w:rPr>
          <w:sz w:val="20"/>
          <w:szCs w:val="20"/>
          <w:color w:val="auto"/>
        </w:rPr>
      </w:pPr>
      <w:r>
        <w:rPr>
          <w:rFonts w:ascii="Times New Roman" w:cs="Times New Roman" w:eastAsia="Times New Roman" w:hAnsi="Times New Roman"/>
          <w:sz w:val="18"/>
          <w:szCs w:val="18"/>
          <w:color w:val="auto"/>
        </w:rPr>
        <w:t>There have been no material changes or updates to our risk factors that were previously disclosed in “Part I. Item 1A. Risk Factors” in the Company’s Annual Report on Form 10-K for the year ended December 31, 2025 as filed with the SEC on February 27,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repurchase of equity securities during the three months ended March 31, 2026: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9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6"/>
                <w:szCs w:val="16"/>
                <w:color w:val="auto"/>
              </w:rPr>
            </w:pPr>
          </w:p>
        </w:tc>
        <w:tc>
          <w:tcPr>
            <w:tcW w:w="268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yet to be Purchased Under</w:t>
            </w:r>
          </w:p>
        </w:tc>
        <w:tc>
          <w:tcPr>
            <w:tcW w:w="0" w:type="dxa"/>
            <w:vAlign w:val="bottom"/>
          </w:tcPr>
          <w:p>
            <w:pPr>
              <w:spacing w:after="0"/>
              <w:rPr>
                <w:sz w:val="1"/>
                <w:szCs w:val="1"/>
                <w:color w:val="auto"/>
              </w:rPr>
            </w:pPr>
          </w:p>
        </w:tc>
      </w:tr>
      <w:tr>
        <w:trPr>
          <w:trHeight w:val="176"/>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vMerge w:val="restart"/>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5"/>
                <w:szCs w:val="15"/>
                <w:color w:val="auto"/>
              </w:rPr>
            </w:pPr>
          </w:p>
        </w:tc>
        <w:tc>
          <w:tcPr>
            <w:tcW w:w="1060" w:type="dxa"/>
            <w:vAlign w:val="bottom"/>
            <w:gridSpan w:val="3"/>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15"/>
                <w:szCs w:val="15"/>
                <w:color w:val="auto"/>
              </w:rPr>
            </w:pPr>
          </w:p>
        </w:tc>
        <w:tc>
          <w:tcPr>
            <w:tcW w:w="26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Publicly Announced Plans or</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Per Unit</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center"/>
              <w:ind w:right="70"/>
              <w:spacing w:after="0" w:line="230" w:lineRule="exact"/>
              <w:rPr>
                <w:sz w:val="20"/>
                <w:szCs w:val="20"/>
                <w:color w:val="auto"/>
              </w:rPr>
            </w:pPr>
            <w:r>
              <w:rPr>
                <w:rFonts w:ascii="Times New Roman" w:cs="Times New Roman" w:eastAsia="Times New Roman" w:hAnsi="Times New Roman"/>
                <w:sz w:val="18"/>
                <w:szCs w:val="18"/>
                <w:b w:val="1"/>
                <w:bCs w:val="1"/>
                <w:color w:val="auto"/>
                <w:w w:val="93"/>
              </w:rPr>
              <w:t>Programs</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77"/>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60,167,441</w:t>
            </w:r>
          </w:p>
        </w:tc>
        <w:tc>
          <w:tcPr>
            <w:tcW w:w="0" w:type="dxa"/>
            <w:vAlign w:val="bottom"/>
          </w:tcPr>
          <w:p>
            <w:pPr>
              <w:spacing w:after="0"/>
              <w:rPr>
                <w:sz w:val="1"/>
                <w:szCs w:val="1"/>
                <w:color w:val="auto"/>
              </w:rPr>
            </w:pPr>
          </w:p>
        </w:tc>
      </w:tr>
      <w:tr>
        <w:trPr>
          <w:trHeight w:val="28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60,167,441</w:t>
            </w:r>
          </w:p>
        </w:tc>
        <w:tc>
          <w:tcPr>
            <w:tcW w:w="0" w:type="dxa"/>
            <w:vAlign w:val="bottom"/>
          </w:tcPr>
          <w:p>
            <w:pPr>
              <w:spacing w:after="0"/>
              <w:rPr>
                <w:sz w:val="1"/>
                <w:szCs w:val="1"/>
                <w:color w:val="auto"/>
              </w:rPr>
            </w:pPr>
          </w:p>
        </w:tc>
      </w:tr>
      <w:tr>
        <w:trPr>
          <w:trHeight w:val="284"/>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60,167,441</w:t>
            </w:r>
          </w:p>
        </w:tc>
        <w:tc>
          <w:tcPr>
            <w:tcW w:w="0" w:type="dxa"/>
            <w:vAlign w:val="bottom"/>
          </w:tcPr>
          <w:p>
            <w:pPr>
              <w:spacing w:after="0"/>
              <w:rPr>
                <w:sz w:val="1"/>
                <w:szCs w:val="1"/>
                <w:color w:val="auto"/>
              </w:rPr>
            </w:pPr>
          </w:p>
        </w:tc>
      </w:tr>
      <w:tr>
        <w:trPr>
          <w:trHeight w:val="27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3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24"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16, 2022, the Company’s Board of Directors initially approved a stock repurchase program and the authorized amount under such program was increased on February 8, 2023 such that the Company is authorized to repurchase up to $200.0 million of the Company’s Class A common stock with no requirement to purchase any minimum number of shares. Shares may be repurchased under the repurchase program through open market purchases, privately negotiated transactions, block trades, accelerated or other structured share repurchase programs, or other means. The manner, timing, pricing and amount of any transactions will be subject to the Company’s discretion and may be based upon market conditions and alternative opportunities that the Company may have for the use or investment of its capital. The repurchase program may be modified, suspended or discontinued at any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0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On March 3, 2026, the Company issued 215,215 shares of its Class A common stock in exchange for 215,000 Class A partnership units of PWP OpCo and 215,000 shares of Class B common stock of the Company that were held by certain limited partners of PWP OpCo pursuant to the Amended and Restated Limited Partnership Agreement of PWP OpCo (as amended, the “PWP OpCo LPA”).</w:t>
      </w:r>
    </w:p>
    <w:p>
      <w:pPr>
        <w:spacing w:after="0" w:line="184"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(ii) cash from an offering of shares of Class A common stock of the Company (based on the net proceeds received by the Company for such shares in such offering), or (iii) cash from any other source.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a conversion rate of 1:1000 (or 0.001). Whether the exchanging PWP OpCo unitholder receives cash or Class A common stock in exchange for their Class A partnership units and Class B common stock is at the Company’s option.</w:t>
      </w: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2" w:name="page33"/>
    <w:bookmarkEnd w:id="32"/>
    <w:p>
      <w:pPr>
        <w:ind w:firstLine="324"/>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 and Policies</w:t>
      </w:r>
    </w:p>
    <w:p>
      <w:pPr>
        <w:spacing w:after="0" w:line="189"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modified or terminated a “Rule 10b5-1 trading arrangement” or “non-Rule 10b5-1 trading arrangement,” as each term is defined in Item 408(a) of Regulation S-K.</w:t>
      </w:r>
    </w:p>
    <w:p>
      <w:pPr>
        <w:sectPr>
          <w:pgSz w:w="11900" w:h="16838" w:orient="portrait"/>
          <w:cols w:equalWidth="0" w:num="1">
            <w:col w:w="11240"/>
          </w:cols>
          <w:pgMar w:left="320" w:top="1350" w:right="339" w:bottom="1440" w:gutter="0" w:footer="0" w:header="0"/>
        </w:sectPr>
      </w:pP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572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2064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88"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ind w:right="200"/>
        <w:spacing w:after="0" w:line="305"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 w:lineRule="exact"/>
        <w:rPr>
          <w:sz w:val="20"/>
          <w:szCs w:val="20"/>
          <w:color w:val="auto"/>
        </w:rPr>
      </w:pPr>
    </w:p>
    <w:p>
      <w:pPr>
        <w:sectPr>
          <w:pgSz w:w="11900" w:h="16838" w:orient="portrait"/>
          <w:cols w:equalWidth="0" w:num="2">
            <w:col w:w="1280" w:space="200"/>
            <w:col w:w="9760"/>
          </w:cols>
          <w:pgMar w:left="320" w:top="1350"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r>
      <w:tr>
        <w:trPr>
          <w:trHeight w:val="223"/>
        </w:trPr>
        <w:tc>
          <w:tcPr>
            <w:tcW w:w="1460" w:type="dxa"/>
            <w:vAlign w:val="bottom"/>
          </w:tcPr>
          <w:p>
            <w:pPr>
              <w:spacing w:after="0"/>
              <w:rPr>
                <w:sz w:val="19"/>
                <w:szCs w:val="19"/>
                <w:color w:val="auto"/>
              </w:rPr>
            </w:pPr>
          </w:p>
        </w:tc>
        <w:tc>
          <w:tcPr>
            <w:tcW w:w="1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Oxley Act of 2002.</w:t>
            </w:r>
          </w:p>
        </w:tc>
        <w:tc>
          <w:tcPr>
            <w:tcW w:w="8220" w:type="dxa"/>
            <w:vAlign w:val="bottom"/>
            <w:gridSpan w:val="2"/>
          </w:tcPr>
          <w:p>
            <w:pPr>
              <w:spacing w:after="0"/>
              <w:rPr>
                <w:sz w:val="19"/>
                <w:szCs w:val="19"/>
                <w:color w:val="auto"/>
              </w:rPr>
            </w:pPr>
          </w:p>
        </w:tc>
      </w:tr>
      <w:tr>
        <w:trPr>
          <w:trHeight w:val="27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23"/>
        </w:trPr>
        <w:tc>
          <w:tcPr>
            <w:tcW w:w="1460" w:type="dxa"/>
            <w:vAlign w:val="bottom"/>
          </w:tcPr>
          <w:p>
            <w:pPr>
              <w:spacing w:after="0"/>
              <w:rPr>
                <w:sz w:val="19"/>
                <w:szCs w:val="19"/>
                <w:color w:val="auto"/>
              </w:rPr>
            </w:pPr>
          </w:p>
        </w:tc>
        <w:tc>
          <w:tcPr>
            <w:tcW w:w="1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43"/>
        </w:trPr>
        <w:tc>
          <w:tcPr>
            <w:tcW w:w="1460" w:type="dxa"/>
            <w:vAlign w:val="bottom"/>
          </w:tcPr>
          <w:p>
            <w:pPr>
              <w:spacing w:after="0"/>
              <w:rPr>
                <w:sz w:val="21"/>
                <w:szCs w:val="21"/>
                <w:color w:val="auto"/>
              </w:rPr>
            </w:pP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480" w:hanging="1454"/>
        <w:spacing w:after="0"/>
        <w:tabs>
          <w:tab w:leader="none" w:pos="1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7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33" w:name="page34"/>
    <w:bookmarkEnd w:id="33"/>
    <w:p>
      <w:pPr>
        <w:ind w:left="52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60" w:firstLine="324"/>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347"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49"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Chief Financial Officer and Chief Operating</w:t>
      </w:r>
    </w:p>
    <w:p>
      <w:pPr>
        <w:spacing w:after="0" w:line="3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8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3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60"/>
          </w:cols>
          <w:pgMar w:left="320" w:top="1346" w:right="7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Bednar, certify that:</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Alexandra Gottschalk, certify that:</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 and Chief Operating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2026,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2026,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 and Chief Operating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lvl w:ilvl="1">
      <w:lvlJc w:val="left"/>
      <w:lvlText w:val="%2"/>
      <w:numFmt w:val="decimal"/>
      <w:start w:val="104"/>
    </w:lvl>
  </w:abstractNum>
  <w:abstractNum w:abstractNumId="5">
    <w:nsid w:val="7545E146"/>
    <w:multiLevelType w:val="hybridMultilevel"/>
    <w:lvl w:ilvl="0">
      <w:lvlJc w:val="left"/>
      <w:lvlText w:val="**"/>
      <w:numFmt w:val="bullet"/>
      <w:start w:val="1"/>
    </w:lvl>
    <w:lvl w:ilvl="1">
      <w:lvlJc w:val="left"/>
      <w:lvlText w:val="%2"/>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2026-05-01T15:49:08Z</dcterms:created>
  <dcterms:modified xsi:type="dcterms:W3CDTF">2026-05-01T15:49:08Z</dcterms:modified>
</cp:coreProperties>
</file>