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August 1, 2025</w:t>
      </w:r>
    </w:p>
    <w:p>
      <w:pPr>
        <w:spacing w:after="0" w:line="9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15962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66675</wp:posOffset>
            </wp:positionV>
            <wp:extent cx="71596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S-3</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jc w:val="center"/>
        <w:spacing w:after="0"/>
        <w:rPr>
          <w:sz w:val="20"/>
          <w:szCs w:val="20"/>
          <w:color w:val="auto"/>
        </w:rPr>
      </w:pPr>
      <w:r>
        <w:rPr>
          <w:rFonts w:ascii="Times New Roman" w:cs="Times New Roman" w:eastAsia="Times New Roman" w:hAnsi="Times New Roman"/>
          <w:sz w:val="16"/>
          <w:szCs w:val="16"/>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2988945</wp:posOffset>
            </wp:positionH>
            <wp:positionV relativeFrom="paragraph">
              <wp:posOffset>48895</wp:posOffset>
            </wp:positionV>
            <wp:extent cx="11969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6975" cy="6985"/>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2988945</wp:posOffset>
            </wp:positionH>
            <wp:positionV relativeFrom="paragraph">
              <wp:posOffset>46990</wp:posOffset>
            </wp:positionV>
            <wp:extent cx="11969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6975" cy="6985"/>
                    </a:xfrm>
                    <a:prstGeom prst="rect">
                      <a:avLst/>
                    </a:prstGeom>
                    <a:noFill/>
                  </pic:spPr>
                </pic:pic>
              </a:graphicData>
            </a:graphic>
          </wp:anchor>
        </w:drawing>
      </w:r>
    </w:p>
    <w:p>
      <w:pPr>
        <w:sectPr>
          <w:pgSz w:w="11900" w:h="16838" w:orient="portrait"/>
          <w:cols w:equalWidth="0" w:num="1">
            <w:col w:w="11280"/>
          </w:cols>
          <w:pgMar w:left="300" w:top="534" w:right="319" w:bottom="1440" w:gutter="0" w:footer="0" w:header="0"/>
        </w:sectPr>
      </w:pPr>
    </w:p>
    <w:p>
      <w:pPr>
        <w:spacing w:after="0" w:line="296"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84-1770732</w:t>
      </w:r>
    </w:p>
    <w:p>
      <w:pPr>
        <w:spacing w:after="0" w:line="30" w:lineRule="exact"/>
        <w:rPr>
          <w:sz w:val="24"/>
          <w:szCs w:val="24"/>
          <w:color w:val="auto"/>
        </w:rPr>
      </w:pPr>
    </w:p>
    <w:p>
      <w:pPr>
        <w:sectPr>
          <w:pgSz w:w="11900" w:h="16838" w:orient="portrait"/>
          <w:cols w:equalWidth="0" w:num="2">
            <w:col w:w="7400" w:space="720"/>
            <w:col w:w="3160"/>
          </w:cols>
          <w:pgMar w:left="300" w:top="534" w:right="31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0"/>
          <w:szCs w:val="10"/>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(I.R.S. Employer Identification Number)</w:t>
      </w:r>
    </w:p>
    <w:p>
      <w:pPr>
        <w:spacing w:after="0" w:line="182" w:lineRule="exact"/>
        <w:rPr>
          <w:sz w:val="24"/>
          <w:szCs w:val="24"/>
          <w:color w:val="auto"/>
        </w:rPr>
      </w:pPr>
    </w:p>
    <w:p>
      <w:pPr>
        <w:sectPr>
          <w:pgSz w:w="11900" w:h="16838" w:orient="portrait"/>
          <w:cols w:equalWidth="0" w:num="2">
            <w:col w:w="6800" w:space="720"/>
            <w:col w:w="3760"/>
          </w:cols>
          <w:pgMar w:left="300" w:top="534"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767 Fifth Avenue</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New York 10153</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(212) 287-3200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2988945</wp:posOffset>
            </wp:positionH>
            <wp:positionV relativeFrom="paragraph">
              <wp:posOffset>46990</wp:posOffset>
            </wp:positionV>
            <wp:extent cx="11969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6975" cy="698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Justin Kamen, Esq.</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Legal Officer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Perella Weinberg Partners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767 Fifth Avenue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New York 10153</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(212) 287-3200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2988945</wp:posOffset>
            </wp:positionH>
            <wp:positionV relativeFrom="paragraph">
              <wp:posOffset>40005</wp:posOffset>
            </wp:positionV>
            <wp:extent cx="11969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6975" cy="698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Copies to:</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Anna T. Pinedo, Esq.</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Brian D. Hirshberg, Esq.</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Mayer Brown LLP</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1221 Avenue of the Americas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New York 10020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(212) 506-2500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2988945</wp:posOffset>
            </wp:positionH>
            <wp:positionV relativeFrom="paragraph">
              <wp:posOffset>76200</wp:posOffset>
            </wp:positionV>
            <wp:extent cx="11969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6975" cy="6985"/>
                    </a:xfrm>
                    <a:prstGeom prst="rect">
                      <a:avLst/>
                    </a:prstGeom>
                    <a:noFill/>
                  </pic:spPr>
                </pic:pic>
              </a:graphicData>
            </a:graphic>
          </wp:anchor>
        </w:drawing>
      </w: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to the public: </w:t>
      </w:r>
      <w:r>
        <w:rPr>
          <w:rFonts w:ascii="Times New Roman" w:cs="Times New Roman" w:eastAsia="Times New Roman" w:hAnsi="Times New Roman"/>
          <w:sz w:val="12"/>
          <w:szCs w:val="12"/>
          <w:color w:val="auto"/>
        </w:rPr>
        <w:t>From time to time after the effective date of this Registration Statement as determined by the registrant.</w:t>
      </w:r>
    </w:p>
    <w:p>
      <w:pPr>
        <w:spacing w:after="0" w:line="6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30" w:lineRule="exact"/>
        <w:rPr>
          <w:sz w:val="24"/>
          <w:szCs w:val="24"/>
          <w:color w:val="auto"/>
        </w:rPr>
      </w:pPr>
    </w:p>
    <w:p>
      <w:pPr>
        <w:ind w:right="620"/>
        <w:spacing w:after="0" w:line="141"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right="240"/>
        <w:spacing w:after="0" w:line="141" w:lineRule="exact"/>
        <w:rPr>
          <w:sz w:val="20"/>
          <w:szCs w:val="20"/>
          <w:color w:val="auto"/>
        </w:rPr>
      </w:pPr>
      <w:r>
        <w:rPr>
          <w:rFonts w:ascii="Times New Roman" w:cs="Times New Roman" w:eastAsia="Times New Roman" w:hAnsi="Times New Roman"/>
          <w:sz w:val="12"/>
          <w:szCs w:val="12"/>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r>
        <w:rPr>
          <w:rFonts w:ascii="MS PGothic" w:cs="MS PGothic" w:eastAsia="MS PGothic" w:hAnsi="MS PGothic"/>
          <w:sz w:val="12"/>
          <w:szCs w:val="12"/>
          <w:color w:val="auto"/>
        </w:rPr>
        <w:t>☐</w:t>
      </w:r>
    </w:p>
    <w:p>
      <w:pPr>
        <w:spacing w:after="0" w:line="1" w:lineRule="exact"/>
        <w:rPr>
          <w:sz w:val="24"/>
          <w:szCs w:val="24"/>
          <w:color w:val="auto"/>
        </w:rPr>
      </w:pPr>
    </w:p>
    <w:p>
      <w:pPr>
        <w:ind w:right="340"/>
        <w:spacing w:after="0" w:line="136"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right="20"/>
        <w:spacing w:after="0" w:line="141"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right="180"/>
        <w:spacing w:after="0" w:line="136"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right="220"/>
        <w:spacing w:after="0" w:line="24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490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tc>
        <w:tc>
          <w:tcPr>
            <w:tcW w:w="5540" w:type="dxa"/>
            <w:vAlign w:val="bottom"/>
          </w:tcPr>
          <w:p>
            <w:pPr>
              <w:ind w:left="3720"/>
              <w:spacing w:after="0"/>
              <w:rPr>
                <w:sz w:val="20"/>
                <w:szCs w:val="20"/>
                <w:color w:val="auto"/>
              </w:rPr>
            </w:pPr>
            <w:r>
              <w:rPr>
                <w:rFonts w:ascii="Times New Roman" w:cs="Times New Roman" w:eastAsia="Times New Roman" w:hAnsi="Times New Roman"/>
                <w:sz w:val="12"/>
                <w:szCs w:val="12"/>
                <w:color w:val="auto"/>
              </w:rPr>
              <w:t>Accelerated filer</w:t>
            </w:r>
          </w:p>
        </w:tc>
        <w:tc>
          <w:tcPr>
            <w:tcW w:w="660" w:type="dxa"/>
            <w:vAlign w:val="bottom"/>
          </w:tcPr>
          <w:p>
            <w:pPr>
              <w:ind w:left="5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62"/>
        </w:trPr>
        <w:tc>
          <w:tcPr>
            <w:tcW w:w="490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tc>
        <w:tc>
          <w:tcPr>
            <w:tcW w:w="5540" w:type="dxa"/>
            <w:vAlign w:val="bottom"/>
          </w:tcPr>
          <w:p>
            <w:pPr>
              <w:ind w:left="37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660" w:type="dxa"/>
            <w:vAlign w:val="bottom"/>
          </w:tcPr>
          <w:p>
            <w:pPr>
              <w:ind w:left="5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3"/>
        </w:trPr>
        <w:tc>
          <w:tcPr>
            <w:tcW w:w="4900" w:type="dxa"/>
            <w:vAlign w:val="bottom"/>
          </w:tcPr>
          <w:p>
            <w:pPr>
              <w:spacing w:after="0"/>
              <w:rPr>
                <w:sz w:val="16"/>
                <w:szCs w:val="16"/>
                <w:color w:val="auto"/>
              </w:rPr>
            </w:pPr>
          </w:p>
        </w:tc>
        <w:tc>
          <w:tcPr>
            <w:tcW w:w="5540" w:type="dxa"/>
            <w:vAlign w:val="bottom"/>
          </w:tcPr>
          <w:p>
            <w:pPr>
              <w:ind w:left="3720"/>
              <w:spacing w:after="0"/>
              <w:rPr>
                <w:sz w:val="20"/>
                <w:szCs w:val="20"/>
                <w:color w:val="auto"/>
              </w:rPr>
            </w:pPr>
            <w:r>
              <w:rPr>
                <w:rFonts w:ascii="Times New Roman" w:cs="Times New Roman" w:eastAsia="Times New Roman" w:hAnsi="Times New Roman"/>
                <w:sz w:val="12"/>
                <w:szCs w:val="12"/>
                <w:color w:val="auto"/>
              </w:rPr>
              <w:t>Emerging growth company</w:t>
            </w:r>
          </w:p>
        </w:tc>
        <w:tc>
          <w:tcPr>
            <w:tcW w:w="660" w:type="dxa"/>
            <w:vAlign w:val="bottom"/>
          </w:tcPr>
          <w:p>
            <w:pPr>
              <w:ind w:left="5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61" w:lineRule="exact"/>
        <w:rPr>
          <w:sz w:val="24"/>
          <w:szCs w:val="24"/>
          <w:color w:val="auto"/>
        </w:rPr>
      </w:pPr>
    </w:p>
    <w:p>
      <w:pPr>
        <w:ind w:right="100"/>
        <w:spacing w:after="0" w:line="14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ectPr>
          <w:pgSz w:w="11900" w:h="16838" w:orient="portrait"/>
          <w:cols w:equalWidth="0" w:num="1">
            <w:col w:w="11280"/>
          </w:cols>
          <w:pgMar w:left="300" w:top="534"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1936750</wp:posOffset>
            </wp:positionH>
            <wp:positionV relativeFrom="paragraph">
              <wp:posOffset>97790</wp:posOffset>
            </wp:positionV>
            <wp:extent cx="3301365" cy="1038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1365" cy="1038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Perella Weinberg Partners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6"/>
          <w:szCs w:val="26"/>
          <w:b w:val="1"/>
          <w:bCs w:val="1"/>
          <w:color w:val="auto"/>
        </w:rPr>
        <w:t>CLASS A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offer and sell shares of our Class A common stock, par value $0.0001 per share (“Class A common stock”) from time to time in one or more offerings.</w:t>
      </w:r>
    </w:p>
    <w:p>
      <w:pPr>
        <w:spacing w:after="0" w:line="14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This prospectus describes the general terms of the Class A common stock and the general manner in which the shares of Class A common stock will be offered. The specific amounts, prices and terms of the offering of the Class A common stock will be provided in one or more supplements to this prospectus at the time of offering. The prospectus supplements will also describe the specific manner in which the shares of Class A common stock will be offered and may also supplement, update or amend information contained in this document. You should read this prospectus and any applicable prospectus supplement before you invest.</w:t>
      </w:r>
    </w:p>
    <w:p>
      <w:pPr>
        <w:spacing w:after="0" w:line="9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4"/>
          <w:szCs w:val="14"/>
          <w:color w:val="auto"/>
        </w:rPr>
        <w:t>One or more selling stockholders may use this prospectus in connection with their resales of shares of our Class A common stock from time to time in amounts, at prices and on terms that will be determined at the time of the applicable offering. Information about any selling stockholder and its resale of shares of our Class A common stock, including the relationship between such selling stockholders and Perella Weinberg Partner and the amounts, prices and other terms of the applicable offering, will be included in the applicable prospectus supplement, if required.</w:t>
      </w:r>
    </w:p>
    <w:p>
      <w:pPr>
        <w:spacing w:after="0" w:line="90" w:lineRule="exact"/>
        <w:rPr>
          <w:sz w:val="20"/>
          <w:szCs w:val="20"/>
          <w:color w:val="auto"/>
        </w:rPr>
      </w:pPr>
    </w:p>
    <w:p>
      <w:pPr>
        <w:ind w:right="140"/>
        <w:spacing w:after="0" w:line="299" w:lineRule="auto"/>
        <w:rPr>
          <w:sz w:val="20"/>
          <w:szCs w:val="20"/>
          <w:color w:val="auto"/>
        </w:rPr>
      </w:pPr>
      <w:r>
        <w:rPr>
          <w:rFonts w:ascii="Times New Roman" w:cs="Times New Roman" w:eastAsia="Times New Roman" w:hAnsi="Times New Roman"/>
          <w:sz w:val="14"/>
          <w:szCs w:val="14"/>
          <w:color w:val="auto"/>
        </w:rPr>
        <w:t>Our Class A common stock is listed on the Nasdaq Global Select Market (“Nasdaq”) under the symbol “PWP.” On July 31, 2025, the closing price of our Class A common stock on the Nasdaq was $19.94 per share.</w:t>
      </w:r>
    </w:p>
    <w:p>
      <w:pPr>
        <w:spacing w:after="0" w:line="73" w:lineRule="exact"/>
        <w:rPr>
          <w:sz w:val="20"/>
          <w:szCs w:val="20"/>
          <w:color w:val="auto"/>
        </w:rPr>
      </w:pPr>
    </w:p>
    <w:p>
      <w:pPr>
        <w:ind w:right="440"/>
        <w:spacing w:after="0" w:line="302" w:lineRule="auto"/>
        <w:rPr>
          <w:sz w:val="20"/>
          <w:szCs w:val="20"/>
          <w:color w:val="auto"/>
        </w:rPr>
      </w:pPr>
      <w:r>
        <w:rPr>
          <w:rFonts w:ascii="Times New Roman" w:cs="Times New Roman" w:eastAsia="Times New Roman" w:hAnsi="Times New Roman"/>
          <w:sz w:val="14"/>
          <w:szCs w:val="14"/>
          <w:b w:val="1"/>
          <w:bCs w:val="1"/>
          <w:color w:val="auto"/>
        </w:rPr>
        <w:t>Investing in our Class A common stock involves certain risks. See “</w:t>
      </w:r>
      <w:r>
        <w:rPr>
          <w:rFonts w:ascii="Times New Roman" w:cs="Times New Roman" w:eastAsia="Times New Roman" w:hAnsi="Times New Roman"/>
          <w:sz w:val="14"/>
          <w:szCs w:val="14"/>
          <w:b w:val="1"/>
          <w:bCs w:val="1"/>
          <w:u w:val="single" w:color="auto"/>
          <w:color w:val="0000FF"/>
        </w:rPr>
        <w:t>Risk Factors</w:t>
      </w:r>
      <w:r>
        <w:rPr>
          <w:rFonts w:ascii="Times New Roman" w:cs="Times New Roman" w:eastAsia="Times New Roman" w:hAnsi="Times New Roman"/>
          <w:sz w:val="14"/>
          <w:szCs w:val="14"/>
          <w:b w:val="1"/>
          <w:bCs w:val="1"/>
          <w:color w:val="auto"/>
        </w:rPr>
        <w:t xml:space="preserve">” on page </w:t>
      </w:r>
      <w:r>
        <w:rPr>
          <w:rFonts w:ascii="Times New Roman" w:cs="Times New Roman" w:eastAsia="Times New Roman" w:hAnsi="Times New Roman"/>
          <w:sz w:val="14"/>
          <w:szCs w:val="14"/>
          <w:b w:val="1"/>
          <w:bCs w:val="1"/>
          <w:u w:val="single" w:color="auto"/>
          <w:color w:val="0000FF"/>
        </w:rPr>
        <w:t>6</w:t>
      </w:r>
      <w:r>
        <w:rPr>
          <w:rFonts w:ascii="Times New Roman" w:cs="Times New Roman" w:eastAsia="Times New Roman" w:hAnsi="Times New Roman"/>
          <w:sz w:val="14"/>
          <w:szCs w:val="14"/>
          <w:b w:val="1"/>
          <w:bCs w:val="1"/>
          <w:color w:val="auto"/>
        </w:rPr>
        <w:t xml:space="preserve"> of this prospectus and any similar section included in any accompanying prospectus supplement and in the documents incorporated by reference herein and therein. You should carefully consider these risks before you make your investment decision.</w:t>
      </w:r>
    </w:p>
    <w:p>
      <w:pPr>
        <w:spacing w:after="0" w:line="7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We and/or the selling stockholders may offer shares of Class A common stock through underwriting syndicates managed or co-managed by one or more underwriters or dealers, through agents or directly to purchasers. If required, the prospectus supplement for each offering of shares of Class A common stock will describe the plan of distribution for that offering. For general information about the distribution of the shares of Class A common stock offered, please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in this prospectus.</w:t>
      </w:r>
    </w:p>
    <w:p>
      <w:pPr>
        <w:spacing w:after="0" w:line="88"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or any accompanying prospectus supplement. Any representation to the contrary is a criminal offense.</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date of this prospectus is August 1, 2025.</w:t>
      </w:r>
    </w:p>
    <w:p>
      <w:pPr>
        <w:sectPr>
          <w:pgSz w:w="11900" w:h="16838" w:orient="portrait"/>
          <w:cols w:equalWidth="0" w:num="1">
            <w:col w:w="11240"/>
          </w:cols>
          <w:pgMar w:left="300" w:top="77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1"/>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80" w:type="dxa"/>
            <w:vAlign w:val="bottom"/>
            <w:gridSpan w:val="2"/>
          </w:tcPr>
          <w:p>
            <w:pPr>
              <w:ind w:left="18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03"/>
        </w:trPr>
        <w:tc>
          <w:tcPr>
            <w:tcW w:w="180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ABOUT THIS PROSPECTUS</w:t>
            </w:r>
          </w:p>
        </w:tc>
        <w:tc>
          <w:tcPr>
            <w:tcW w:w="6940" w:type="dxa"/>
            <w:vAlign w:val="bottom"/>
            <w:gridSpan w:val="5"/>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w:t>
            </w: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40"/>
        </w:trPr>
        <w:tc>
          <w:tcPr>
            <w:tcW w:w="874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WHERE YOU CAN FIND MORE INFORMATION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w:t>
            </w: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40"/>
        </w:trPr>
        <w:tc>
          <w:tcPr>
            <w:tcW w:w="30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INCORPORATION BY REFERENCE</w:t>
            </w:r>
          </w:p>
        </w:tc>
        <w:tc>
          <w:tcPr>
            <w:tcW w:w="5680" w:type="dxa"/>
            <w:vAlign w:val="bottom"/>
            <w:gridSpan w:val="2"/>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w:t>
            </w: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40"/>
        </w:trPr>
        <w:tc>
          <w:tcPr>
            <w:tcW w:w="874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CAUTIONARY STATEMENT REGARDING FORWARD-LOOKING STATEMENTS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w:t>
            </w: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4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3"/>
              </w:rPr>
              <w:t>OUR COMPANY</w:t>
            </w:r>
          </w:p>
        </w:tc>
        <w:tc>
          <w:tcPr>
            <w:tcW w:w="4080" w:type="dxa"/>
            <w:vAlign w:val="bottom"/>
            <w:gridSpan w:val="8"/>
          </w:tcPr>
          <w:p>
            <w:pPr>
              <w:spacing w:after="0"/>
              <w:rPr>
                <w:sz w:val="20"/>
                <w:szCs w:val="20"/>
                <w:color w:val="auto"/>
              </w:rPr>
            </w:pPr>
          </w:p>
        </w:tc>
        <w:tc>
          <w:tcPr>
            <w:tcW w:w="3660" w:type="dxa"/>
            <w:vAlign w:val="bottom"/>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w:t>
            </w: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2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4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7"/>
              </w:rPr>
              <w:t>RISK FACTORS</w:t>
            </w:r>
          </w:p>
        </w:tc>
        <w:tc>
          <w:tcPr>
            <w:tcW w:w="7740" w:type="dxa"/>
            <w:vAlign w:val="bottom"/>
            <w:gridSpan w:val="9"/>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2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40"/>
        </w:trPr>
        <w:tc>
          <w:tcPr>
            <w:tcW w:w="874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USE OF PROCEEDS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w:t>
            </w:r>
          </w:p>
        </w:tc>
      </w:tr>
      <w:tr>
        <w:trPr>
          <w:trHeight w:val="20"/>
        </w:trPr>
        <w:tc>
          <w:tcPr>
            <w:tcW w:w="6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2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40"/>
        </w:trPr>
        <w:tc>
          <w:tcPr>
            <w:tcW w:w="20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DESCRIPTION OF SECURITIES</w:t>
            </w:r>
          </w:p>
        </w:tc>
        <w:tc>
          <w:tcPr>
            <w:tcW w:w="6720" w:type="dxa"/>
            <w:vAlign w:val="bottom"/>
            <w:gridSpan w:val="4"/>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8</w:t>
            </w:r>
          </w:p>
        </w:tc>
      </w:tr>
      <w:tr>
        <w:trPr>
          <w:trHeight w:val="20"/>
        </w:trPr>
        <w:tc>
          <w:tcPr>
            <w:tcW w:w="6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72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40"/>
        </w:trPr>
        <w:tc>
          <w:tcPr>
            <w:tcW w:w="1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SELLING STOCKHOLDERS</w:t>
            </w:r>
          </w:p>
        </w:tc>
        <w:tc>
          <w:tcPr>
            <w:tcW w:w="220" w:type="dxa"/>
            <w:vAlign w:val="bottom"/>
          </w:tcPr>
          <w:p>
            <w:pPr>
              <w:spacing w:after="0"/>
              <w:rPr>
                <w:sz w:val="20"/>
                <w:szCs w:val="20"/>
                <w:color w:val="auto"/>
              </w:rPr>
            </w:pPr>
          </w:p>
        </w:tc>
        <w:tc>
          <w:tcPr>
            <w:tcW w:w="6720" w:type="dxa"/>
            <w:vAlign w:val="bottom"/>
            <w:gridSpan w:val="4"/>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14</w:t>
            </w:r>
          </w:p>
        </w:tc>
      </w:tr>
      <w:tr>
        <w:trPr>
          <w:trHeight w:val="240"/>
        </w:trPr>
        <w:tc>
          <w:tcPr>
            <w:tcW w:w="874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PLAN OF DISTRIBUTION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15</w:t>
            </w:r>
          </w:p>
        </w:tc>
      </w:tr>
      <w:tr>
        <w:trPr>
          <w:trHeight w:val="240"/>
        </w:trPr>
        <w:tc>
          <w:tcPr>
            <w:tcW w:w="16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LEGAL MATTERS</w:t>
            </w:r>
          </w:p>
        </w:tc>
        <w:tc>
          <w:tcPr>
            <w:tcW w:w="7100" w:type="dxa"/>
            <w:vAlign w:val="bottom"/>
            <w:gridSpan w:val="6"/>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18</w:t>
            </w:r>
          </w:p>
        </w:tc>
      </w:tr>
      <w:tr>
        <w:trPr>
          <w:trHeight w:val="240"/>
        </w:trPr>
        <w:tc>
          <w:tcPr>
            <w:tcW w:w="6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EXPERTS</w:t>
            </w:r>
          </w:p>
        </w:tc>
        <w:tc>
          <w:tcPr>
            <w:tcW w:w="540" w:type="dxa"/>
            <w:vAlign w:val="bottom"/>
            <w:tcBorders>
              <w:top w:val="single" w:sz="8" w:color="0000FF"/>
            </w:tcBorders>
            <w:gridSpan w:val="2"/>
          </w:tcPr>
          <w:p>
            <w:pPr>
              <w:spacing w:after="0"/>
              <w:rPr>
                <w:sz w:val="20"/>
                <w:szCs w:val="20"/>
                <w:color w:val="auto"/>
              </w:rPr>
            </w:pPr>
          </w:p>
        </w:tc>
        <w:tc>
          <w:tcPr>
            <w:tcW w:w="7580" w:type="dxa"/>
            <w:vAlign w:val="bottom"/>
            <w:gridSpan w:val="8"/>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40"/>
          </w:cols>
          <w:pgMar w:left="320" w:top="1293"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4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Securities and Exchange Commission (the “SEC”) as a “well-known seasoned issuer” as defined in Rule 405 under the Securities Act of 1933, as amended (the “Securities Act”), utilizing a “shelf” registration process. Under this shelf registration process, we and/or the selling stockholders may from time to time sell shares of Class A common stock in one or more offerings.</w:t>
      </w:r>
    </w:p>
    <w:p>
      <w:pPr>
        <w:spacing w:after="0" w:line="9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shares of Class A common stock we and/or any selling stockholders may offer. Each time we and/or the selling stockholders sell shares of Class A common stock, we and/or the selling stockholders will provide one or more prospectus supplements that will contain specific information about the terms of the offering, including the specific amounts, prices and terms of the shares of Class A common stock offered. The prospectus supplement may also add, update or change information contained in this prospectus. You should read this prospectus, any accompanying prospectus supplement and any free writing prospectus prepared by or on behalf of us, together with the additional information described under the headings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Incorporation by Reference</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auto"/>
        </w:rPr>
        <w:t xml:space="preserve"> of this prospectus.</w:t>
      </w:r>
    </w:p>
    <w:p>
      <w:pPr>
        <w:spacing w:after="0" w:line="9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 this prospectus, any accompanying prospectus supplement or in any related free writing prospectus filed by us with the SEC. Neither we nor the selling stockholder have authorized anyone to provide you with different information. We and/or any selling stockholder take no responsibility for, and can provide no assurance as to the reliability of any other information that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We and the selling stockholder are not making offers to sell the securities in any jurisdiction in which an offer or solicitation is not authorized or in which the person making such offer or solicitation is not qualified to do so or to anyone to whom it is unlawful to make an offer or solicitation.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context otherwise requires, all references to the “Company,” “we,” “us” or “our” refer to Perella Weinberg Partners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20"/>
          </w:cols>
          <w:pgMar w:left="300" w:top="1293" w:right="3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44" w:lineRule="exact"/>
        <w:rPr>
          <w:sz w:val="20"/>
          <w:szCs w:val="20"/>
          <w:color w:val="auto"/>
        </w:rPr>
      </w:pPr>
    </w:p>
    <w:p>
      <w:pPr>
        <w:jc w:val="both"/>
        <w:ind w:right="60"/>
        <w:spacing w:after="0" w:line="278"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The SEC also maintains an internet site where reports, proxy and information statements, and other information regarding issuers that file electronically with the SEC are available. Our SEC filings are available to the public over the internet at the SEC’s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xml:space="preserve"> and on our website at </w:t>
      </w:r>
      <w:r>
        <w:rPr>
          <w:rFonts w:ascii="Times New Roman" w:cs="Times New Roman" w:eastAsia="Times New Roman" w:hAnsi="Times New Roman"/>
          <w:sz w:val="14"/>
          <w:szCs w:val="14"/>
          <w:i w:val="1"/>
          <w:iCs w:val="1"/>
          <w:color w:val="auto"/>
        </w:rPr>
        <w:t>https://investors.pwpartners.com</w:t>
      </w:r>
      <w:r>
        <w:rPr>
          <w:rFonts w:ascii="Times New Roman" w:cs="Times New Roman" w:eastAsia="Times New Roman" w:hAnsi="Times New Roman"/>
          <w:sz w:val="14"/>
          <w:szCs w:val="14"/>
          <w:color w:val="auto"/>
        </w:rPr>
        <w:t xml:space="preserve"> free of charge as soon as reasonably practicable after such reports are electronically filed with or furnished to the SEC.</w:t>
      </w:r>
    </w:p>
    <w:p>
      <w:pPr>
        <w:spacing w:after="0" w:line="88" w:lineRule="exact"/>
        <w:rPr>
          <w:sz w:val="20"/>
          <w:szCs w:val="20"/>
          <w:color w:val="auto"/>
        </w:rPr>
      </w:pPr>
    </w:p>
    <w:p>
      <w:pPr>
        <w:ind w:right="320"/>
        <w:spacing w:after="0" w:line="302" w:lineRule="auto"/>
        <w:rPr>
          <w:sz w:val="20"/>
          <w:szCs w:val="20"/>
          <w:color w:val="auto"/>
        </w:rPr>
      </w:pPr>
      <w:r>
        <w:rPr>
          <w:rFonts w:ascii="Times New Roman" w:cs="Times New Roman" w:eastAsia="Times New Roman" w:hAnsi="Times New Roman"/>
          <w:sz w:val="14"/>
          <w:szCs w:val="14"/>
          <w:color w:val="auto"/>
        </w:rPr>
        <w:t xml:space="preserve">Our website is </w:t>
      </w:r>
      <w:r>
        <w:rPr>
          <w:rFonts w:ascii="Times New Roman" w:cs="Times New Roman" w:eastAsia="Times New Roman" w:hAnsi="Times New Roman"/>
          <w:sz w:val="14"/>
          <w:szCs w:val="14"/>
          <w:i w:val="1"/>
          <w:iCs w:val="1"/>
          <w:color w:val="auto"/>
        </w:rPr>
        <w:t>https://pwpartners.com</w:t>
      </w:r>
      <w:r>
        <w:rPr>
          <w:rFonts w:ascii="Times New Roman" w:cs="Times New Roman" w:eastAsia="Times New Roman" w:hAnsi="Times New Roman"/>
          <w:sz w:val="14"/>
          <w:szCs w:val="14"/>
          <w:color w:val="auto"/>
        </w:rPr>
        <w:t>. Although we refer to our website in this prospectus, the contents of our website are not included or incorporated by reference into this prospectus. All references to our website in this prospectus are intended to be inactive textual references only.</w:t>
      </w:r>
    </w:p>
    <w:p>
      <w:pPr>
        <w:spacing w:after="0" w:line="7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shares of our Class A common stock are or may be filed as exhibits to the registration statement or documents incorporated by reference in the registration statement. Statements in this prospectus or any accompanying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4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93"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4"/>
          <w:szCs w:val="14"/>
          <w:color w:val="auto"/>
        </w:rPr>
        <w:t>We incorporate by reference our documents listed below and any future filings made by us with the SEC under Sections 13(a), 13(c), 14 or 15(d) of the Securities Exchange Act of 1934, as amended (the “Exchange Act”),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142" w:lineRule="exact"/>
        <w:rPr>
          <w:sz w:val="20"/>
          <w:szCs w:val="20"/>
          <w:color w:val="auto"/>
        </w:rPr>
      </w:pPr>
    </w:p>
    <w:p>
      <w:pPr>
        <w:ind w:left="520" w:hanging="253"/>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Report on Form 10-K for the fiscal year ended December 31, 2024, filed with the SEC on February 27, 2025;</w:t>
      </w:r>
    </w:p>
    <w:p>
      <w:pPr>
        <w:spacing w:after="0" w:line="142" w:lineRule="exact"/>
        <w:rPr>
          <w:rFonts w:ascii="Times New Roman" w:cs="Times New Roman" w:eastAsia="Times New Roman" w:hAnsi="Times New Roman"/>
          <w:sz w:val="14"/>
          <w:szCs w:val="14"/>
          <w:color w:val="auto"/>
        </w:rPr>
      </w:pPr>
    </w:p>
    <w:p>
      <w:pPr>
        <w:ind w:left="520" w:right="160" w:hanging="253"/>
        <w:spacing w:after="0" w:line="299"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Reports on Form 10-Q for the fiscal quarter ended March 31, 2025, filed with the SEC on May 2, 2025, and for the fiscal quarter ended June 30, 2025, filed with the SEC on August 1, 2025;</w:t>
      </w:r>
    </w:p>
    <w:p>
      <w:pPr>
        <w:spacing w:after="0" w:line="75" w:lineRule="exact"/>
        <w:rPr>
          <w:rFonts w:ascii="Times New Roman" w:cs="Times New Roman" w:eastAsia="Times New Roman" w:hAnsi="Times New Roman"/>
          <w:sz w:val="14"/>
          <w:szCs w:val="14"/>
          <w:color w:val="auto"/>
        </w:rPr>
      </w:pPr>
    </w:p>
    <w:p>
      <w:pPr>
        <w:ind w:left="520" w:right="180" w:hanging="253"/>
        <w:spacing w:after="0" w:line="299"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our Definitive Proxy Statement on Schedule 14A for our 2025 Annual Meeting of Stockholders filed with the SEC on April 8, 2025, specifically incorporated by reference into our Annual Report on Form 10-K for the year ended December 31, 2024;</w:t>
      </w:r>
    </w:p>
    <w:p>
      <w:pPr>
        <w:spacing w:after="0" w:line="75" w:lineRule="exact"/>
        <w:rPr>
          <w:rFonts w:ascii="Times New Roman" w:cs="Times New Roman" w:eastAsia="Times New Roman" w:hAnsi="Times New Roman"/>
          <w:sz w:val="14"/>
          <w:szCs w:val="14"/>
          <w:color w:val="auto"/>
        </w:rPr>
      </w:pPr>
    </w:p>
    <w:p>
      <w:pPr>
        <w:ind w:left="520" w:right="20" w:hanging="253"/>
        <w:spacing w:after="0" w:line="299"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Reports on Form 8-K, filed with the SEC on May 19, 2025, May 30, 2025 (as amended by the Current Report on Form 8-K/A filed with the SEC on August 1, 2025) and August 1, 2025 (but only with respect to Item 5.02);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60"/>
          </w:cols>
          <w:pgMar w:left="300" w:top="1293" w:right="339" w:bottom="1440" w:gutter="0" w:footer="0" w:header="0"/>
        </w:sectPr>
      </w:pPr>
    </w:p>
    <w:bookmarkStart w:id="5" w:name="page6"/>
    <w:bookmarkEnd w:id="5"/>
    <w:p>
      <w:pPr>
        <w:ind w:left="520" w:right="480" w:hanging="253"/>
        <w:spacing w:after="0" w:line="278"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description of our securities contained in our Registration Statement on Form 8-A (File No. 001-39558), filed with he SEC on September 9, 2020, as supplemented by the description of our securities contained in Exhibit 4.2 to our Annual Report on Form 10-K for the fiscal year ended December 31, 2024, filed with the SEC on February 27, 2025, including any amendments or reports filed for the purpose of updating such description.</w:t>
      </w:r>
    </w:p>
    <w:p>
      <w:pPr>
        <w:spacing w:after="0" w:line="90"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Perella Weinberg Partners</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767 Fifth Avenue</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New York, New York 10153</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(212) 287-3200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and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20"/>
          </w:cols>
          <w:pgMar w:left="300" w:top="1295" w:right="37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4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color w:val="auto"/>
        </w:rPr>
        <w:t>Certain statements included or incorporated by reference in this prospectus are “forward looking statements” within the meaning of the federal securities laws, including the Private Securities Litigation Reform Act of 1995, Section 27A of the Securities Act, and Section 21E of the Exchange Act.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Important factors, among others, that may affect actual results or outcomes include but are not limited to:</w:t>
      </w:r>
    </w:p>
    <w:p>
      <w:pPr>
        <w:spacing w:after="0" w:line="142" w:lineRule="exact"/>
        <w:rPr>
          <w:sz w:val="20"/>
          <w:szCs w:val="20"/>
          <w:color w:val="auto"/>
        </w:rPr>
      </w:pPr>
    </w:p>
    <w:p>
      <w:pPr>
        <w:ind w:left="520" w:hanging="25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economic, business and market conditions;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dependence on and ability to retain employees;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successfully identify, recruit, and develop talent;</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impacting the corporate advisory industry;</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dependence on its fee-paying clients and fluctuating revenues from its non-exclusive, engagement-by-engagement business model;</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high volatility of the Company’s revenues as a result of its reliance on advisory fees that are largely contingent on the completion of events which may be out of its control;</w:t>
      </w:r>
    </w:p>
    <w:p>
      <w:pPr>
        <w:spacing w:after="0" w:line="142" w:lineRule="exact"/>
        <w:rPr>
          <w:rFonts w:ascii="Times New Roman" w:cs="Times New Roman" w:eastAsia="Times New Roman" w:hAnsi="Times New Roman"/>
          <w:sz w:val="14"/>
          <w:szCs w:val="14"/>
          <w:color w:val="auto"/>
        </w:rPr>
      </w:pPr>
    </w:p>
    <w:p>
      <w:pPr>
        <w:ind w:left="520" w:right="320" w:hanging="253"/>
        <w:spacing w:after="0" w:line="299"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75"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successful formulation and execution of its business and growth strategies;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litigation risks in the financial services industry;</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and other operational risks;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assumptions relating to the Company’s operations, financial results, financial condition, business prospects, growth strategy and liquidity;</w:t>
      </w:r>
    </w:p>
    <w:p>
      <w:pPr>
        <w:spacing w:after="0" w:line="142" w:lineRule="exact"/>
        <w:rPr>
          <w:rFonts w:ascii="Times New Roman" w:cs="Times New Roman" w:eastAsia="Times New Roman" w:hAnsi="Times New Roman"/>
          <w:sz w:val="14"/>
          <w:szCs w:val="14"/>
          <w:color w:val="auto"/>
        </w:rPr>
      </w:pPr>
    </w:p>
    <w:p>
      <w:pPr>
        <w:ind w:left="520" w:right="260" w:hanging="253"/>
        <w:spacing w:after="0" w:line="299"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extensive regulation of the corporate advisory industry and U.S. and foreign regulatory developments relating to, among other things, financial institutions and markets, government oversight, fiscal and tax policy and laws; and</w:t>
      </w:r>
    </w:p>
    <w:p>
      <w:pPr>
        <w:spacing w:after="0" w:line="73" w:lineRule="exact"/>
        <w:rPr>
          <w:rFonts w:ascii="Times New Roman" w:cs="Times New Roman" w:eastAsia="Times New Roman" w:hAnsi="Times New Roman"/>
          <w:sz w:val="14"/>
          <w:szCs w:val="14"/>
          <w:color w:val="auto"/>
        </w:rPr>
      </w:pPr>
    </w:p>
    <w:p>
      <w:pPr>
        <w:ind w:left="520" w:right="540" w:hanging="253"/>
        <w:spacing w:after="0" w:line="302"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described under the section entitled “</w:t>
      </w:r>
      <w:r>
        <w:rPr>
          <w:rFonts w:ascii="Times New Roman" w:cs="Times New Roman" w:eastAsia="Times New Roman" w:hAnsi="Times New Roman"/>
          <w:sz w:val="14"/>
          <w:szCs w:val="14"/>
          <w:i w:val="1"/>
          <w:iCs w:val="1"/>
          <w:color w:val="auto"/>
        </w:rPr>
        <w:t>Part I—Item 1A. Risk Factors</w:t>
      </w:r>
      <w:r>
        <w:rPr>
          <w:rFonts w:ascii="Times New Roman" w:cs="Times New Roman" w:eastAsia="Times New Roman" w:hAnsi="Times New Roman"/>
          <w:sz w:val="14"/>
          <w:szCs w:val="14"/>
          <w:color w:val="auto"/>
        </w:rPr>
        <w:t>” included in our most recent Annual Report on Form 10-K, as amended by any amendments thereto, and the other documents we file with the SEC from time to time incorporated by reference herein.</w:t>
      </w:r>
    </w:p>
    <w:p>
      <w:pPr>
        <w:spacing w:after="0" w:line="7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forward-looking statements contained or incorporated by reference in this prospectus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00"/>
          </w:cols>
          <w:pgMar w:left="300" w:top="1293" w:right="3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4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We are a leading global independent advisory firm that provides strategic and financial advice to clients across the most active industry sectors and international markets. Our wide range of global clients include large public multinational corporations, mid-sized public and private companies, financial sponsors, individual entrepreneurs, private and institutional investors, creditor committees and government institutions.</w:t>
      </w:r>
    </w:p>
    <w:p>
      <w:pPr>
        <w:spacing w:after="0" w:line="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9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Our business provides services to multiple industry sectors, geographic markets and advisory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strategic and financial decisions, mergers and acquisitions execution, shareholder engagement advisory, financing and capital solutions advice with a focus on restructuring, and liability management, capital markets advisory, and private capital placement, as well as specialized underwriting and research services primarily for the energy and related industries.</w:t>
      </w:r>
    </w:p>
    <w:p>
      <w:pPr>
        <w:spacing w:after="0" w:line="98" w:lineRule="exact"/>
        <w:rPr>
          <w:sz w:val="20"/>
          <w:szCs w:val="20"/>
          <w:color w:val="auto"/>
        </w:rPr>
      </w:pPr>
    </w:p>
    <w:p>
      <w:pPr>
        <w:ind w:right="620"/>
        <w:spacing w:after="0" w:line="299" w:lineRule="auto"/>
        <w:rPr>
          <w:sz w:val="20"/>
          <w:szCs w:val="20"/>
          <w:color w:val="auto"/>
        </w:rPr>
      </w:pPr>
      <w:r>
        <w:rPr>
          <w:rFonts w:ascii="Times New Roman" w:cs="Times New Roman" w:eastAsia="Times New Roman" w:hAnsi="Times New Roman"/>
          <w:sz w:val="14"/>
          <w:szCs w:val="14"/>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42"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767 5th Ave, New York, NY 10153, and our telephone number is (212) 287-3200. Our website is </w:t>
      </w:r>
      <w:r>
        <w:rPr>
          <w:rFonts w:ascii="Times New Roman" w:cs="Times New Roman" w:eastAsia="Times New Roman" w:hAnsi="Times New Roman"/>
          <w:sz w:val="14"/>
          <w:szCs w:val="14"/>
          <w:i w:val="1"/>
          <w:iCs w:val="1"/>
          <w:color w:val="auto"/>
        </w:rPr>
        <w:t>https://pwpartners.com</w:t>
      </w:r>
      <w:r>
        <w:rPr>
          <w:rFonts w:ascii="Times New Roman" w:cs="Times New Roman" w:eastAsia="Times New Roman" w:hAnsi="Times New Roman"/>
          <w:sz w:val="14"/>
          <w:szCs w:val="14"/>
          <w:color w:val="auto"/>
        </w:rPr>
        <w:t>. The information found on, or that can be accessed from or that is hyperlinked to,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293" w:right="31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4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Investing in our Class A common stock involves significant risks. Please see the risk factors under the heading “Risk Factors” in our most recent Annual Report on Form 10-K, as amended by any amendments thereto,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prospectus supplement. These risks could materially affect our business, financial condition or results of operations and cause the value of our Class A common stock to decline.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under the heading “</w:t>
      </w:r>
      <w:r>
        <w:rPr>
          <w:rFonts w:ascii="Times New Roman" w:cs="Times New Roman" w:eastAsia="Times New Roman" w:hAnsi="Times New Roman"/>
          <w:sz w:val="14"/>
          <w:szCs w:val="14"/>
          <w:i w:val="1"/>
          <w:iCs w:val="1"/>
          <w:color w:val="auto"/>
        </w:rPr>
        <w:t>Cautionary Statement Regarding Forward-Looking Statements</w:t>
      </w:r>
      <w:r>
        <w:rPr>
          <w:rFonts w:ascii="Times New Roman" w:cs="Times New Roman" w:eastAsia="Times New Roman" w:hAnsi="Times New Roman"/>
          <w:sz w:val="14"/>
          <w:szCs w:val="14"/>
          <w:color w:val="auto"/>
        </w:rPr>
        <w:t>”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00" w:top="1293" w:right="359" w:bottom="1440" w:gutter="0" w:footer="0" w:header="0"/>
        </w:sectPr>
      </w:pPr>
    </w:p>
    <w:bookmarkStart w:id="9" w:name="page10"/>
    <w:bookmarkEnd w:id="9"/>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44"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We intend to use the net proceeds from the sale of any shares of Class A common stock offered by us under this prospectus for general corporate purposes unless otherwise indicated in the applicable prospectus supplement. General corporate purposes may include, but are not limited to, working capital and share repurchases.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case of a sale of shares of Class A common stock by any selling stockholder, we will not receive any of the proceeds from such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840"/>
          </w:cols>
          <w:pgMar w:left="300" w:top="1293" w:right="7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42"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4"/>
          <w:szCs w:val="14"/>
          <w:i w:val="1"/>
          <w:iCs w:val="1"/>
          <w:color w:val="auto"/>
        </w:rPr>
        <w:t>The following summary of certain material terms of our securities is not intended to be a complete summary of the rights and preferences of such securities. You should refer to our Restated Certificate of Incorporation and Amended and Restated Bylaws, which are included as exhibits to the registration statement of which this prospectus is a part. The summary below is also qualified by reference to the provisions of the Delaware General Corporation Law (the “DGCL”), as applicable.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and Outstanding Stock</w:t>
      </w:r>
    </w:p>
    <w:p>
      <w:pPr>
        <w:spacing w:after="0" w:line="144"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4"/>
          <w:szCs w:val="14"/>
          <w:color w:val="auto"/>
        </w:rPr>
        <w:t>Our authorized capital stock consists of 2,200,000,000 shares, consisting of (a) 2,100,000,000 shares of common stock including (i) 1,500,000,000 shares of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(b) 100,000,000 shares of preferred stock, par value $0.0001 per share. Unless our board of directors determines otherwise, we will issue all shares of our capital stock in uncertificated form.</w:t>
      </w:r>
    </w:p>
    <w:p>
      <w:pPr>
        <w:spacing w:after="0" w:line="93"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4"/>
          <w:szCs w:val="14"/>
          <w:color w:val="auto"/>
        </w:rPr>
        <w:t>As of June 30, 2025, our issued and outstanding share capital consisted of: (i) 62,606,861 shares of Class A common stock, (ii) 24,957,389 shares of Class B-1 common stock, (iii) no shares of Class B-2 common stock, and (iv) no shares of preferred stock. Such numbers do not include DTC participants or beneficial owners holding shares through nominee names.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A Common Stock</w:t>
      </w:r>
    </w:p>
    <w:p>
      <w:pPr>
        <w:spacing w:after="0" w:line="14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99"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4"/>
          <w:szCs w:val="14"/>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pacing w:after="0" w:line="75"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4"/>
          <w:szCs w:val="14"/>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of our Class A common stock do not have preemptive or subscription rights.</w:t>
      </w:r>
    </w:p>
    <w:p>
      <w:pPr>
        <w:spacing w:after="0" w:line="142"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4"/>
          <w:szCs w:val="14"/>
          <w:color w:val="auto"/>
        </w:rPr>
        <w:t>Upon the terms and subject to the conditions of the limited partnership agreement of PWP Holdings LP (“PWP OpCo”),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29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Class B Common Stock</w:t>
      </w:r>
    </w:p>
    <w:p>
      <w:pPr>
        <w:spacing w:after="0" w:line="14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All of our outstanding Class B-1 common stock is held by PWP VoteCo Professionals LP (together with its successors and assigns, as applicable, “VoteCo Professionals”). As a result of our stockholders agreement with VoteCo Professionals, for so long as VoteCo Professionals or its limited partners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“Class B Condition”), each share of our Class B-1 common stock will entitle VoteCo Professionals or certain transferees to 10 votes for each share held of record on all matters submitted to a vote of stockholders. After the Class B Condition ceases to be satisfied, each share of our Class B-1 common stock will entitle VoteCo Professionals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0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spacing w:after="0" w:line="93"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4"/>
          <w:szCs w:val="14"/>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of our Class B common stock do not have preemptive or subscription rights.</w:t>
      </w:r>
    </w:p>
    <w:p>
      <w:pPr>
        <w:spacing w:after="0" w:line="142"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a conversion rate of 0.001.</w:t>
      </w:r>
    </w:p>
    <w:p>
      <w:pPr>
        <w:spacing w:after="0" w:line="90" w:lineRule="exact"/>
        <w:rPr>
          <w:sz w:val="20"/>
          <w:szCs w:val="20"/>
          <w:color w:val="auto"/>
        </w:rPr>
      </w:pPr>
    </w:p>
    <w:p>
      <w:pPr>
        <w:ind w:right="260"/>
        <w:spacing w:after="0" w:line="299" w:lineRule="auto"/>
        <w:rPr>
          <w:sz w:val="20"/>
          <w:szCs w:val="20"/>
          <w:color w:val="auto"/>
        </w:rPr>
      </w:pPr>
      <w:r>
        <w:rPr>
          <w:rFonts w:ascii="Times New Roman" w:cs="Times New Roman" w:eastAsia="Times New Roman" w:hAnsi="Times New Roman"/>
          <w:sz w:val="14"/>
          <w:szCs w:val="14"/>
          <w:color w:val="auto"/>
        </w:rPr>
        <w:t>Holders of our Class B common stock are not permitted to transfer such shares of Class B common stock other than as part of a concurrent transfer of an equal number of PWP OpCo Class A partnership units made to the same transferee in compliance with the restrictions on transfer contained in the limited partnership agreement of PWP OpCo.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44"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4"/>
          <w:szCs w:val="14"/>
          <w:color w:val="auto"/>
        </w:rPr>
        <w:t>Our Restated Certificate of Incorporation authorizes our board of directors to establish one or more classes or series of preferred stock (including convertible preferred stock). Unless required by law or by any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293" w:right="319" w:bottom="1440" w:gutter="0" w:footer="0" w:header="0"/>
        </w:sectPr>
      </w:pPr>
    </w:p>
    <w:bookmarkStart w:id="12" w:name="page13"/>
    <w:bookmarkEnd w:id="12"/>
    <w:p>
      <w:pPr>
        <w:ind w:right="340"/>
        <w:spacing w:after="0" w:line="299" w:lineRule="auto"/>
        <w:rPr>
          <w:sz w:val="20"/>
          <w:szCs w:val="20"/>
          <w:color w:val="auto"/>
        </w:rPr>
      </w:pPr>
      <w:r>
        <w:rPr>
          <w:rFonts w:ascii="Times New Roman" w:cs="Times New Roman" w:eastAsia="Times New Roman" w:hAnsi="Times New Roman"/>
          <w:sz w:val="14"/>
          <w:szCs w:val="14"/>
          <w:color w:val="auto"/>
        </w:rPr>
        <w:t>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75" w:lineRule="exact"/>
        <w:rPr>
          <w:sz w:val="20"/>
          <w:szCs w:val="20"/>
          <w:color w:val="auto"/>
        </w:rPr>
      </w:pPr>
    </w:p>
    <w:p>
      <w:pPr>
        <w:ind w:left="520" w:hanging="253"/>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powers, full or limited, or no voting powers of such class or series;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designations, preferences and relative, participating, optional or other special rights and such qualifications, limitations or restrictions thereof, of such class or series;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rights and price or prices, if any, for shares of such class or series;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if any, will be cumulative or non-cumulative and the related dividend rates, conditions and times for payment and preferences of such class or series;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such class or series upon our dissolution or upon any distribution of our assets; and</w:t>
      </w:r>
    </w:p>
    <w:p>
      <w:pPr>
        <w:spacing w:after="0" w:line="142" w:lineRule="exact"/>
        <w:rPr>
          <w:rFonts w:ascii="Times New Roman" w:cs="Times New Roman" w:eastAsia="Times New Roman" w:hAnsi="Times New Roman"/>
          <w:sz w:val="14"/>
          <w:szCs w:val="14"/>
          <w:color w:val="auto"/>
        </w:rPr>
      </w:pPr>
    </w:p>
    <w:p>
      <w:pPr>
        <w:ind w:left="520" w:right="20" w:hanging="253"/>
        <w:spacing w:after="0" w:line="299"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75" w:lineRule="exact"/>
        <w:rPr>
          <w:sz w:val="20"/>
          <w:szCs w:val="20"/>
          <w:color w:val="auto"/>
        </w:rPr>
      </w:pPr>
    </w:p>
    <w:p>
      <w:pPr>
        <w:jc w:val="both"/>
        <w:ind w:right="40"/>
        <w:spacing w:after="0" w:line="299" w:lineRule="auto"/>
        <w:rPr>
          <w:sz w:val="20"/>
          <w:szCs w:val="20"/>
          <w:color w:val="auto"/>
        </w:rPr>
      </w:pPr>
      <w:r>
        <w:rPr>
          <w:rFonts w:ascii="Times New Roman" w:cs="Times New Roman" w:eastAsia="Times New Roman" w:hAnsi="Times New Roman"/>
          <w:sz w:val="14"/>
          <w:szCs w:val="14"/>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but Unissued Capital Stock</w:t>
      </w:r>
    </w:p>
    <w:p>
      <w:pPr>
        <w:spacing w:after="0" w:line="144"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268"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Opportunities</w:t>
      </w:r>
    </w:p>
    <w:p>
      <w:pPr>
        <w:spacing w:after="0" w:line="14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00" w:top="1295" w:right="359" w:bottom="1440" w:gutter="0" w:footer="0" w:header="0"/>
        </w:sectPr>
      </w:pPr>
    </w:p>
    <w:bookmarkStart w:id="13" w:name="page14"/>
    <w:bookmarkEnd w:id="13"/>
    <w:p>
      <w:pPr>
        <w:ind w:right="80"/>
        <w:spacing w:after="0" w:line="268" w:lineRule="auto"/>
        <w:rPr>
          <w:sz w:val="20"/>
          <w:szCs w:val="20"/>
          <w:color w:val="auto"/>
        </w:rPr>
      </w:pPr>
      <w:r>
        <w:rPr>
          <w:rFonts w:ascii="Times New Roman" w:cs="Times New Roman" w:eastAsia="Times New Roman" w:hAnsi="Times New Roman"/>
          <w:sz w:val="14"/>
          <w:szCs w:val="14"/>
          <w:color w:val="auto"/>
        </w:rPr>
        <w:t>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Forum Selection Clause</w:t>
      </w:r>
    </w:p>
    <w:p>
      <w:pPr>
        <w:spacing w:after="0" w:line="14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Effects of Provisions of Delaware Law, Our Restated Certificate of Incorporation and the Stockholders Agreement</w:t>
      </w:r>
    </w:p>
    <w:p>
      <w:pPr>
        <w:spacing w:after="0" w:line="14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Our Restated Certificate of Incorporation and Amended and Restated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90" w:lineRule="exact"/>
        <w:rPr>
          <w:sz w:val="20"/>
          <w:szCs w:val="20"/>
          <w:color w:val="auto"/>
        </w:rPr>
      </w:pPr>
    </w:p>
    <w:p>
      <w:pPr>
        <w:jc w:val="both"/>
        <w:ind w:right="300"/>
        <w:spacing w:after="0" w:line="278" w:lineRule="auto"/>
        <w:rPr>
          <w:sz w:val="20"/>
          <w:szCs w:val="20"/>
          <w:color w:val="auto"/>
        </w:rPr>
      </w:pPr>
      <w:r>
        <w:rPr>
          <w:rFonts w:ascii="Times New Roman" w:cs="Times New Roman" w:eastAsia="Times New Roman" w:hAnsi="Times New Roman"/>
          <w:sz w:val="14"/>
          <w:szCs w:val="14"/>
          <w:color w:val="auto"/>
        </w:rPr>
        <w:t>Our Restated Certificate of Incorporation provides that our board of directors will be divided into three classes that will be, as nearly as may be possible, of equal size. The initial terms of the Class I, Class II and Class III directors expired at the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w:t>
      </w:r>
    </w:p>
    <w:p>
      <w:pPr>
        <w:spacing w:after="0" w:line="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Amended and Restated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pacing w:after="0" w:line="98"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Our Restated Certificate of Incorporation provides that, except as otherwise required by law, special meetings of our stockholders can only be called by (i) our Chairman of the board of directors, if there be one, (ii) our Chief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295" w:right="319" w:bottom="1440" w:gutter="0" w:footer="0" w:header="0"/>
        </w:sectPr>
      </w:pPr>
    </w:p>
    <w:bookmarkStart w:id="14" w:name="page15"/>
    <w:bookmarkEnd w:id="14"/>
    <w:p>
      <w:pPr>
        <w:ind w:right="60"/>
        <w:spacing w:after="0" w:line="272" w:lineRule="auto"/>
        <w:rPr>
          <w:sz w:val="20"/>
          <w:szCs w:val="20"/>
          <w:color w:val="auto"/>
        </w:rPr>
      </w:pPr>
      <w:r>
        <w:rPr>
          <w:rFonts w:ascii="Times New Roman" w:cs="Times New Roman" w:eastAsia="Times New Roman" w:hAnsi="Times New Roman"/>
          <w:sz w:val="14"/>
          <w:szCs w:val="14"/>
          <w:color w:val="auto"/>
        </w:rPr>
        <w:t>Executive Officer or 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9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addition, under our stockholders agreement with VoteCo Professionals, VoteCo Professionals has the right to designate a number of designees to our board of directors equal to a majority of the board of directors for so long as the Class B Condition is satisfied. For so long as the Class B Condition is no longer satisfied and VoteCo Professionals or its limited partners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VoteCo Professionals will have the right to designate a number of directors (rounded up to the nearest whole number) equal to one third of our board of directors. VoteCo Professionals retains the right to remove any director previously designated by it, with or without cause, for so long as the Class B Condition or the Secondary Class B Condition remains satisfied. For so long as the Class B Condition is satisfied, VoteCo Professionals will also have the right to veto the authorization, approval, or ratification of certain actions or any plan with respect thereto without its prior approval.</w:t>
      </w:r>
    </w:p>
    <w:p>
      <w:pPr>
        <w:spacing w:after="0" w:line="277"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4"/>
          <w:szCs w:val="14"/>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9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foregoing provisions of our Restated Certificate of Incorporation and our stockholders agreement with VoteCo Professionals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w:t>
      </w:r>
    </w:p>
    <w:p>
      <w:pPr>
        <w:spacing w:after="0" w:line="9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 of Directors and Officers</w:t>
      </w:r>
    </w:p>
    <w:p>
      <w:pPr>
        <w:spacing w:after="0" w:line="14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4"/>
          <w:szCs w:val="14"/>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93"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We maintain standard policies of insurance under which coverage is provided (a) to our directors and executive officers against loss arising from claims made by reason of breach of duty or other wrongful act and (b) to us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129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respect to payments which may be made by us to such executive officers and directors pursuant to the above indemnification provision or otherwise as a matter of law.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for our Class A common stock is Equiniti Trust Company, LLC.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Class A common stock is traded on the Nasdaq under the symbol “PWP”.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1295" w:right="1440"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44"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Information about selling stockholders, where applicable, will be set forth in a prospectus supplement, in a post-effective amendment or in filings we make with the SEC under the Exchange Act, which are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40"/>
          </w:cols>
          <w:pgMar w:left="300" w:top="1293" w:right="3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44"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We and/or the selling stockholders may sell the shares of Class A common stock being offered hereby in one or more of the following ways from time to time, which may involve crosses or block transactions:</w:t>
      </w:r>
    </w:p>
    <w:p>
      <w:pPr>
        <w:spacing w:after="0" w:line="75" w:lineRule="exact"/>
        <w:rPr>
          <w:sz w:val="20"/>
          <w:szCs w:val="20"/>
          <w:color w:val="auto"/>
        </w:rPr>
      </w:pPr>
    </w:p>
    <w:p>
      <w:pPr>
        <w:ind w:left="520" w:hanging="253"/>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for resale to purchasers;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dealers to purchasers;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to purchasers;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 including affiliates;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ordinary brokerage transactions and transactions in which the broker-dealer solicits purchasers;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block trades in which the broker-dealer will attempt to sell the shares as agent but may position and resell a portion of the block as principal to facilitate the transaction;</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purchases by a broker-dealer as principal and resale by the broker-dealer for its account;</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 or</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 permitted pursuant to applicable law.</w:t>
      </w:r>
    </w:p>
    <w:p>
      <w:pPr>
        <w:spacing w:after="0" w:line="142"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4"/>
          <w:szCs w:val="14"/>
          <w:color w:val="auto"/>
        </w:rPr>
        <w:t>We and/or the selling stockholders may directly solicit offers to purchase shares of Class A common stock, or agents may be designated to solicit such offers. We and/or the selling stockholders will, in the prospectus supplement relating to such offering, name any agent that could be viewed as an underwriter under the Securities Act, and describe any commissions that we or the selling stockholders, as applicable, must pay. Any such agent will be acting on a best efforts basis for the period of its appointment or, if indicated in the applicable prospectus supplement, on a firm commitment basis.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distribution of the shares of Class A common stock may be effected from time to time in one or more transactions:</w:t>
      </w:r>
    </w:p>
    <w:p>
      <w:pPr>
        <w:spacing w:after="0" w:line="142" w:lineRule="exact"/>
        <w:rPr>
          <w:sz w:val="20"/>
          <w:szCs w:val="20"/>
          <w:color w:val="auto"/>
        </w:rPr>
      </w:pPr>
    </w:p>
    <w:p>
      <w:pPr>
        <w:ind w:left="520" w:hanging="25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 from time to time;</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prospectus supplement will describe the method of distribution of the shares of Class A common stock and any applicable restrictions.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prospectus supplement will describe the terms of the offering of the shares of Class A common stock, including the following:</w:t>
      </w:r>
    </w:p>
    <w:p>
      <w:pPr>
        <w:spacing w:after="0" w:line="142" w:lineRule="exact"/>
        <w:rPr>
          <w:sz w:val="20"/>
          <w:szCs w:val="20"/>
          <w:color w:val="auto"/>
        </w:rPr>
      </w:pPr>
    </w:p>
    <w:p>
      <w:pPr>
        <w:ind w:left="520" w:hanging="253"/>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agent, dealer or any underwriters;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or purchase price and the proceeds we and/or the selling stockholders, as applicable, will receive from the sale of the shares;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re-allowed or paid to the agent or underwriters;</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items constituting underwriting compensation;</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re-allowed or paid to dealers; and</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exchanges on which such offered shares may be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60"/>
          </w:cols>
          <w:pgMar w:left="300" w:top="1293" w:right="339" w:bottom="1440" w:gutter="0" w:footer="0" w:header="0"/>
        </w:sectPr>
      </w:pPr>
    </w:p>
    <w:bookmarkStart w:id="18" w:name="page19"/>
    <w:bookmarkEnd w:id="18"/>
    <w:p>
      <w:pPr>
        <w:spacing w:after="0" w:line="278" w:lineRule="auto"/>
        <w:rPr>
          <w:sz w:val="20"/>
          <w:szCs w:val="20"/>
          <w:color w:val="auto"/>
        </w:rPr>
      </w:pPr>
      <w:r>
        <w:rPr>
          <w:rFonts w:ascii="Times New Roman" w:cs="Times New Roman" w:eastAsia="Times New Roman" w:hAnsi="Times New Roman"/>
          <w:sz w:val="14"/>
          <w:szCs w:val="14"/>
          <w:color w:val="auto"/>
        </w:rPr>
        <w:t>If any underwriters or agents are utilized in the sale of the shares of Class A common stock in respect of which this prospectus is delivered, we and/or the selling stockholders will enter into an underwriting agreement or other agreement with them at the time of sale to them, and the prospectus supplement relating to such offering will set forth the names of the underwriters or agents and the terms of the related agreement with them.</w:t>
      </w:r>
    </w:p>
    <w:p>
      <w:pPr>
        <w:spacing w:after="0" w:line="90" w:lineRule="exact"/>
        <w:rPr>
          <w:sz w:val="20"/>
          <w:szCs w:val="20"/>
          <w:color w:val="auto"/>
        </w:rPr>
      </w:pPr>
    </w:p>
    <w:p>
      <w:pPr>
        <w:ind w:right="260"/>
        <w:spacing w:after="0" w:line="299" w:lineRule="auto"/>
        <w:rPr>
          <w:sz w:val="20"/>
          <w:szCs w:val="20"/>
          <w:color w:val="auto"/>
        </w:rPr>
      </w:pPr>
      <w:r>
        <w:rPr>
          <w:rFonts w:ascii="Times New Roman" w:cs="Times New Roman" w:eastAsia="Times New Roman" w:hAnsi="Times New Roman"/>
          <w:sz w:val="14"/>
          <w:szCs w:val="14"/>
          <w:color w:val="auto"/>
        </w:rPr>
        <w:t>If a dealer is utilized in the sale of the shares of Class A common stock in respect of which this prospectus is delivered, we and/or the selling stockholders will sell such shares to the dealer, as principal. The dealer may then resell such shares to the public at varying prices to be determined by such dealer at the time of resale.</w:t>
      </w:r>
    </w:p>
    <w:p>
      <w:pPr>
        <w:spacing w:after="0" w:line="75"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4"/>
          <w:szCs w:val="14"/>
          <w:color w:val="auto"/>
        </w:rPr>
        <w:t>If we offer shares of Class A common stock in a subscription rights offering to our existing security holders, we may enter into a standby underwriting agreement with dealers, acting as standby underwriters. We may pay the standby underwriters a commitment fee for the shares they commit to purchase on a standby basis. If we do not enter into a standby underwriting arrangement, we may retain a dealer-manager to manage a subscription rights offering for us.</w:t>
      </w:r>
    </w:p>
    <w:p>
      <w:pPr>
        <w:spacing w:after="0" w:line="90"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4"/>
          <w:szCs w:val="14"/>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and/or the selling stockholders will authorize underwriters or other persons acting as our or its agents to solicit offers by certain institutions to purchase shares of Class A common stock from us and/or the selling stockholders pursuant to delayed delivery contracts providing for payment and delivery on the date stated in the prospectus supplement. Each contract will be for an amount not less than, and the aggregate amount of shares of Class A common stock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99" w:lineRule="exact"/>
        <w:rPr>
          <w:sz w:val="20"/>
          <w:szCs w:val="20"/>
          <w:color w:val="auto"/>
        </w:rPr>
      </w:pPr>
    </w:p>
    <w:p>
      <w:pPr>
        <w:ind w:left="520" w:hanging="253"/>
        <w:spacing w:after="0" w:line="269"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by an institution of the shares covered under that contract shall not, at the time of delivery, be prohibited under the laws of the jurisdiction to which that institution is subject; and</w:t>
      </w:r>
    </w:p>
    <w:p>
      <w:pPr>
        <w:spacing w:after="0" w:line="296" w:lineRule="exact"/>
        <w:rPr>
          <w:rFonts w:ascii="Times New Roman" w:cs="Times New Roman" w:eastAsia="Times New Roman" w:hAnsi="Times New Roman"/>
          <w:sz w:val="14"/>
          <w:szCs w:val="14"/>
          <w:color w:val="auto"/>
        </w:rPr>
      </w:pPr>
    </w:p>
    <w:p>
      <w:pPr>
        <w:ind w:left="520" w:right="680" w:hanging="253"/>
        <w:spacing w:after="0" w:line="299"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shares are also being sold to underwriters acting as principals for their own account, the underwriters shall have purchased such shares not sold for delayed delivery. The underwriters and other persons acting as our agents will not have any responsibility in respect of the validity or performance of delayed delivery contracts.</w:t>
      </w:r>
    </w:p>
    <w:p>
      <w:pPr>
        <w:spacing w:after="0" w:line="75"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4"/>
          <w:szCs w:val="14"/>
          <w:color w:val="auto"/>
        </w:rPr>
        <w:t>The selling stockholder may also sell our securities short and deliver the securities to close out their short positions or loan or pledge the securities to broker-dealers that in turn may sell the securities. The selling stockholder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93" w:lineRule="exact"/>
        <w:rPr>
          <w:sz w:val="20"/>
          <w:szCs w:val="20"/>
          <w:color w:val="auto"/>
        </w:rPr>
      </w:pPr>
    </w:p>
    <w:p>
      <w:pPr>
        <w:ind w:right="520"/>
        <w:spacing w:after="0" w:line="299" w:lineRule="auto"/>
        <w:rPr>
          <w:sz w:val="20"/>
          <w:szCs w:val="20"/>
          <w:color w:val="auto"/>
        </w:rPr>
      </w:pPr>
      <w:r>
        <w:rPr>
          <w:rFonts w:ascii="Times New Roman" w:cs="Times New Roman" w:eastAsia="Times New Roman" w:hAnsi="Times New Roman"/>
          <w:sz w:val="14"/>
          <w:szCs w:val="14"/>
          <w:color w:val="auto"/>
        </w:rPr>
        <w:t>Certain agents, underwriters and dealers, and their associates and affiliates may be customers of, have borrowing relationships with, engage in other transactions with, or perform services (including investment banking services) for us, the selling stockholder or one or more of our or their respective affiliates in the ordinary course of business.</w:t>
      </w:r>
    </w:p>
    <w:p>
      <w:pPr>
        <w:spacing w:after="0" w:line="75"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4"/>
          <w:szCs w:val="14"/>
          <w:color w:val="auto"/>
        </w:rPr>
        <w:t>In order to facilitate the offering of the shares of Class A common stock, any underwriters may engage in transactions that stabilize, maintain or otherwise affect the price of the Class A common stock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Class A common stock or of any such other securities, the underwriters may bid for, and purchase, the Class A common stock or any such other securities in the open market. Finally,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80"/>
          </w:cols>
          <w:pgMar w:left="300" w:top="1295" w:right="319" w:bottom="1440" w:gutter="0" w:footer="0" w:header="0"/>
        </w:sectPr>
      </w:pPr>
    </w:p>
    <w:bookmarkStart w:id="19" w:name="page20"/>
    <w:bookmarkEnd w:id="19"/>
    <w:p>
      <w:pPr>
        <w:ind w:right="140"/>
        <w:spacing w:after="0" w:line="272" w:lineRule="auto"/>
        <w:rPr>
          <w:sz w:val="20"/>
          <w:szCs w:val="20"/>
          <w:color w:val="auto"/>
        </w:rPr>
      </w:pPr>
      <w:r>
        <w:rPr>
          <w:rFonts w:ascii="Times New Roman" w:cs="Times New Roman" w:eastAsia="Times New Roman" w:hAnsi="Times New Roman"/>
          <w:sz w:val="14"/>
          <w:szCs w:val="14"/>
          <w:color w:val="auto"/>
        </w:rPr>
        <w:t>any offering of the shares of Class A common stock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Class A common stock above independent market levels. Any such underwriters are not required to engage in these activities and may end any of these activities at any time.</w:t>
      </w:r>
    </w:p>
    <w:p>
      <w:pPr>
        <w:spacing w:after="0" w:line="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The selling stockholders will be subject to the applicable provisions of the Exchange Act and the rules and regulations under the Exchange Act, including Regulation M. This regulation may limit the timing of purchases and sales of any of the securities offered in this prospectus by the selling stockholder. The anti-manipulation rules under the Exchange Act may apply to sales of the securities in the market and to the activities of the selling stockholder and its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98"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Instead of selling the shares of Class A common stock under this prospectus, the selling stockholders may sell the shares of Class A common stock in compliance with the provisions of Rule 144 under the Securities Act, if available, or pursuant to other available exemptions from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60"/>
          </w:cols>
          <w:pgMar w:left="300" w:top="1295"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44"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Mayer Brown LLP, New York, New York, will pass upon certain legal matters relating to the issuance and/or sale of the securities offered hereby. Additional legal matters may be passed upon for us or any underwriters, dealers or agents, by counsel that we will name in the applicable prospectus supplement.</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4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4"/>
          <w:szCs w:val="14"/>
          <w:color w:val="auto"/>
        </w:rPr>
        <w:t>The consolidated financial statements of Perella Weinberg Partners appearing in Perella Weinberg Partners’ Annual Report (Form 10-K) for the year ended December 31, 2024, and the effectiveness of Perella Weinberg Partners’ internal control over financial reporting as of December 31, 2024,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60"/>
          </w:cols>
          <w:pgMar w:left="300" w:top="129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1"/>
        </w:trPr>
        <w:tc>
          <w:tcPr>
            <w:tcW w:w="9720" w:type="dxa"/>
            <w:vAlign w:val="bottom"/>
          </w:tcPr>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1560" w:type="dxa"/>
            <w:vAlign w:val="bottom"/>
          </w:tcPr>
          <w:p>
            <w:pPr>
              <w:spacing w:after="0"/>
              <w:rPr>
                <w:sz w:val="16"/>
                <w:szCs w:val="16"/>
                <w:color w:val="auto"/>
              </w:rPr>
            </w:pPr>
          </w:p>
        </w:tc>
      </w:tr>
      <w:tr>
        <w:trPr>
          <w:trHeight w:val="303"/>
        </w:trPr>
        <w:tc>
          <w:tcPr>
            <w:tcW w:w="9720" w:type="dxa"/>
            <w:vAlign w:val="bottom"/>
          </w:tcPr>
          <w:p>
            <w:pPr>
              <w:ind w:left="39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tc>
        <w:tc>
          <w:tcPr>
            <w:tcW w:w="1560" w:type="dxa"/>
            <w:vAlign w:val="bottom"/>
          </w:tcPr>
          <w:p>
            <w:pPr>
              <w:spacing w:after="0"/>
              <w:rPr>
                <w:sz w:val="24"/>
                <w:szCs w:val="24"/>
                <w:color w:val="auto"/>
              </w:rPr>
            </w:pPr>
          </w:p>
        </w:tc>
      </w:tr>
      <w:tr>
        <w:trPr>
          <w:trHeight w:val="303"/>
        </w:trPr>
        <w:tc>
          <w:tcPr>
            <w:tcW w:w="9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tc>
        <w:tc>
          <w:tcPr>
            <w:tcW w:w="1560" w:type="dxa"/>
            <w:vAlign w:val="bottom"/>
          </w:tcPr>
          <w:p>
            <w:pPr>
              <w:spacing w:after="0"/>
              <w:rPr>
                <w:sz w:val="24"/>
                <w:szCs w:val="24"/>
                <w:color w:val="auto"/>
              </w:rPr>
            </w:pPr>
          </w:p>
        </w:tc>
      </w:tr>
      <w:tr>
        <w:trPr>
          <w:trHeight w:val="303"/>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sets forth the various expenses to be incurred in connection with the sale and distribution of the securities being registered.</w:t>
            </w:r>
          </w:p>
        </w:tc>
        <w:tc>
          <w:tcPr>
            <w:tcW w:w="1560" w:type="dxa"/>
            <w:vAlign w:val="bottom"/>
          </w:tcPr>
          <w:p>
            <w:pPr>
              <w:spacing w:after="0"/>
              <w:rPr>
                <w:sz w:val="24"/>
                <w:szCs w:val="24"/>
                <w:color w:val="auto"/>
              </w:rPr>
            </w:pPr>
          </w:p>
        </w:tc>
      </w:tr>
      <w:tr>
        <w:trPr>
          <w:trHeight w:val="293"/>
        </w:trPr>
        <w:tc>
          <w:tcPr>
            <w:tcW w:w="9720" w:type="dxa"/>
            <w:vAlign w:val="bottom"/>
          </w:tcPr>
          <w:p>
            <w:pPr>
              <w:spacing w:after="0"/>
              <w:rPr>
                <w:sz w:val="24"/>
                <w:szCs w:val="24"/>
                <w:color w:val="auto"/>
              </w:rPr>
            </w:pPr>
          </w:p>
        </w:tc>
        <w:tc>
          <w:tcPr>
            <w:tcW w:w="1560" w:type="dxa"/>
            <w:vAlign w:val="bottom"/>
          </w:tcPr>
          <w:p>
            <w:pPr>
              <w:jc w:val="right"/>
              <w:ind w:right="509"/>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20"/>
        </w:trPr>
        <w:tc>
          <w:tcPr>
            <w:tcW w:w="97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 registration fee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FINRA filing fee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Printing fees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fees and expenses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 agent fees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Miscellaneous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972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w:t>
            </w:r>
          </w:p>
        </w:tc>
        <w:tc>
          <w:tcPr>
            <w:tcW w:w="1560" w:type="dxa"/>
            <w:vAlign w:val="bottom"/>
          </w:tcPr>
          <w:p>
            <w:pPr>
              <w:spacing w:after="0"/>
              <w:rPr>
                <w:sz w:val="15"/>
                <w:szCs w:val="15"/>
                <w:color w:val="auto"/>
              </w:rPr>
            </w:pPr>
          </w:p>
        </w:tc>
      </w:tr>
      <w:tr>
        <w:trPr>
          <w:trHeight w:val="141"/>
        </w:trPr>
        <w:tc>
          <w:tcPr>
            <w:tcW w:w="9720" w:type="dxa"/>
            <w:vAlign w:val="bottom"/>
          </w:tcPr>
          <w:p>
            <w:pPr>
              <w:spacing w:after="0"/>
              <w:rPr>
                <w:sz w:val="20"/>
                <w:szCs w:val="20"/>
                <w:color w:val="auto"/>
              </w:rPr>
            </w:pPr>
            <w:r>
              <w:rPr>
                <w:rFonts w:ascii="Times New Roman" w:cs="Times New Roman" w:eastAsia="Times New Roman" w:hAnsi="Times New Roman"/>
                <w:sz w:val="12"/>
                <w:szCs w:val="12"/>
                <w:color w:val="auto"/>
              </w:rPr>
              <w:t>*   Deferred in reliance on Rules 456(b) and 457(r) under the Securities Act.</w:t>
            </w:r>
          </w:p>
        </w:tc>
        <w:tc>
          <w:tcPr>
            <w:tcW w:w="1560" w:type="dxa"/>
            <w:vAlign w:val="bottom"/>
          </w:tcPr>
          <w:p>
            <w:pPr>
              <w:spacing w:after="0"/>
              <w:rPr>
                <w:sz w:val="12"/>
                <w:szCs w:val="12"/>
                <w:color w:val="auto"/>
              </w:rPr>
            </w:pPr>
          </w:p>
        </w:tc>
      </w:tr>
      <w:tr>
        <w:trPr>
          <w:trHeight w:val="149"/>
        </w:trPr>
        <w:tc>
          <w:tcPr>
            <w:tcW w:w="9720" w:type="dxa"/>
            <w:vAlign w:val="bottom"/>
          </w:tcPr>
          <w:p>
            <w:pPr>
              <w:spacing w:after="0"/>
              <w:rPr>
                <w:sz w:val="20"/>
                <w:szCs w:val="20"/>
                <w:color w:val="auto"/>
              </w:rPr>
            </w:pPr>
            <w:r>
              <w:rPr>
                <w:rFonts w:ascii="Times New Roman" w:cs="Times New Roman" w:eastAsia="Times New Roman" w:hAnsi="Times New Roman"/>
                <w:sz w:val="12"/>
                <w:szCs w:val="12"/>
                <w:color w:val="auto"/>
              </w:rPr>
              <w:t>**  Since an indeterminate amount of securities is covered by this registration statement, the expenses in connection with the issuance and distribution of the securities are not currently determinable.</w:t>
            </w:r>
          </w:p>
        </w:tc>
        <w:tc>
          <w:tcPr>
            <w:tcW w:w="1560" w:type="dxa"/>
            <w:vAlign w:val="bottom"/>
          </w:tcPr>
          <w:p>
            <w:pPr>
              <w:spacing w:after="0"/>
              <w:rPr>
                <w:sz w:val="12"/>
                <w:szCs w:val="12"/>
                <w:color w:val="auto"/>
              </w:rPr>
            </w:pPr>
          </w:p>
        </w:tc>
      </w:tr>
      <w:tr>
        <w:trPr>
          <w:trHeight w:val="357"/>
        </w:trPr>
        <w:tc>
          <w:tcPr>
            <w:tcW w:w="9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tc>
        <w:tc>
          <w:tcPr>
            <w:tcW w:w="1560" w:type="dxa"/>
            <w:vAlign w:val="bottom"/>
          </w:tcPr>
          <w:p>
            <w:pPr>
              <w:spacing w:after="0"/>
              <w:rPr>
                <w:sz w:val="24"/>
                <w:szCs w:val="24"/>
                <w:color w:val="auto"/>
              </w:rPr>
            </w:pPr>
          </w:p>
        </w:tc>
      </w:tr>
    </w:tbl>
    <w:p>
      <w:pPr>
        <w:spacing w:after="0" w:line="115"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Section 145 of the DGCL,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9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4"/>
          <w:szCs w:val="14"/>
          <w:color w:val="auto"/>
        </w:rPr>
        <w:t>Our Restated Certificate of Incorporation provides that our officers and directors are indemnified by us to the fullest extent authorized by Delaware law, as it now exists or may in the future be amended. In addition, our Restated Certificate of Incorporation provides that our directors will not be personally liable for monetary damages to us or our stockholders for breaches of their fiduciary duty as directors, except to the extent such exemption from liability or limitation thereof is not permitted under the DGCL as the same exists or may hereafter be amended.</w:t>
      </w:r>
    </w:p>
    <w:p>
      <w:pPr>
        <w:spacing w:after="0" w:line="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Our Amended and Restated Bylaws permit us to secure insurance on behalf of any officer, director, employee or agent of the Company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In addition, we have entered into indemnification agreements with each of our officers and directors, a form of which is incorporated by reference in this registration statement.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99" w:lineRule="exact"/>
        <w:rPr>
          <w:sz w:val="20"/>
          <w:szCs w:val="20"/>
          <w:color w:val="auto"/>
        </w:rPr>
      </w:pPr>
    </w:p>
    <w:p>
      <w:pPr>
        <w:ind w:right="260"/>
        <w:spacing w:after="0" w:line="299"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1280"/>
          </w:cols>
          <w:pgMar w:left="300" w:top="129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13"/>
                <w:szCs w:val="13"/>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8"/>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r>
      <w:tr>
        <w:trPr>
          <w:trHeight w:val="227"/>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2"/>
          </w:tcPr>
          <w:p>
            <w:pPr>
              <w:spacing w:after="0"/>
              <w:rPr>
                <w:rFonts w:ascii="Times New Roman" w:cs="Times New Roman" w:eastAsia="Times New Roman" w:hAnsi="Times New Roman"/>
                <w:sz w:val="14"/>
                <w:szCs w:val="14"/>
                <w:color w:val="0000FF"/>
              </w:rPr>
            </w:pPr>
            <w:hyperlink r:id="rId16">
              <w:r>
                <w:rPr>
                  <w:rFonts w:ascii="Times New Roman" w:cs="Times New Roman" w:eastAsia="Times New Roman" w:hAnsi="Times New Roman"/>
                  <w:sz w:val="14"/>
                  <w:szCs w:val="14"/>
                  <w:color w:val="0000FF"/>
                </w:rPr>
                <w:t>Restated Certificate of Incorporation of Perella Weinberg Partners (incorporated by reference to Exhibit 3.1 to Amendment No. 1 to the Company’s Registration Statement</w:t>
              </w:r>
            </w:hyperlink>
          </w:p>
        </w:tc>
      </w:tr>
      <w:tr>
        <w:trPr>
          <w:trHeight w:val="121"/>
        </w:trPr>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80" w:type="dxa"/>
            <w:vAlign w:val="bottom"/>
            <w:tcBorders>
              <w:top w:val="single" w:sz="8" w:color="0000FF"/>
            </w:tcBorders>
            <w:gridSpan w:val="11"/>
          </w:tcPr>
          <w:p>
            <w:pPr>
              <w:spacing w:after="0" w:line="121" w:lineRule="exact"/>
              <w:rPr>
                <w:rFonts w:ascii="Times New Roman" w:cs="Times New Roman" w:eastAsia="Times New Roman" w:hAnsi="Times New Roman"/>
                <w:sz w:val="14"/>
                <w:szCs w:val="14"/>
                <w:color w:val="0000FF"/>
              </w:rPr>
            </w:pPr>
            <w:hyperlink r:id="rId16">
              <w:r>
                <w:rPr>
                  <w:rFonts w:ascii="Times New Roman" w:cs="Times New Roman" w:eastAsia="Times New Roman" w:hAnsi="Times New Roman"/>
                  <w:sz w:val="14"/>
                  <w:szCs w:val="14"/>
                  <w:color w:val="0000FF"/>
                </w:rPr>
                <w:t>on Form S-1 (File No. 333-261785), filed with the SEC on January 13, 2022).</w:t>
              </w:r>
            </w:hyperlink>
          </w:p>
        </w:tc>
        <w:tc>
          <w:tcPr>
            <w:tcW w:w="40" w:type="dxa"/>
            <w:vAlign w:val="bottom"/>
          </w:tcPr>
          <w:p>
            <w:pPr>
              <w:spacing w:after="0"/>
              <w:rPr>
                <w:sz w:val="10"/>
                <w:szCs w:val="10"/>
                <w:color w:val="auto"/>
              </w:rPr>
            </w:pPr>
          </w:p>
        </w:tc>
      </w:tr>
      <w:tr>
        <w:trPr>
          <w:trHeight w:val="20"/>
        </w:trPr>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51"/>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12"/>
          </w:tcPr>
          <w:p>
            <w:pPr>
              <w:spacing w:after="0"/>
              <w:rPr>
                <w:rFonts w:ascii="Times New Roman" w:cs="Times New Roman" w:eastAsia="Times New Roman" w:hAnsi="Times New Roman"/>
                <w:sz w:val="14"/>
                <w:szCs w:val="14"/>
                <w:color w:val="0000FF"/>
              </w:rPr>
            </w:pPr>
            <w:hyperlink r:id="rId17">
              <w:r>
                <w:rPr>
                  <w:rFonts w:ascii="Times New Roman" w:cs="Times New Roman" w:eastAsia="Times New Roman" w:hAnsi="Times New Roman"/>
                  <w:sz w:val="14"/>
                  <w:szCs w:val="14"/>
                  <w:color w:val="0000FF"/>
                </w:rPr>
                <w:t>Amended and Restated Bylaws of Perella Weinberg Partners (incorporated by reference to Exhibit 3.2 to the Company’s Current Report on Form 8-K, filed with the SEC</w:t>
              </w:r>
            </w:hyperlink>
          </w:p>
        </w:tc>
      </w:tr>
      <w:tr>
        <w:trPr>
          <w:trHeight w:val="121"/>
        </w:trPr>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top w:val="single" w:sz="8" w:color="0000FF"/>
              <w:bottom w:val="single" w:sz="8" w:color="0000FF"/>
            </w:tcBorders>
            <w:gridSpan w:val="3"/>
          </w:tcPr>
          <w:p>
            <w:pPr>
              <w:spacing w:after="0" w:line="121" w:lineRule="exact"/>
              <w:rPr>
                <w:rFonts w:ascii="Times New Roman" w:cs="Times New Roman" w:eastAsia="Times New Roman" w:hAnsi="Times New Roman"/>
                <w:sz w:val="14"/>
                <w:szCs w:val="14"/>
                <w:color w:val="0000FF"/>
              </w:rPr>
            </w:pPr>
            <w:hyperlink r:id="rId17">
              <w:r>
                <w:rPr>
                  <w:rFonts w:ascii="Times New Roman" w:cs="Times New Roman" w:eastAsia="Times New Roman" w:hAnsi="Times New Roman"/>
                  <w:sz w:val="14"/>
                  <w:szCs w:val="14"/>
                  <w:color w:val="0000FF"/>
                </w:rPr>
                <w:t>on June 30, 2021).</w:t>
              </w:r>
            </w:hyperlink>
          </w:p>
        </w:tc>
        <w:tc>
          <w:tcPr>
            <w:tcW w:w="8720" w:type="dxa"/>
            <w:vAlign w:val="bottom"/>
            <w:tcBorders>
              <w:top w:val="single" w:sz="8" w:color="0000FF"/>
            </w:tcBorders>
            <w:gridSpan w:val="7"/>
          </w:tcPr>
          <w:p>
            <w:pPr>
              <w:spacing w:after="0"/>
              <w:rPr>
                <w:sz w:val="10"/>
                <w:szCs w:val="10"/>
                <w:color w:val="auto"/>
              </w:rPr>
            </w:pPr>
          </w:p>
        </w:tc>
        <w:tc>
          <w:tcPr>
            <w:tcW w:w="120" w:type="dxa"/>
            <w:vAlign w:val="bottom"/>
            <w:gridSpan w:val="2"/>
          </w:tcPr>
          <w:p>
            <w:pPr>
              <w:spacing w:after="0"/>
              <w:rPr>
                <w:sz w:val="10"/>
                <w:szCs w:val="10"/>
                <w:color w:val="auto"/>
              </w:rPr>
            </w:pPr>
          </w:p>
        </w:tc>
      </w:tr>
      <w:tr>
        <w:trPr>
          <w:trHeight w:val="251"/>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12"/>
          </w:tcPr>
          <w:p>
            <w:pPr>
              <w:spacing w:after="0"/>
              <w:rPr>
                <w:rFonts w:ascii="Times New Roman" w:cs="Times New Roman" w:eastAsia="Times New Roman" w:hAnsi="Times New Roman"/>
                <w:sz w:val="14"/>
                <w:szCs w:val="14"/>
                <w:color w:val="0000FF"/>
              </w:rPr>
            </w:pPr>
            <w:hyperlink r:id="rId18">
              <w:r>
                <w:rPr>
                  <w:rFonts w:ascii="Times New Roman" w:cs="Times New Roman" w:eastAsia="Times New Roman" w:hAnsi="Times New Roman"/>
                  <w:sz w:val="14"/>
                  <w:szCs w:val="14"/>
                  <w:color w:val="0000FF"/>
                </w:rPr>
                <w:t>Specimen Class A Common Stock Certificate (incorporated by reference to Exhibit 4.1 to the Company’s Current Report on Form 8-K, filed with the SEC on June 30,</w:t>
              </w:r>
            </w:hyperlink>
          </w:p>
        </w:tc>
      </w:tr>
      <w:tr>
        <w:trPr>
          <w:trHeight w:val="121"/>
        </w:trPr>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top w:val="single" w:sz="8" w:color="0000FF"/>
              <w:bottom w:val="single" w:sz="8" w:color="0000FF"/>
            </w:tcBorders>
          </w:tcPr>
          <w:p>
            <w:pPr>
              <w:spacing w:after="0" w:line="121" w:lineRule="exact"/>
              <w:rPr>
                <w:rFonts w:ascii="Times New Roman" w:cs="Times New Roman" w:eastAsia="Times New Roman" w:hAnsi="Times New Roman"/>
                <w:sz w:val="14"/>
                <w:szCs w:val="14"/>
                <w:color w:val="0000FF"/>
                <w:w w:val="99"/>
              </w:rPr>
            </w:pPr>
            <w:hyperlink r:id="rId18">
              <w:r>
                <w:rPr>
                  <w:rFonts w:ascii="Times New Roman" w:cs="Times New Roman" w:eastAsia="Times New Roman" w:hAnsi="Times New Roman"/>
                  <w:sz w:val="14"/>
                  <w:szCs w:val="14"/>
                  <w:color w:val="0000FF"/>
                  <w:w w:val="99"/>
                </w:rPr>
                <w:t>2021).</w:t>
              </w:r>
            </w:hyperlink>
          </w:p>
        </w:tc>
        <w:tc>
          <w:tcPr>
            <w:tcW w:w="6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148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120" w:type="dxa"/>
            <w:vAlign w:val="bottom"/>
            <w:tcBorders>
              <w:top w:val="single" w:sz="8" w:color="0000FF"/>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51"/>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Opinion of Mayer Brown LLP.</w:t>
            </w:r>
          </w:p>
        </w:tc>
      </w:tr>
      <w:tr>
        <w:trPr>
          <w:trHeight w:val="20"/>
        </w:trPr>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r>
      <w:tr>
        <w:trPr>
          <w:trHeight w:val="240"/>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Consent of Ernst &amp; Young LLP, independent registered accounting firm.</w:t>
            </w:r>
          </w:p>
        </w:tc>
      </w:tr>
      <w:tr>
        <w:trPr>
          <w:trHeight w:val="240"/>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Consent of Mayer Brown LLP (included in Exhibit 5.1).</w:t>
            </w:r>
          </w:p>
        </w:tc>
        <w:tc>
          <w:tcPr>
            <w:tcW w:w="920" w:type="dxa"/>
            <w:vAlign w:val="bottom"/>
            <w:tcBorders>
              <w:top w:val="single" w:sz="8" w:color="0000FF"/>
            </w:tcBorders>
          </w:tcPr>
          <w:p>
            <w:pPr>
              <w:spacing w:after="0"/>
              <w:rPr>
                <w:sz w:val="20"/>
                <w:szCs w:val="20"/>
                <w:color w:val="auto"/>
              </w:rPr>
            </w:pPr>
          </w:p>
        </w:tc>
        <w:tc>
          <w:tcPr>
            <w:tcW w:w="5740" w:type="dxa"/>
            <w:vAlign w:val="bottom"/>
            <w:gridSpan w:val="6"/>
          </w:tcPr>
          <w:p>
            <w:pPr>
              <w:spacing w:after="0"/>
              <w:rPr>
                <w:sz w:val="20"/>
                <w:szCs w:val="20"/>
                <w:color w:val="auto"/>
              </w:rPr>
            </w:pPr>
          </w:p>
        </w:tc>
      </w:tr>
      <w:tr>
        <w:trPr>
          <w:trHeight w:val="240"/>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Power of Attorney (incorporated by reference to the signature page hereto).</w:t>
            </w:r>
          </w:p>
        </w:tc>
      </w:tr>
      <w:tr>
        <w:trPr>
          <w:trHeight w:val="240"/>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Filing Fee Table.</w:t>
            </w:r>
          </w:p>
        </w:tc>
        <w:tc>
          <w:tcPr>
            <w:tcW w:w="5560" w:type="dxa"/>
            <w:vAlign w:val="bottom"/>
            <w:gridSpan w:val="5"/>
          </w:tcPr>
          <w:p>
            <w:pPr>
              <w:spacing w:after="0"/>
              <w:rPr>
                <w:sz w:val="20"/>
                <w:szCs w:val="20"/>
                <w:color w:val="auto"/>
              </w:rPr>
            </w:pPr>
          </w:p>
        </w:tc>
      </w:tr>
      <w:tr>
        <w:trPr>
          <w:trHeight w:val="21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ind w:left="260" w:right="100" w:hanging="253"/>
        <w:spacing w:after="0" w:line="241" w:lineRule="auto"/>
        <w:tabs>
          <w:tab w:leader="none" w:pos="253"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filed, if necessary, by amendment to this registration statement or incorporated by reference from documents filed or to be filed with the SEC under the Securities Exchange Act of 1934, as amended, in connection with any offering of securities.</w:t>
      </w:r>
    </w:p>
    <w:p>
      <w:pPr>
        <w:spacing w:after="0" w:line="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0"/>
          <w:szCs w:val="10"/>
          <w:color w:val="auto"/>
        </w:rPr>
        <w:t>Filed herewith.</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42" w:lineRule="exact"/>
        <w:rPr>
          <w:sz w:val="20"/>
          <w:szCs w:val="20"/>
          <w:color w:val="auto"/>
        </w:rPr>
      </w:pPr>
    </w:p>
    <w:p>
      <w:pPr>
        <w:ind w:left="520" w:hanging="253"/>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42" w:lineRule="exact"/>
        <w:rPr>
          <w:rFonts w:ascii="Times New Roman" w:cs="Times New Roman" w:eastAsia="Times New Roman" w:hAnsi="Times New Roman"/>
          <w:sz w:val="14"/>
          <w:szCs w:val="14"/>
          <w:color w:val="auto"/>
        </w:rPr>
      </w:pPr>
    </w:p>
    <w:p>
      <w:pPr>
        <w:ind w:left="780" w:hanging="253"/>
        <w:spacing w:after="0"/>
        <w:tabs>
          <w:tab w:leader="none" w:pos="7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42" w:lineRule="exact"/>
        <w:rPr>
          <w:rFonts w:ascii="Times New Roman" w:cs="Times New Roman" w:eastAsia="Times New Roman" w:hAnsi="Times New Roman"/>
          <w:sz w:val="14"/>
          <w:szCs w:val="14"/>
          <w:color w:val="auto"/>
        </w:rPr>
      </w:pPr>
    </w:p>
    <w:p>
      <w:pPr>
        <w:ind w:left="780" w:right="100" w:hanging="253"/>
        <w:spacing w:after="0" w:line="266" w:lineRule="auto"/>
        <w:tabs>
          <w:tab w:leader="none" w:pos="772"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Filing Fee Tables” or “Calculation of Registration Fee” table, as applicable in the effective registration statement; and</w:t>
      </w:r>
    </w:p>
    <w:p>
      <w:pPr>
        <w:spacing w:after="0" w:line="99" w:lineRule="exact"/>
        <w:rPr>
          <w:rFonts w:ascii="Times New Roman" w:cs="Times New Roman" w:eastAsia="Times New Roman" w:hAnsi="Times New Roman"/>
          <w:sz w:val="14"/>
          <w:szCs w:val="14"/>
          <w:color w:val="auto"/>
        </w:rPr>
      </w:pPr>
    </w:p>
    <w:p>
      <w:pPr>
        <w:ind w:left="780" w:right="180" w:hanging="253"/>
        <w:spacing w:after="0" w:line="299" w:lineRule="auto"/>
        <w:tabs>
          <w:tab w:leader="none" w:pos="7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this registration statement;</w:t>
      </w:r>
    </w:p>
    <w:p>
      <w:pPr>
        <w:spacing w:after="0" w:line="73"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subparagraphs (i), (ii), and (iii) above do not apply if the registration statement is on Form S-3 and the information required to be included in a post-effective amendment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those paragraphs is contained in reports filed with or furnished to the SEC by the registrant pursuant to Section 13 or Section 15(d) of the Exchange Act that are incorporated by reference in this registration statement, or, as to a registration statement on Form S-3, is contained in a form of prospectus filed pursuant to Rule 424(b) that is part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1280"/>
          </w:cols>
          <w:pgMar w:left="300" w:top="1293" w:right="319" w:bottom="1440" w:gutter="0" w:footer="0" w:header="0"/>
        </w:sectPr>
      </w:pPr>
    </w:p>
    <w:bookmarkStart w:id="23" w:name="page24"/>
    <w:bookmarkEnd w:id="23"/>
    <w:p>
      <w:pPr>
        <w:ind w:left="260" w:right="520" w:hanging="253"/>
        <w:spacing w:after="0" w:line="299" w:lineRule="auto"/>
        <w:tabs>
          <w:tab w:leader="none" w:pos="25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42"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4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registrant is relying on Rule 430B:</w:t>
      </w:r>
    </w:p>
    <w:p>
      <w:pPr>
        <w:spacing w:after="0" w:line="142" w:lineRule="exact"/>
        <w:rPr>
          <w:rFonts w:ascii="Times New Roman" w:cs="Times New Roman" w:eastAsia="Times New Roman" w:hAnsi="Times New Roman"/>
          <w:sz w:val="14"/>
          <w:szCs w:val="14"/>
          <w:color w:val="auto"/>
        </w:rPr>
      </w:pPr>
    </w:p>
    <w:p>
      <w:pPr>
        <w:ind w:left="780" w:right="100" w:hanging="254"/>
        <w:spacing w:after="0" w:line="299" w:lineRule="auto"/>
        <w:tabs>
          <w:tab w:leader="none" w:pos="775" w:val="left"/>
        </w:tabs>
        <w:numPr>
          <w:ilvl w:val="2"/>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Times New Roman" w:cs="Times New Roman" w:eastAsia="Times New Roman" w:hAnsi="Times New Roman"/>
          <w:sz w:val="14"/>
          <w:szCs w:val="14"/>
          <w:color w:val="auto"/>
        </w:rPr>
      </w:pPr>
    </w:p>
    <w:p>
      <w:pPr>
        <w:ind w:left="780" w:right="20" w:hanging="254"/>
        <w:spacing w:after="0" w:line="263" w:lineRule="auto"/>
        <w:tabs>
          <w:tab w:leader="none" w:pos="777" w:val="left"/>
        </w:tabs>
        <w:numPr>
          <w:ilvl w:val="2"/>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1" w:lineRule="exact"/>
        <w:rPr>
          <w:rFonts w:ascii="Times New Roman" w:cs="Times New Roman" w:eastAsia="Times New Roman" w:hAnsi="Times New Roman"/>
          <w:sz w:val="14"/>
          <w:szCs w:val="14"/>
          <w:color w:val="auto"/>
        </w:rPr>
      </w:pPr>
    </w:p>
    <w:p>
      <w:pPr>
        <w:ind w:left="260" w:right="60" w:hanging="253"/>
        <w:spacing w:after="0" w:line="272" w:lineRule="auto"/>
        <w:tabs>
          <w:tab w:leader="none" w:pos="25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42" w:lineRule="exact"/>
        <w:rPr>
          <w:rFonts w:ascii="Times New Roman" w:cs="Times New Roman" w:eastAsia="Times New Roman" w:hAnsi="Times New Roman"/>
          <w:sz w:val="14"/>
          <w:szCs w:val="14"/>
          <w:color w:val="auto"/>
        </w:rPr>
      </w:pPr>
    </w:p>
    <w:p>
      <w:pPr>
        <w:ind w:left="560" w:hanging="293"/>
        <w:spacing w:after="0"/>
        <w:tabs>
          <w:tab w:leader="none" w:pos="56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42" w:lineRule="exact"/>
        <w:rPr>
          <w:rFonts w:ascii="Times New Roman" w:cs="Times New Roman" w:eastAsia="Times New Roman" w:hAnsi="Times New Roman"/>
          <w:sz w:val="14"/>
          <w:szCs w:val="14"/>
          <w:color w:val="auto"/>
        </w:rPr>
      </w:pPr>
    </w:p>
    <w:p>
      <w:pPr>
        <w:ind w:left="520" w:right="60" w:hanging="253"/>
        <w:spacing w:after="0" w:line="299" w:lineRule="auto"/>
        <w:tabs>
          <w:tab w:leader="none" w:pos="5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42" w:lineRule="exact"/>
        <w:rPr>
          <w:rFonts w:ascii="Times New Roman" w:cs="Times New Roman" w:eastAsia="Times New Roman" w:hAnsi="Times New Roman"/>
          <w:sz w:val="14"/>
          <w:szCs w:val="14"/>
          <w:color w:val="auto"/>
        </w:rPr>
      </w:pPr>
    </w:p>
    <w:p>
      <w:pPr>
        <w:jc w:val="both"/>
        <w:ind w:left="260" w:hanging="253"/>
        <w:spacing w:after="0" w:line="278" w:lineRule="auto"/>
        <w:tabs>
          <w:tab w:leader="none" w:pos="25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of the registrant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1000"/>
          </w:cols>
          <w:pgMar w:left="560" w:top="1295" w:right="339" w:bottom="1440" w:gutter="0" w:footer="0" w:header="0"/>
        </w:sectPr>
      </w:pPr>
    </w:p>
    <w:bookmarkStart w:id="24" w:name="page25"/>
    <w:bookmarkEnd w:id="24"/>
    <w:p>
      <w:pPr>
        <w:ind w:left="260"/>
        <w:spacing w:after="0" w:line="299" w:lineRule="auto"/>
        <w:rPr>
          <w:sz w:val="20"/>
          <w:szCs w:val="20"/>
          <w:color w:val="auto"/>
        </w:rPr>
      </w:pPr>
      <w:r>
        <w:rPr>
          <w:rFonts w:ascii="Times New Roman" w:cs="Times New Roman" w:eastAsia="Times New Roman" w:hAnsi="Times New Roman"/>
          <w:sz w:val="14"/>
          <w:szCs w:val="14"/>
          <w:color w:val="auto"/>
        </w:rPr>
        <w:t>statement shall be deemed to be a new registration statement relating to the securities offered therein, and the offering of such securities at that time shall be deemed to be the initial bona fide offering thereof.</w:t>
      </w:r>
    </w:p>
    <w:p>
      <w:pPr>
        <w:spacing w:after="0" w:line="75" w:lineRule="exact"/>
        <w:rPr>
          <w:sz w:val="20"/>
          <w:szCs w:val="20"/>
          <w:color w:val="auto"/>
        </w:rPr>
      </w:pPr>
    </w:p>
    <w:p>
      <w:pPr>
        <w:ind w:left="260" w:right="100" w:hanging="253"/>
        <w:spacing w:after="0" w:line="266" w:lineRule="auto"/>
        <w:tabs>
          <w:tab w:leader="none" w:pos="25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980"/>
          </w:cols>
          <w:pgMar w:left="560" w:top="1295" w:right="3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4"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New York, New York, on August 1, 2025.</w:t>
      </w:r>
    </w:p>
    <w:p>
      <w:pPr>
        <w:spacing w:after="0" w:line="1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b w:val="1"/>
          <w:bCs w:val="1"/>
          <w:color w:val="auto"/>
        </w:rPr>
        <w:t>PERELLA WEINBERG PARTNERS</w:t>
      </w:r>
    </w:p>
    <w:p>
      <w:pPr>
        <w:spacing w:after="0" w:line="30" w:lineRule="exact"/>
        <w:rPr>
          <w:sz w:val="20"/>
          <w:szCs w:val="20"/>
          <w:color w:val="auto"/>
        </w:rPr>
      </w:pPr>
    </w:p>
    <w:tbl>
      <w:tblPr>
        <w:tblLayout w:type="fixed"/>
        <w:tblInd w:w="5580" w:type="dxa"/>
        <w:tblCellMar>
          <w:top w:w="0" w:type="dxa"/>
          <w:left w:w="0" w:type="dxa"/>
          <w:bottom w:w="0" w:type="dxa"/>
          <w:right w:w="0" w:type="dxa"/>
        </w:tblCellMar>
      </w:tblPr>
      <w:tr>
        <w:trPr>
          <w:trHeight w:val="183"/>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ANDREW BEDNAR</w:t>
            </w:r>
          </w:p>
        </w:tc>
      </w:tr>
      <w:tr>
        <w:trPr>
          <w:trHeight w:val="171"/>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Andrew Bednar</w:t>
            </w:r>
          </w:p>
        </w:tc>
      </w:tr>
      <w:tr>
        <w:trPr>
          <w:trHeight w:val="189"/>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 AND POWER OF ATTORNEY</w:t>
      </w:r>
    </w:p>
    <w:p>
      <w:pPr>
        <w:spacing w:after="0" w:line="14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Andrew Bednar and Alexandra Gottschalk, and each of them, his or her attorney-in-fact and agent, each with the power of substitution, for him or her in any and all capacities, to sign any and all amendments to this filing on Form S-3, and supplements to this registration statement and to any and all instruments, documents or exhibits filed as part of or in conjunction with this registration statement or amendments or supplements thereof, and to file the same, with exhibits thereto and other documents in connection therewith, with the U.S. Securities and Exchange Commission, hereby ratifying and confirming all that said attorneys-in-fact, or his or her or their substitute or substitutes, may do or cause to be done by virtue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1280"/>
          </w:cols>
          <w:pgMar w:left="300" w:top="129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report to be signed on its behalf by the undersigned thereunto duly authorized.</w:t>
      </w:r>
    </w:p>
    <w:p>
      <w:pPr>
        <w:sectPr>
          <w:pgSz w:w="11900" w:h="16838" w:orient="portrait"/>
          <w:cols w:equalWidth="0" w:num="1">
            <w:col w:w="11280"/>
          </w:cols>
          <w:pgMar w:left="300" w:top="1295" w:right="319" w:bottom="1440" w:gutter="0" w:footer="0" w:header="0"/>
        </w:sectPr>
      </w:pPr>
    </w:p>
    <w:p>
      <w:pPr>
        <w:spacing w:after="0" w:line="17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32118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211830" cy="6985"/>
                    </a:xfrm>
                    <a:prstGeom prst="rect">
                      <a:avLst/>
                    </a:prstGeom>
                    <a:noFill/>
                  </pic:spPr>
                </pic:pic>
              </a:graphicData>
            </a:graphic>
          </wp:anchor>
        </w:drawing>
      </w:r>
    </w:p>
    <w:p>
      <w:pPr>
        <w:spacing w:after="0" w:line="7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2118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211830" cy="6985"/>
                    </a:xfrm>
                    <a:prstGeom prst="rect">
                      <a:avLst/>
                    </a:prstGeom>
                    <a:noFill/>
                  </pic:spPr>
                </pic:pic>
              </a:graphicData>
            </a:graphic>
          </wp:anchor>
        </w:drawing>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Andrew Bednar</w:t>
      </w:r>
    </w:p>
    <w:p>
      <w:pPr>
        <w:spacing w:after="0" w:line="16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2118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211830" cy="6985"/>
                    </a:xfrm>
                    <a:prstGeom prst="rect">
                      <a:avLst/>
                    </a:prstGeom>
                    <a:noFill/>
                  </pic:spPr>
                </pic:pic>
              </a:graphicData>
            </a:graphic>
          </wp:anchor>
        </w:drawing>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Alexandra Gottschalk</w:t>
      </w:r>
    </w:p>
    <w:p>
      <w:pPr>
        <w:spacing w:after="0" w:line="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2118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211830" cy="6985"/>
                    </a:xfrm>
                    <a:prstGeom prst="rect">
                      <a:avLst/>
                    </a:prstGeom>
                    <a:noFill/>
                  </pic:spPr>
                </pic:pic>
              </a:graphicData>
            </a:graphic>
          </wp:anchor>
        </w:drawing>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Peter A. Weinberg</w:t>
      </w:r>
    </w:p>
    <w:p>
      <w:pPr>
        <w:spacing w:after="0" w:line="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JOSEPH R. PERELLA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2118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211830" cy="6985"/>
                    </a:xfrm>
                    <a:prstGeom prst="rect">
                      <a:avLst/>
                    </a:prstGeom>
                    <a:noFill/>
                  </pic:spPr>
                </pic:pic>
              </a:graphicData>
            </a:graphic>
          </wp:anchor>
        </w:drawing>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Joseph R. Perella</w:t>
      </w:r>
    </w:p>
    <w:p>
      <w:pPr>
        <w:spacing w:after="0" w:line="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ROBERT K. STEEL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21183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211830" cy="6985"/>
                    </a:xfrm>
                    <a:prstGeom prst="rect">
                      <a:avLst/>
                    </a:prstGeom>
                    <a:noFill/>
                  </pic:spPr>
                </pic:pic>
              </a:graphicData>
            </a:graphic>
          </wp:anchor>
        </w:drawing>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Robert K. Steel</w:t>
      </w:r>
    </w:p>
    <w:p>
      <w:pPr>
        <w:spacing w:after="0" w:line="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DIETRICH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21183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211830" cy="6985"/>
                    </a:xfrm>
                    <a:prstGeom prst="rect">
                      <a:avLst/>
                    </a:prstGeom>
                    <a:noFill/>
                  </pic:spPr>
                </pic:pic>
              </a:graphicData>
            </a:graphic>
          </wp:anchor>
        </w:drawing>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Dietrich Becker</w:t>
      </w:r>
    </w:p>
    <w:p>
      <w:pPr>
        <w:spacing w:after="0" w:line="7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EDWIN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2118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211830" cy="6985"/>
                    </a:xfrm>
                    <a:prstGeom prst="rect">
                      <a:avLst/>
                    </a:prstGeom>
                    <a:noFill/>
                  </pic:spPr>
                </pic:pic>
              </a:graphicData>
            </a:graphic>
          </wp:anchor>
        </w:drawing>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Edwin Bennett</w:t>
      </w:r>
    </w:p>
    <w:p>
      <w:pPr>
        <w:spacing w:after="0" w:line="6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HOUDA DABBOUSSI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2118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211830" cy="6985"/>
                    </a:xfrm>
                    <a:prstGeom prst="rect">
                      <a:avLst/>
                    </a:prstGeom>
                    <a:noFill/>
                  </pic:spPr>
                </pic:pic>
              </a:graphicData>
            </a:graphic>
          </wp:anchor>
        </w:drawing>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Houda Dabboussi</w:t>
      </w:r>
    </w:p>
    <w:p>
      <w:pPr>
        <w:spacing w:after="0" w:line="8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ELIZABETH COGAN FASCITELLI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2118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3211830" cy="6985"/>
                    </a:xfrm>
                    <a:prstGeom prst="rect">
                      <a:avLst/>
                    </a:prstGeom>
                    <a:noFill/>
                  </pic:spPr>
                </pic:pic>
              </a:graphicData>
            </a:graphic>
          </wp:anchor>
        </w:drawing>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Elizabeth Cogan Fascitelli</w:t>
      </w:r>
    </w:p>
    <w:p>
      <w:pPr>
        <w:spacing w:after="0" w:line="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KRISTIN W. MUGFORD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21183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3211830" cy="6985"/>
                    </a:xfrm>
                    <a:prstGeom prst="rect">
                      <a:avLst/>
                    </a:prstGeom>
                    <a:noFill/>
                  </pic:spPr>
                </pic:pic>
              </a:graphicData>
            </a:graphic>
          </wp:anchor>
        </w:drawing>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Kristin W. Mugford</w:t>
      </w:r>
    </w:p>
    <w:p>
      <w:pPr>
        <w:spacing w:after="0" w:line="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JORMA OLLILA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21183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3211830" cy="6985"/>
                    </a:xfrm>
                    <a:prstGeom prst="rect">
                      <a:avLst/>
                    </a:prstGeom>
                    <a:noFill/>
                  </pic:spPr>
                </pic:pic>
              </a:graphicData>
            </a:graphic>
          </wp:anchor>
        </w:drawing>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Jorma Ollila</w:t>
      </w:r>
    </w:p>
    <w:p>
      <w:pPr>
        <w:spacing w:after="0" w:line="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JANE C. SHERBURNE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2118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3211830" cy="6985"/>
                    </a:xfrm>
                    <a:prstGeom prst="rect">
                      <a:avLst/>
                    </a:prstGeom>
                    <a:noFill/>
                  </pic:spPr>
                </pic:pic>
              </a:graphicData>
            </a:graphic>
          </wp:anchor>
        </w:drawing>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Jane C. Sherburne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1"/>
              </w:rPr>
              <w:t>Title</w:t>
            </w:r>
          </w:p>
        </w:tc>
        <w:tc>
          <w:tcPr>
            <w:tcW w:w="1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0" w:type="dxa"/>
            <w:vAlign w:val="bottom"/>
          </w:tcPr>
          <w:p>
            <w:pPr>
              <w:spacing w:after="0"/>
              <w:rPr>
                <w:sz w:val="1"/>
                <w:szCs w:val="1"/>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Chief Executive Officer</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August 1, 2025</w:t>
            </w:r>
          </w:p>
        </w:tc>
        <w:tc>
          <w:tcPr>
            <w:tcW w:w="0" w:type="dxa"/>
            <w:vAlign w:val="bottom"/>
          </w:tcPr>
          <w:p>
            <w:pPr>
              <w:spacing w:after="0"/>
              <w:rPr>
                <w:sz w:val="1"/>
                <w:szCs w:val="1"/>
                <w:color w:val="auto"/>
              </w:rPr>
            </w:pPr>
          </w:p>
        </w:tc>
      </w:tr>
      <w:tr>
        <w:trPr>
          <w:trHeight w:val="120"/>
        </w:trPr>
        <w:tc>
          <w:tcPr>
            <w:tcW w:w="4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160" w:type="dxa"/>
            <w:vAlign w:val="bottom"/>
            <w:gridSpan w:val="2"/>
            <w:vMerge w:val="continue"/>
          </w:tcPr>
          <w:p>
            <w:pPr>
              <w:spacing w:after="0"/>
              <w:rPr>
                <w:sz w:val="6"/>
                <w:szCs w:val="6"/>
                <w:color w:val="auto"/>
              </w:rPr>
            </w:pPr>
          </w:p>
        </w:tc>
        <w:tc>
          <w:tcPr>
            <w:tcW w:w="1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Chief Financial Officer</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August 1, 2025</w:t>
            </w:r>
          </w:p>
        </w:tc>
        <w:tc>
          <w:tcPr>
            <w:tcW w:w="0" w:type="dxa"/>
            <w:vAlign w:val="bottom"/>
          </w:tcPr>
          <w:p>
            <w:pPr>
              <w:spacing w:after="0"/>
              <w:rPr>
                <w:sz w:val="1"/>
                <w:szCs w:val="1"/>
                <w:color w:val="auto"/>
              </w:rPr>
            </w:pPr>
          </w:p>
        </w:tc>
      </w:tr>
      <w:tr>
        <w:trPr>
          <w:trHeight w:val="146"/>
        </w:trPr>
        <w:tc>
          <w:tcPr>
            <w:tcW w:w="41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 and</w:t>
            </w: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r>
              <w:rPr>
                <w:rFonts w:ascii="Times New Roman" w:cs="Times New Roman" w:eastAsia="Times New Roman" w:hAnsi="Times New Roman"/>
                <w:sz w:val="14"/>
                <w:szCs w:val="14"/>
                <w:color w:val="auto"/>
              </w:rPr>
              <w:t>)</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Chairman</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 2025</w:t>
            </w:r>
          </w:p>
        </w:tc>
        <w:tc>
          <w:tcPr>
            <w:tcW w:w="0" w:type="dxa"/>
            <w:vAlign w:val="bottom"/>
          </w:tcPr>
          <w:p>
            <w:pPr>
              <w:spacing w:after="0"/>
              <w:rPr>
                <w:sz w:val="1"/>
                <w:szCs w:val="1"/>
                <w:color w:val="auto"/>
              </w:rPr>
            </w:pPr>
          </w:p>
        </w:tc>
      </w:tr>
      <w:tr>
        <w:trPr>
          <w:trHeight w:val="455"/>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Chairman Emeritus</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 2025</w:t>
            </w:r>
          </w:p>
        </w:tc>
        <w:tc>
          <w:tcPr>
            <w:tcW w:w="0" w:type="dxa"/>
            <w:vAlign w:val="bottom"/>
          </w:tcPr>
          <w:p>
            <w:pPr>
              <w:spacing w:after="0"/>
              <w:rPr>
                <w:sz w:val="1"/>
                <w:szCs w:val="1"/>
                <w:color w:val="auto"/>
              </w:rPr>
            </w:pPr>
          </w:p>
        </w:tc>
      </w:tr>
      <w:tr>
        <w:trPr>
          <w:trHeight w:val="455"/>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Vice Chairman</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 2025</w:t>
            </w:r>
          </w:p>
        </w:tc>
        <w:tc>
          <w:tcPr>
            <w:tcW w:w="0" w:type="dxa"/>
            <w:vAlign w:val="bottom"/>
          </w:tcPr>
          <w:p>
            <w:pPr>
              <w:spacing w:after="0"/>
              <w:rPr>
                <w:sz w:val="1"/>
                <w:szCs w:val="1"/>
                <w:color w:val="auto"/>
              </w:rPr>
            </w:pPr>
          </w:p>
        </w:tc>
      </w:tr>
      <w:tr>
        <w:trPr>
          <w:trHeight w:val="455"/>
        </w:trPr>
        <w:tc>
          <w:tcPr>
            <w:tcW w:w="4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 2025</w:t>
            </w:r>
          </w:p>
        </w:tc>
        <w:tc>
          <w:tcPr>
            <w:tcW w:w="0" w:type="dxa"/>
            <w:vAlign w:val="bottom"/>
          </w:tcPr>
          <w:p>
            <w:pPr>
              <w:spacing w:after="0"/>
              <w:rPr>
                <w:sz w:val="1"/>
                <w:szCs w:val="1"/>
                <w:color w:val="auto"/>
              </w:rPr>
            </w:pPr>
          </w:p>
        </w:tc>
      </w:tr>
      <w:tr>
        <w:trPr>
          <w:trHeight w:val="347"/>
        </w:trPr>
        <w:tc>
          <w:tcPr>
            <w:tcW w:w="4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 2025</w:t>
            </w:r>
          </w:p>
        </w:tc>
        <w:tc>
          <w:tcPr>
            <w:tcW w:w="0" w:type="dxa"/>
            <w:vAlign w:val="bottom"/>
          </w:tcPr>
          <w:p>
            <w:pPr>
              <w:spacing w:after="0"/>
              <w:rPr>
                <w:sz w:val="1"/>
                <w:szCs w:val="1"/>
                <w:color w:val="auto"/>
              </w:rPr>
            </w:pPr>
          </w:p>
        </w:tc>
      </w:tr>
      <w:tr>
        <w:trPr>
          <w:trHeight w:val="422"/>
        </w:trPr>
        <w:tc>
          <w:tcPr>
            <w:tcW w:w="4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 2025</w:t>
            </w:r>
          </w:p>
        </w:tc>
        <w:tc>
          <w:tcPr>
            <w:tcW w:w="0" w:type="dxa"/>
            <w:vAlign w:val="bottom"/>
          </w:tcPr>
          <w:p>
            <w:pPr>
              <w:spacing w:after="0"/>
              <w:rPr>
                <w:sz w:val="1"/>
                <w:szCs w:val="1"/>
                <w:color w:val="auto"/>
              </w:rPr>
            </w:pPr>
          </w:p>
        </w:tc>
      </w:tr>
      <w:tr>
        <w:trPr>
          <w:trHeight w:val="531"/>
        </w:trPr>
        <w:tc>
          <w:tcPr>
            <w:tcW w:w="4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 2025</w:t>
            </w:r>
          </w:p>
        </w:tc>
        <w:tc>
          <w:tcPr>
            <w:tcW w:w="0" w:type="dxa"/>
            <w:vAlign w:val="bottom"/>
          </w:tcPr>
          <w:p>
            <w:pPr>
              <w:spacing w:after="0"/>
              <w:rPr>
                <w:sz w:val="1"/>
                <w:szCs w:val="1"/>
                <w:color w:val="auto"/>
              </w:rPr>
            </w:pPr>
          </w:p>
        </w:tc>
      </w:tr>
      <w:tr>
        <w:trPr>
          <w:trHeight w:val="455"/>
        </w:trPr>
        <w:tc>
          <w:tcPr>
            <w:tcW w:w="4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 2025</w:t>
            </w:r>
          </w:p>
        </w:tc>
        <w:tc>
          <w:tcPr>
            <w:tcW w:w="0" w:type="dxa"/>
            <w:vAlign w:val="bottom"/>
          </w:tcPr>
          <w:p>
            <w:pPr>
              <w:spacing w:after="0"/>
              <w:rPr>
                <w:sz w:val="1"/>
                <w:szCs w:val="1"/>
                <w:color w:val="auto"/>
              </w:rPr>
            </w:pPr>
          </w:p>
        </w:tc>
      </w:tr>
      <w:tr>
        <w:trPr>
          <w:trHeight w:val="455"/>
        </w:trPr>
        <w:tc>
          <w:tcPr>
            <w:tcW w:w="4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 2025</w:t>
            </w:r>
          </w:p>
        </w:tc>
        <w:tc>
          <w:tcPr>
            <w:tcW w:w="0" w:type="dxa"/>
            <w:vAlign w:val="bottom"/>
          </w:tcPr>
          <w:p>
            <w:pPr>
              <w:spacing w:after="0"/>
              <w:rPr>
                <w:sz w:val="1"/>
                <w:szCs w:val="1"/>
                <w:color w:val="auto"/>
              </w:rPr>
            </w:pPr>
          </w:p>
        </w:tc>
      </w:tr>
      <w:tr>
        <w:trPr>
          <w:trHeight w:val="455"/>
        </w:trPr>
        <w:tc>
          <w:tcPr>
            <w:tcW w:w="4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 2025</w:t>
            </w:r>
          </w:p>
        </w:tc>
        <w:tc>
          <w:tcPr>
            <w:tcW w:w="0" w:type="dxa"/>
            <w:vAlign w:val="bottom"/>
          </w:tcPr>
          <w:p>
            <w:pPr>
              <w:spacing w:after="0"/>
              <w:rPr>
                <w:sz w:val="1"/>
                <w:szCs w:val="1"/>
                <w:color w:val="auto"/>
              </w:rPr>
            </w:pPr>
          </w:p>
        </w:tc>
      </w:tr>
    </w:tbl>
    <w:p>
      <w:pPr>
        <w:spacing w:after="0" w:line="280" w:lineRule="exact"/>
        <w:rPr>
          <w:sz w:val="20"/>
          <w:szCs w:val="20"/>
          <w:color w:val="auto"/>
        </w:rPr>
      </w:pPr>
    </w:p>
    <w:p>
      <w:pPr>
        <w:sectPr>
          <w:pgSz w:w="11900" w:h="16838" w:orient="portrait"/>
          <w:cols w:equalWidth="0" w:num="2">
            <w:col w:w="4440" w:space="720"/>
            <w:col w:w="6120"/>
          </w:cols>
          <w:pgMar w:left="300" w:top="129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1280"/>
          </w:cols>
          <w:pgMar w:left="300" w:top="1295" w:right="319" w:bottom="1440" w:gutter="0" w:footer="0" w:header="0"/>
          <w:type w:val="continuous"/>
        </w:sectPr>
      </w:pPr>
    </w:p>
    <w:bookmarkStart w:id="27" w:name="page28"/>
    <w:bookmarkEnd w:id="27"/>
    <w:p>
      <w:pPr>
        <w:ind w:left="3380"/>
        <w:spacing w:after="0"/>
        <w:rPr>
          <w:sz w:val="20"/>
          <w:szCs w:val="20"/>
          <w:color w:val="auto"/>
        </w:rPr>
      </w:pPr>
      <w:r>
        <w:rPr>
          <w:rFonts w:ascii="Arial" w:cs="Arial" w:eastAsia="Arial" w:hAnsi="Arial"/>
          <w:sz w:val="29"/>
          <w:szCs w:val="29"/>
          <w:b w:val="1"/>
          <w:bCs w:val="1"/>
          <w:color w:val="auto"/>
        </w:rPr>
        <w:t>Calculation of Filing Fee Tables</w:t>
      </w:r>
    </w:p>
    <w:p>
      <w:pPr>
        <w:spacing w:after="0" w:line="176" w:lineRule="exact"/>
        <w:rPr>
          <w:sz w:val="20"/>
          <w:szCs w:val="20"/>
          <w:color w:val="auto"/>
        </w:rPr>
      </w:pPr>
    </w:p>
    <w:p>
      <w:pPr>
        <w:ind w:left="5300"/>
        <w:spacing w:after="0"/>
        <w:rPr>
          <w:sz w:val="20"/>
          <w:szCs w:val="20"/>
          <w:color w:val="auto"/>
        </w:rPr>
      </w:pPr>
      <w:r>
        <w:rPr>
          <w:rFonts w:ascii="Arial" w:cs="Arial" w:eastAsia="Arial" w:hAnsi="Arial"/>
          <w:sz w:val="29"/>
          <w:szCs w:val="29"/>
          <w:b w:val="1"/>
          <w:bCs w:val="1"/>
          <w:color w:val="auto"/>
        </w:rPr>
        <w:t>S-3</w:t>
      </w:r>
    </w:p>
    <w:p>
      <w:pPr>
        <w:spacing w:after="0" w:line="100"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Perella Weinberg Partners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Table 1: Newly Registered and 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32385</wp:posOffset>
            </wp:positionV>
            <wp:extent cx="7212330" cy="4022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12330" cy="4022090"/>
                    </a:xfrm>
                    <a:prstGeom prst="rect">
                      <a:avLst/>
                    </a:prstGeom>
                    <a:noFill/>
                  </pic:spPr>
                </pic:pic>
              </a:graphicData>
            </a:graphic>
          </wp:anchor>
        </w:drawing>
      </w:r>
    </w:p>
    <w:p>
      <w:pPr>
        <w:sectPr>
          <w:pgSz w:w="11900" w:h="16838" w:orient="portrait"/>
          <w:cols w:equalWidth="0" w:num="1">
            <w:col w:w="11280"/>
          </w:cols>
          <w:pgMar w:left="340" w:top="141" w:right="279" w:bottom="1440" w:gutter="0" w:footer="0" w:header="0"/>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747"/>
        </w:trPr>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24"/>
                <w:szCs w:val="24"/>
                <w:color w:val="auto"/>
              </w:rPr>
            </w:pPr>
          </w:p>
        </w:tc>
        <w:tc>
          <w:tcPr>
            <w:tcW w:w="860" w:type="dxa"/>
            <w:vAlign w:val="bottom"/>
            <w:shd w:val="clear" w:color="auto" w:fill="9ADAF6"/>
          </w:tcPr>
          <w:p>
            <w:pPr>
              <w:jc w:val="center"/>
              <w:ind w:left="36"/>
              <w:spacing w:after="0"/>
              <w:rPr>
                <w:sz w:val="20"/>
                <w:szCs w:val="20"/>
                <w:color w:val="auto"/>
              </w:rPr>
            </w:pPr>
            <w:r>
              <w:rPr>
                <w:rFonts w:ascii="Arial" w:cs="Arial" w:eastAsia="Arial" w:hAnsi="Arial"/>
                <w:sz w:val="17"/>
                <w:szCs w:val="17"/>
                <w:b w:val="1"/>
                <w:bCs w:val="1"/>
                <w:color w:val="auto"/>
              </w:rPr>
              <w:t>Fee</w:t>
            </w: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24"/>
                <w:szCs w:val="24"/>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Maximum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vMerge w:val="restart"/>
            <w:shd w:val="clear" w:color="auto" w:fill="9ADAF6"/>
          </w:tcPr>
          <w:p>
            <w:pPr>
              <w:jc w:val="right"/>
              <w:spacing w:after="0"/>
              <w:rPr>
                <w:sz w:val="20"/>
                <w:szCs w:val="20"/>
                <w:color w:val="auto"/>
              </w:rPr>
            </w:pPr>
            <w:r>
              <w:rPr>
                <w:rFonts w:ascii="Arial" w:cs="Arial" w:eastAsia="Arial" w:hAnsi="Arial"/>
                <w:sz w:val="17"/>
                <w:szCs w:val="17"/>
                <w:b w:val="1"/>
                <w:bCs w:val="1"/>
                <w:color w:val="auto"/>
              </w:rPr>
              <w:t>Amount of</w:t>
            </w:r>
          </w:p>
        </w:tc>
        <w:tc>
          <w:tcPr>
            <w:tcW w:w="0" w:type="dxa"/>
            <w:vAlign w:val="bottom"/>
          </w:tcPr>
          <w:p>
            <w:pPr>
              <w:spacing w:after="0"/>
              <w:rPr>
                <w:sz w:val="1"/>
                <w:szCs w:val="1"/>
                <w:color w:val="auto"/>
              </w:rPr>
            </w:pPr>
          </w:p>
        </w:tc>
      </w:tr>
      <w:tr>
        <w:trPr>
          <w:trHeight w:val="118"/>
        </w:trPr>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0"/>
                <w:szCs w:val="10"/>
                <w:color w:val="auto"/>
              </w:rPr>
            </w:pPr>
          </w:p>
        </w:tc>
        <w:tc>
          <w:tcPr>
            <w:tcW w:w="7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2"/>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920" w:type="dxa"/>
            <w:vAlign w:val="bottom"/>
            <w:vMerge w:val="restart"/>
            <w:shd w:val="clear" w:color="auto" w:fill="9ADAF6"/>
          </w:tcPr>
          <w:p>
            <w:pPr>
              <w:jc w:val="right"/>
              <w:ind w:right="53"/>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0"/>
                <w:szCs w:val="10"/>
                <w:color w:val="auto"/>
              </w:rPr>
            </w:pPr>
          </w:p>
        </w:tc>
        <w:tc>
          <w:tcPr>
            <w:tcW w:w="8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10"/>
                <w:szCs w:val="10"/>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Aggregate</w:t>
            </w:r>
          </w:p>
        </w:tc>
        <w:tc>
          <w:tcPr>
            <w:tcW w:w="4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vMerge w:val="continue"/>
            <w:shd w:val="clear" w:color="auto" w:fill="9ADAF6"/>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ind w:left="140"/>
              <w:spacing w:after="0" w:line="175"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5"/>
                <w:szCs w:val="15"/>
                <w:color w:val="auto"/>
              </w:rPr>
            </w:pPr>
          </w:p>
        </w:tc>
        <w:tc>
          <w:tcPr>
            <w:tcW w:w="860" w:type="dxa"/>
            <w:vAlign w:val="bottom"/>
            <w:shd w:val="clear" w:color="auto" w:fill="9ADAF6"/>
          </w:tcPr>
          <w:p>
            <w:pPr>
              <w:jc w:val="center"/>
              <w:ind w:left="36"/>
              <w:spacing w:after="0" w:line="175" w:lineRule="exact"/>
              <w:rPr>
                <w:sz w:val="20"/>
                <w:szCs w:val="20"/>
                <w:color w:val="auto"/>
              </w:rPr>
            </w:pPr>
            <w:r>
              <w:rPr>
                <w:rFonts w:ascii="Arial" w:cs="Arial" w:eastAsia="Arial" w:hAnsi="Arial"/>
                <w:sz w:val="17"/>
                <w:szCs w:val="17"/>
                <w:b w:val="1"/>
                <w:bCs w:val="1"/>
                <w:color w:val="auto"/>
                <w:w w:val="99"/>
              </w:rPr>
              <w:t>or Carry</w:t>
            </w: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5"/>
                <w:szCs w:val="15"/>
                <w:color w:val="auto"/>
              </w:rPr>
            </w:pPr>
          </w:p>
        </w:tc>
        <w:tc>
          <w:tcPr>
            <w:tcW w:w="88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9ADAF6"/>
          </w:tcPr>
          <w:p>
            <w:pPr>
              <w:jc w:val="right"/>
              <w:spacing w:after="0" w:line="175"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5"/>
                <w:szCs w:val="15"/>
                <w:color w:val="auto"/>
              </w:rPr>
            </w:pPr>
          </w:p>
        </w:tc>
        <w:tc>
          <w:tcPr>
            <w:tcW w:w="1040" w:type="dxa"/>
            <w:vAlign w:val="bottom"/>
            <w:shd w:val="clear" w:color="auto" w:fill="9ADAF6"/>
          </w:tcPr>
          <w:p>
            <w:pPr>
              <w:jc w:val="right"/>
              <w:spacing w:after="0" w:line="175" w:lineRule="exact"/>
              <w:rPr>
                <w:sz w:val="20"/>
                <w:szCs w:val="20"/>
                <w:color w:val="auto"/>
              </w:rPr>
            </w:pPr>
            <w:r>
              <w:rPr>
                <w:rFonts w:ascii="Arial" w:cs="Arial" w:eastAsia="Arial" w:hAnsi="Arial"/>
                <w:sz w:val="17"/>
                <w:szCs w:val="17"/>
                <w:b w:val="1"/>
                <w:bCs w:val="1"/>
                <w:color w:val="auto"/>
              </w:rPr>
              <w:t>Registration</w:t>
            </w:r>
          </w:p>
        </w:tc>
        <w:tc>
          <w:tcPr>
            <w:tcW w:w="0" w:type="dxa"/>
            <w:vAlign w:val="bottom"/>
          </w:tcPr>
          <w:p>
            <w:pPr>
              <w:spacing w:after="0"/>
              <w:rPr>
                <w:sz w:val="1"/>
                <w:szCs w:val="1"/>
                <w:color w:val="auto"/>
              </w:rPr>
            </w:pPr>
          </w:p>
        </w:tc>
      </w:tr>
      <w:tr>
        <w:trPr>
          <w:trHeight w:val="195"/>
        </w:trPr>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6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60" w:type="dxa"/>
            <w:vAlign w:val="bottom"/>
            <w:shd w:val="clear" w:color="auto" w:fill="9ADAF6"/>
          </w:tcPr>
          <w:p>
            <w:pPr>
              <w:jc w:val="center"/>
              <w:ind w:left="36"/>
              <w:spacing w:after="0"/>
              <w:rPr>
                <w:sz w:val="20"/>
                <w:szCs w:val="20"/>
                <w:color w:val="auto"/>
              </w:rPr>
            </w:pPr>
            <w:r>
              <w:rPr>
                <w:rFonts w:ascii="Arial" w:cs="Arial" w:eastAsia="Arial" w:hAnsi="Arial"/>
                <w:sz w:val="17"/>
                <w:szCs w:val="17"/>
                <w:b w:val="1"/>
                <w:bCs w:val="1"/>
                <w:color w:val="auto"/>
              </w:rPr>
              <w:t>Forward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Offering</w:t>
            </w:r>
          </w:p>
        </w:tc>
        <w:tc>
          <w:tcPr>
            <w:tcW w:w="4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293"/>
              <w:spacing w:after="0"/>
              <w:rPr>
                <w:sz w:val="20"/>
                <w:szCs w:val="20"/>
                <w:color w:val="auto"/>
              </w:rPr>
            </w:pPr>
            <w:r>
              <w:rPr>
                <w:rFonts w:ascii="Arial" w:cs="Arial" w:eastAsia="Arial" w:hAnsi="Arial"/>
                <w:sz w:val="17"/>
                <w:szCs w:val="17"/>
                <w:b w:val="1"/>
                <w:bCs w:val="1"/>
                <w:color w:val="auto"/>
              </w:rPr>
              <w:t>Fee</w:t>
            </w:r>
          </w:p>
        </w:tc>
        <w:tc>
          <w:tcPr>
            <w:tcW w:w="0" w:type="dxa"/>
            <w:vAlign w:val="bottom"/>
          </w:tcPr>
          <w:p>
            <w:pPr>
              <w:spacing w:after="0"/>
              <w:rPr>
                <w:sz w:val="1"/>
                <w:szCs w:val="1"/>
                <w:color w:val="auto"/>
              </w:rPr>
            </w:pPr>
          </w:p>
        </w:tc>
      </w:tr>
      <w:tr>
        <w:trPr>
          <w:trHeight w:val="195"/>
        </w:trPr>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9ADAF6"/>
          </w:tcPr>
          <w:p>
            <w:pPr>
              <w:jc w:val="center"/>
              <w:ind w:left="36"/>
              <w:spacing w:after="0"/>
              <w:rPr>
                <w:sz w:val="20"/>
                <w:szCs w:val="20"/>
                <w:color w:val="auto"/>
              </w:rPr>
            </w:pPr>
            <w:r>
              <w:rPr>
                <w:rFonts w:ascii="Arial" w:cs="Arial" w:eastAsia="Arial" w:hAnsi="Arial"/>
                <w:sz w:val="17"/>
                <w:szCs w:val="17"/>
                <w:b w:val="1"/>
                <w:bCs w:val="1"/>
                <w:color w:val="auto"/>
              </w:rPr>
              <w:t>Rule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Price</w:t>
            </w:r>
          </w:p>
        </w:tc>
        <w:tc>
          <w:tcPr>
            <w:tcW w:w="4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8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continue"/>
            <w:shd w:val="clear" w:color="auto" w:fill="9ADAF6"/>
          </w:tcPr>
          <w:p>
            <w:pPr>
              <w:spacing w:after="0"/>
              <w:rPr>
                <w:sz w:val="5"/>
                <w:szCs w:val="5"/>
                <w:color w:val="auto"/>
              </w:rPr>
            </w:pPr>
          </w:p>
        </w:tc>
        <w:tc>
          <w:tcPr>
            <w:tcW w:w="1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9ADAF6"/>
          </w:tcPr>
          <w:p>
            <w:pPr>
              <w:spacing w:after="0"/>
              <w:rPr>
                <w:sz w:val="5"/>
                <w:szCs w:val="5"/>
                <w:color w:val="auto"/>
              </w:rPr>
            </w:pPr>
          </w:p>
        </w:tc>
        <w:tc>
          <w:tcPr>
            <w:tcW w:w="0" w:type="dxa"/>
            <w:vAlign w:val="bottom"/>
          </w:tcPr>
          <w:p>
            <w:pPr>
              <w:spacing w:after="0"/>
              <w:rPr>
                <w:sz w:val="1"/>
                <w:szCs w:val="1"/>
                <w:color w:val="auto"/>
              </w:rPr>
            </w:pPr>
          </w:p>
        </w:tc>
      </w:tr>
      <w:tr>
        <w:trPr>
          <w:trHeight w:val="478"/>
        </w:trPr>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9ADAF6"/>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60" w:type="dxa"/>
            <w:vAlign w:val="bottom"/>
            <w:gridSpan w:val="7"/>
          </w:tcPr>
          <w:p>
            <w:pPr>
              <w:jc w:val="right"/>
              <w:ind w:right="1173"/>
              <w:spacing w:after="0"/>
              <w:rPr>
                <w:sz w:val="20"/>
                <w:szCs w:val="20"/>
                <w:color w:val="auto"/>
              </w:rPr>
            </w:pPr>
            <w:r>
              <w:rPr>
                <w:rFonts w:ascii="Arial" w:cs="Arial" w:eastAsia="Arial" w:hAnsi="Arial"/>
                <w:sz w:val="17"/>
                <w:szCs w:val="17"/>
                <w:b w:val="1"/>
                <w:bCs w:val="1"/>
                <w:color w:val="auto"/>
              </w:rPr>
              <w:t>Newly Registered Securities</w:t>
            </w: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0"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60" w:type="dxa"/>
            <w:vAlign w:val="bottom"/>
            <w:vMerge w:val="restart"/>
            <w:shd w:val="clear" w:color="auto" w:fill="E7E7E2"/>
          </w:tcPr>
          <w:p>
            <w:pPr>
              <w:jc w:val="center"/>
              <w:ind w:left="36"/>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1"/>
                <w:szCs w:val="11"/>
                <w:color w:val="auto"/>
              </w:rPr>
            </w:pPr>
          </w:p>
        </w:tc>
        <w:tc>
          <w:tcPr>
            <w:tcW w:w="86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8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60" w:type="dxa"/>
            <w:vAlign w:val="bottom"/>
            <w:gridSpan w:val="7"/>
          </w:tcPr>
          <w:p>
            <w:pPr>
              <w:jc w:val="right"/>
              <w:ind w:right="1293"/>
              <w:spacing w:after="0"/>
              <w:rPr>
                <w:sz w:val="20"/>
                <w:szCs w:val="20"/>
                <w:color w:val="auto"/>
              </w:rPr>
            </w:pPr>
            <w:r>
              <w:rPr>
                <w:rFonts w:ascii="Arial" w:cs="Arial" w:eastAsia="Arial" w:hAnsi="Arial"/>
                <w:sz w:val="17"/>
                <w:szCs w:val="17"/>
                <w:b w:val="1"/>
                <w:bCs w:val="1"/>
                <w:color w:val="auto"/>
              </w:rPr>
              <w:t>Carry Forward Securities</w:t>
            </w: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ind w:left="20"/>
              <w:spacing w:after="0" w:line="190"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94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4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4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4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
        <w:spacing w:after="0"/>
        <w:tabs>
          <w:tab w:leader="none" w:pos="820" w:val="left"/>
        </w:tabs>
        <w:rPr>
          <w:sz w:val="20"/>
          <w:szCs w:val="20"/>
          <w:color w:val="auto"/>
        </w:rPr>
      </w:pPr>
      <w:r>
        <w:rPr>
          <w:rFonts w:ascii="Arial" w:cs="Arial" w:eastAsia="Arial" w:hAnsi="Arial"/>
          <w:sz w:val="17"/>
          <w:szCs w:val="17"/>
          <w:b w:val="1"/>
          <w:bCs w:val="1"/>
          <w:color w:val="auto"/>
        </w:rPr>
        <w:t>Carry</w:t>
        <w:tab/>
        <w:t>Carry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 Forward</w:t>
      </w:r>
    </w:p>
    <w:p>
      <w:pPr>
        <w:ind w:left="120"/>
        <w:spacing w:after="0"/>
        <w:tabs>
          <w:tab w:leader="none" w:pos="900" w:val="left"/>
        </w:tabs>
        <w:rPr>
          <w:sz w:val="20"/>
          <w:szCs w:val="20"/>
          <w:color w:val="auto"/>
        </w:rPr>
      </w:pPr>
      <w:r>
        <w:rPr>
          <w:rFonts w:ascii="Arial" w:cs="Arial" w:eastAsia="Arial" w:hAnsi="Arial"/>
          <w:sz w:val="17"/>
          <w:szCs w:val="17"/>
          <w:b w:val="1"/>
          <w:bCs w:val="1"/>
          <w:color w:val="auto"/>
        </w:rPr>
        <w:t>Form</w:t>
      </w:r>
      <w:r>
        <w:rPr>
          <w:sz w:val="20"/>
          <w:szCs w:val="20"/>
          <w:color w:val="auto"/>
        </w:rPr>
        <w:tab/>
      </w:r>
      <w:r>
        <w:rPr>
          <w:rFonts w:ascii="Arial" w:cs="Arial" w:eastAsia="Arial" w:hAnsi="Arial"/>
          <w:sz w:val="17"/>
          <w:szCs w:val="17"/>
          <w:b w:val="1"/>
          <w:bCs w:val="1"/>
          <w:color w:val="auto"/>
        </w:rPr>
        <w:t>File</w:t>
      </w:r>
    </w:p>
    <w:p>
      <w:pPr>
        <w:ind w:left="140"/>
        <w:spacing w:after="0"/>
        <w:tabs>
          <w:tab w:leader="none" w:pos="720" w:val="left"/>
        </w:tabs>
        <w:rPr>
          <w:sz w:val="20"/>
          <w:szCs w:val="20"/>
          <w:color w:val="auto"/>
        </w:rPr>
      </w:pPr>
      <w:r>
        <w:rPr>
          <w:rFonts w:ascii="Arial" w:cs="Arial" w:eastAsia="Arial" w:hAnsi="Arial"/>
          <w:sz w:val="17"/>
          <w:szCs w:val="17"/>
          <w:b w:val="1"/>
          <w:bCs w:val="1"/>
          <w:color w:val="auto"/>
        </w:rPr>
        <w:t>Type</w:t>
        <w:tab/>
        <w:t>Number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Filing Fee</w:t>
      </w:r>
    </w:p>
    <w:p>
      <w:pPr>
        <w:spacing w:after="0" w:line="17"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Previously</w:t>
      </w:r>
    </w:p>
    <w:p>
      <w:pPr>
        <w:ind w:left="20" w:firstLine="115"/>
        <w:spacing w:after="0" w:line="226" w:lineRule="auto"/>
        <w:rPr>
          <w:sz w:val="20"/>
          <w:szCs w:val="20"/>
          <w:color w:val="auto"/>
        </w:rPr>
      </w:pPr>
      <w:r>
        <w:rPr>
          <w:rFonts w:ascii="Arial" w:cs="Arial" w:eastAsia="Arial" w:hAnsi="Arial"/>
          <w:sz w:val="23"/>
          <w:szCs w:val="23"/>
          <w:b w:val="1"/>
          <w:bCs w:val="1"/>
          <w:color w:val="auto"/>
          <w:vertAlign w:val="subscript"/>
        </w:rPr>
        <w:t>Carry</w:t>
      </w:r>
      <w:r>
        <w:rPr>
          <w:rFonts w:ascii="Arial" w:cs="Arial" w:eastAsia="Arial" w:hAnsi="Arial"/>
          <w:sz w:val="13"/>
          <w:szCs w:val="13"/>
          <w:b w:val="1"/>
          <w:bCs w:val="1"/>
          <w:color w:val="auto"/>
        </w:rPr>
        <w:t xml:space="preserve"> Paid in </w:t>
      </w:r>
      <w:r>
        <w:rPr>
          <w:rFonts w:ascii="Arial" w:cs="Arial" w:eastAsia="Arial" w:hAnsi="Arial"/>
          <w:sz w:val="23"/>
          <w:szCs w:val="23"/>
          <w:b w:val="1"/>
          <w:bCs w:val="1"/>
          <w:color w:val="auto"/>
          <w:vertAlign w:val="subscript"/>
        </w:rPr>
        <w:t>Forward</w:t>
      </w:r>
      <w:r>
        <w:rPr>
          <w:rFonts w:ascii="Arial" w:cs="Arial" w:eastAsia="Arial" w:hAnsi="Arial"/>
          <w:sz w:val="13"/>
          <w:szCs w:val="13"/>
          <w:b w:val="1"/>
          <w:bCs w:val="1"/>
          <w:color w:val="auto"/>
        </w:rPr>
        <w:t xml:space="preserve"> Connection</w:t>
      </w:r>
    </w:p>
    <w:p>
      <w:pPr>
        <w:ind w:right="180" w:firstLine="135"/>
        <w:spacing w:after="0" w:line="184" w:lineRule="auto"/>
        <w:rPr>
          <w:sz w:val="20"/>
          <w:szCs w:val="20"/>
          <w:color w:val="auto"/>
        </w:rPr>
      </w:pPr>
      <w:r>
        <w:rPr>
          <w:rFonts w:ascii="Arial" w:cs="Arial" w:eastAsia="Arial" w:hAnsi="Arial"/>
          <w:sz w:val="13"/>
          <w:szCs w:val="13"/>
          <w:b w:val="1"/>
          <w:bCs w:val="1"/>
          <w:color w:val="auto"/>
        </w:rPr>
        <w:t xml:space="preserve">Initial </w:t>
      </w:r>
      <w:r>
        <w:rPr>
          <w:rFonts w:ascii="Arial" w:cs="Arial" w:eastAsia="Arial" w:hAnsi="Arial"/>
          <w:sz w:val="22"/>
          <w:szCs w:val="22"/>
          <w:b w:val="1"/>
          <w:bCs w:val="1"/>
          <w:color w:val="auto"/>
          <w:vertAlign w:val="superscript"/>
        </w:rPr>
        <w:t>with</w:t>
      </w:r>
      <w:r>
        <w:rPr>
          <w:rFonts w:ascii="Arial" w:cs="Arial" w:eastAsia="Arial" w:hAnsi="Arial"/>
          <w:sz w:val="13"/>
          <w:szCs w:val="13"/>
          <w:b w:val="1"/>
          <w:bCs w:val="1"/>
          <w:color w:val="auto"/>
        </w:rPr>
        <w:t xml:space="preserve"> Effective </w:t>
      </w:r>
      <w:r>
        <w:rPr>
          <w:rFonts w:ascii="Arial" w:cs="Arial" w:eastAsia="Arial" w:hAnsi="Arial"/>
          <w:sz w:val="22"/>
          <w:szCs w:val="22"/>
          <w:b w:val="1"/>
          <w:bCs w:val="1"/>
          <w:color w:val="auto"/>
          <w:vertAlign w:val="superscript"/>
        </w:rPr>
        <w:t>Unsold</w:t>
      </w:r>
    </w:p>
    <w:p>
      <w:pPr>
        <w:ind w:left="180"/>
        <w:spacing w:after="0" w:line="186" w:lineRule="auto"/>
        <w:tabs>
          <w:tab w:leader="none" w:pos="820" w:val="left"/>
        </w:tabs>
        <w:rPr>
          <w:sz w:val="20"/>
          <w:szCs w:val="20"/>
          <w:color w:val="auto"/>
        </w:rPr>
      </w:pPr>
      <w:r>
        <w:rPr>
          <w:rFonts w:ascii="Arial" w:cs="Arial" w:eastAsia="Arial" w:hAnsi="Arial"/>
          <w:sz w:val="22"/>
          <w:szCs w:val="22"/>
          <w:b w:val="1"/>
          <w:bCs w:val="1"/>
          <w:color w:val="auto"/>
          <w:vertAlign w:val="subscript"/>
        </w:rPr>
        <w:t>Date</w:t>
      </w:r>
      <w:r>
        <w:rPr>
          <w:sz w:val="20"/>
          <w:szCs w:val="20"/>
          <w:color w:val="auto"/>
        </w:rPr>
        <w:tab/>
      </w:r>
      <w:r>
        <w:rPr>
          <w:rFonts w:ascii="Arial" w:cs="Arial" w:eastAsia="Arial" w:hAnsi="Arial"/>
          <w:sz w:val="13"/>
          <w:szCs w:val="13"/>
          <w:b w:val="1"/>
          <w:bCs w:val="1"/>
          <w:color w:val="auto"/>
        </w:rPr>
        <w:t>Securities</w:t>
      </w:r>
    </w:p>
    <w:p>
      <w:pPr>
        <w:ind w:left="1040"/>
        <w:spacing w:after="0"/>
        <w:rPr>
          <w:sz w:val="20"/>
          <w:szCs w:val="20"/>
          <w:color w:val="auto"/>
        </w:rPr>
      </w:pPr>
      <w:r>
        <w:rPr>
          <w:rFonts w:ascii="Arial" w:cs="Arial" w:eastAsia="Arial" w:hAnsi="Arial"/>
          <w:sz w:val="17"/>
          <w:szCs w:val="17"/>
          <w:b w:val="1"/>
          <w:bCs w:val="1"/>
          <w:color w:val="auto"/>
        </w:rPr>
        <w:t>to be</w:t>
      </w:r>
    </w:p>
    <w:p>
      <w:pPr>
        <w:ind w:left="940"/>
        <w:spacing w:after="0"/>
        <w:rPr>
          <w:sz w:val="20"/>
          <w:szCs w:val="20"/>
          <w:color w:val="auto"/>
        </w:rPr>
      </w:pPr>
      <w:r>
        <w:rPr>
          <w:rFonts w:ascii="Arial" w:cs="Arial" w:eastAsia="Arial" w:hAnsi="Arial"/>
          <w:sz w:val="17"/>
          <w:szCs w:val="17"/>
          <w:b w:val="1"/>
          <w:bCs w:val="1"/>
          <w:color w:val="auto"/>
        </w:rPr>
        <w:t>Carried</w:t>
      </w:r>
    </w:p>
    <w:p>
      <w:pPr>
        <w:ind w:left="900"/>
        <w:spacing w:after="0"/>
        <w:rPr>
          <w:sz w:val="20"/>
          <w:szCs w:val="20"/>
          <w:color w:val="auto"/>
        </w:rPr>
      </w:pPr>
      <w:r>
        <w:rPr>
          <w:rFonts w:ascii="Arial" w:cs="Arial" w:eastAsia="Arial" w:hAnsi="Arial"/>
          <w:sz w:val="17"/>
          <w:szCs w:val="17"/>
          <w:b w:val="1"/>
          <w:bCs w:val="1"/>
          <w:color w:val="auto"/>
        </w:rPr>
        <w:t>Forward</w:t>
      </w:r>
    </w:p>
    <w:p>
      <w:pPr>
        <w:spacing w:after="0" w:line="4506" w:lineRule="exact"/>
        <w:rPr>
          <w:sz w:val="20"/>
          <w:szCs w:val="20"/>
          <w:color w:val="auto"/>
        </w:rPr>
      </w:pPr>
    </w:p>
    <w:p>
      <w:pPr>
        <w:sectPr>
          <w:pgSz w:w="11900" w:h="16838" w:orient="portrait"/>
          <w:cols w:equalWidth="0" w:num="3">
            <w:col w:w="8060" w:space="40"/>
            <w:col w:w="1420" w:space="40"/>
            <w:col w:w="1720"/>
          </w:cols>
          <w:pgMar w:left="340" w:top="141" w:right="27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Note</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58" w:lineRule="exact"/>
        <w:rPr>
          <w:sz w:val="20"/>
          <w:szCs w:val="20"/>
          <w:color w:val="auto"/>
        </w:rPr>
      </w:pPr>
    </w:p>
    <w:p>
      <w:pPr>
        <w:ind w:left="180" w:right="680"/>
        <w:spacing w:after="0" w:line="253" w:lineRule="auto"/>
        <w:rPr>
          <w:sz w:val="20"/>
          <w:szCs w:val="20"/>
          <w:color w:val="auto"/>
        </w:rPr>
      </w:pPr>
      <w:r>
        <w:rPr>
          <w:rFonts w:ascii="Arial" w:cs="Arial" w:eastAsia="Arial" w:hAnsi="Arial"/>
          <w:sz w:val="17"/>
          <w:szCs w:val="17"/>
          <w:color w:val="auto"/>
        </w:rPr>
        <w:t>An indeterminate amount of Class A Common Stock is being registered as may on one or more occasions be issued hereunder at indeterminate prices and includes such indeterminate amounts of additional securities as may be issued upon exercise, conversion or exchange of securities offered or sold hereunder or in connection with anti-dilution adjustments with respect to such securities. Separate consideration may or may not be received for securities that are issuable on exercise, conversion or exchange of other securities.</w:t>
      </w:r>
    </w:p>
    <w:p>
      <w:pPr>
        <w:spacing w:after="0" w:line="151" w:lineRule="exact"/>
        <w:rPr>
          <w:sz w:val="20"/>
          <w:szCs w:val="20"/>
          <w:color w:val="auto"/>
        </w:rPr>
      </w:pPr>
    </w:p>
    <w:p>
      <w:pPr>
        <w:ind w:left="180" w:right="580"/>
        <w:spacing w:after="0" w:line="280" w:lineRule="auto"/>
        <w:rPr>
          <w:sz w:val="20"/>
          <w:szCs w:val="20"/>
          <w:color w:val="auto"/>
        </w:rPr>
      </w:pPr>
      <w:r>
        <w:rPr>
          <w:rFonts w:ascii="Arial" w:cs="Arial" w:eastAsia="Arial" w:hAnsi="Arial"/>
          <w:sz w:val="17"/>
          <w:szCs w:val="17"/>
          <w:color w:val="auto"/>
        </w:rPr>
        <w:t>In accordance with Rules 456(b) and 457(r) under the Securities Act of 1933, as amended, the registrant is deferring payment of all of the registration fees. Registration fees will be paid subsequently on a "pay as you 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41275</wp:posOffset>
            </wp:positionV>
            <wp:extent cx="704024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040245" cy="39370"/>
                    </a:xfrm>
                    <a:prstGeom prst="rect">
                      <a:avLst/>
                    </a:prstGeom>
                    <a:noFill/>
                  </pic:spPr>
                </pic:pic>
              </a:graphicData>
            </a:graphic>
          </wp:anchor>
        </w:drawing>
      </w:r>
    </w:p>
    <w:p>
      <w:pPr>
        <w:sectPr>
          <w:pgSz w:w="11900" w:h="16838" w:orient="portrait"/>
          <w:cols w:equalWidth="0" w:num="1">
            <w:col w:w="11280"/>
          </w:cols>
          <w:pgMar w:left="340" w:top="141" w:right="279" w:bottom="1440" w:gutter="0" w:footer="0" w:header="0"/>
          <w:type w:val="continuous"/>
        </w:sectPr>
      </w:pPr>
    </w:p>
    <w:bookmarkStart w:id="28" w:name="page29"/>
    <w:bookmarkEnd w:id="28"/>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568325</wp:posOffset>
            </wp:positionV>
            <wp:extent cx="1650365" cy="1993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1650365" cy="19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Mayer Brown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1221 Avenue of the Americas</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New York, NY 10020-1001</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United States of America</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T: +1 212 506 2500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F: +1 212 262 1910</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mayerbrown.com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Perella Weinberg Partners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767 Fifth Avenue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10153</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Perella Weinberg Partners - Registration Statement on Form S-3</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82" w:lineRule="exact"/>
        <w:rPr>
          <w:sz w:val="20"/>
          <w:szCs w:val="20"/>
          <w:color w:val="auto"/>
        </w:rPr>
      </w:pPr>
    </w:p>
    <w:p>
      <w:pPr>
        <w:ind w:right="140" w:firstLine="520"/>
        <w:spacing w:after="0" w:line="266" w:lineRule="auto"/>
        <w:rPr>
          <w:sz w:val="20"/>
          <w:szCs w:val="20"/>
          <w:color w:val="auto"/>
        </w:rPr>
      </w:pPr>
      <w:r>
        <w:rPr>
          <w:rFonts w:ascii="Times New Roman" w:cs="Times New Roman" w:eastAsia="Times New Roman" w:hAnsi="Times New Roman"/>
          <w:sz w:val="17"/>
          <w:szCs w:val="17"/>
          <w:color w:val="auto"/>
        </w:rPr>
        <w:t>We have acted as counsel to Perella Weinberg Partners,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connection with the preparation and filing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of a registration statement on Form S-3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relating to the offering from time to time, together or separately and in one or more series (if applicable) of shares of the Company’s Class A Common Stock, par value $0.0001 per share (the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The Securities being registered under the Registration Statement will be offered by the Company on a continuous or delayed basis pursuant to the provisions of Rule 415 under the Securities Act.</w:t>
      </w:r>
    </w:p>
    <w:p>
      <w:pPr>
        <w:spacing w:after="0" w:line="45" w:lineRule="exact"/>
        <w:rPr>
          <w:sz w:val="20"/>
          <w:szCs w:val="20"/>
          <w:color w:val="auto"/>
        </w:rPr>
      </w:pPr>
    </w:p>
    <w:p>
      <w:pPr>
        <w:jc w:val="both"/>
        <w:ind w:firstLine="520"/>
        <w:spacing w:after="0" w:line="271" w:lineRule="auto"/>
        <w:rPr>
          <w:sz w:val="20"/>
          <w:szCs w:val="20"/>
          <w:color w:val="auto"/>
        </w:rPr>
      </w:pPr>
      <w:r>
        <w:rPr>
          <w:rFonts w:ascii="Times New Roman" w:cs="Times New Roman" w:eastAsia="Times New Roman" w:hAnsi="Times New Roman"/>
          <w:sz w:val="17"/>
          <w:szCs w:val="17"/>
          <w:color w:val="auto"/>
        </w:rPr>
        <w:t>In connection with this opinion, we have examined such corporate records, documents, instruments, certificates of public officials and of the Company and considered such questions of law as we have deemed necessary for the purpose of rendering the opinions set forth herein. We also have examined the Registration Statement.</w:t>
      </w:r>
    </w:p>
    <w:p>
      <w:pPr>
        <w:spacing w:after="0" w:line="42" w:lineRule="exact"/>
        <w:rPr>
          <w:sz w:val="20"/>
          <w:szCs w:val="20"/>
          <w:color w:val="auto"/>
        </w:rPr>
      </w:pPr>
    </w:p>
    <w:p>
      <w:pPr>
        <w:ind w:right="260" w:firstLine="520"/>
        <w:spacing w:after="0" w:line="303" w:lineRule="auto"/>
        <w:rPr>
          <w:sz w:val="20"/>
          <w:szCs w:val="20"/>
          <w:color w:val="auto"/>
        </w:rPr>
      </w:pPr>
      <w:r>
        <w:rPr>
          <w:rFonts w:ascii="Times New Roman" w:cs="Times New Roman" w:eastAsia="Times New Roman" w:hAnsi="Times New Roman"/>
          <w:sz w:val="17"/>
          <w:szCs w:val="17"/>
          <w:color w:val="auto"/>
        </w:rPr>
        <w:t>In such examination, we have assumed the genuineness of all signatures and the authenticity, accuracy and completeness of all items submitted to us as originals and the conformity with originals of all items submitted to us as copies.</w:t>
      </w:r>
    </w:p>
    <w:p>
      <w:pPr>
        <w:spacing w:after="0" w:line="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opinions hereinafter expressed are subject to the following qualifications and exceptions:</w:t>
      </w:r>
    </w:p>
    <w:p>
      <w:pPr>
        <w:spacing w:after="0" w:line="97" w:lineRule="exact"/>
        <w:rPr>
          <w:sz w:val="20"/>
          <w:szCs w:val="20"/>
          <w:color w:val="auto"/>
        </w:rPr>
      </w:pPr>
    </w:p>
    <w:p>
      <w:pPr>
        <w:ind w:right="400" w:firstLine="527"/>
        <w:spacing w:after="0" w:line="290" w:lineRule="auto"/>
        <w:tabs>
          <w:tab w:leader="none" w:pos="85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bankruptcy, insolvency, reorganization, arrangement, moratorium or other similar laws relating to or affecting the rights of creditors generally, including, without limitation, laws relating to fraudulent transfers or conveyances, preferences and equitable subordination;</w:t>
      </w:r>
    </w:p>
    <w:p>
      <w:pPr>
        <w:spacing w:after="0" w:line="200" w:lineRule="exact"/>
        <w:rPr>
          <w:sz w:val="20"/>
          <w:szCs w:val="20"/>
          <w:color w:val="auto"/>
        </w:rPr>
      </w:pPr>
    </w:p>
    <w:p>
      <w:pPr>
        <w:spacing w:after="0" w:line="278" w:lineRule="exact"/>
        <w:rPr>
          <w:sz w:val="20"/>
          <w:szCs w:val="20"/>
          <w:color w:val="auto"/>
        </w:rPr>
      </w:pPr>
    </w:p>
    <w:p>
      <w:pPr>
        <w:ind w:left="2360"/>
        <w:spacing w:after="0"/>
        <w:rPr>
          <w:sz w:val="20"/>
          <w:szCs w:val="20"/>
          <w:color w:val="auto"/>
        </w:rPr>
      </w:pPr>
      <w:r>
        <w:rPr>
          <w:rFonts w:ascii="Arial" w:cs="Arial" w:eastAsia="Arial" w:hAnsi="Arial"/>
          <w:sz w:val="12"/>
          <w:szCs w:val="12"/>
          <w:color w:val="auto"/>
        </w:rPr>
        <w:t>Mayer Brown is a global services provider comprising an association of legal practices that are separate entities including</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Mayer Brown LLP (Illinois, USA), Mayer Brown International LLP (England &amp; Wales), Mayer Brown Hong Kong LLP (a Hong Kong limited liability partnership which operates in temporary association with</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Hong Kong partnership Johnson Stokes &amp; Master)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and Tauil &amp; Chequer Advogados (a Brazilian law partnership).</w:t>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t>Mayer Brown LLP</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 2025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239" w:lineRule="exact"/>
        <w:rPr>
          <w:sz w:val="20"/>
          <w:szCs w:val="20"/>
          <w:color w:val="auto"/>
        </w:rPr>
      </w:pPr>
    </w:p>
    <w:p>
      <w:pPr>
        <w:ind w:firstLine="527"/>
        <w:spacing w:after="0" w:line="271" w:lineRule="auto"/>
        <w:tabs>
          <w:tab w:leader="none" w:pos="90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imposed by general principles of equity upon the availability of equitable remedies or the enforcement of provisions of any Securities, and the effect of judicial decisions which have held that certain provisions are unenforceable where their enforcement would violate the implied covenant of good faith and fair dealing, or would be commercially unreasonable, or where their breach is not material; and</w:t>
      </w:r>
    </w:p>
    <w:p>
      <w:pPr>
        <w:spacing w:after="0" w:line="52" w:lineRule="exact"/>
        <w:rPr>
          <w:rFonts w:ascii="Times New Roman" w:cs="Times New Roman" w:eastAsia="Times New Roman" w:hAnsi="Times New Roman"/>
          <w:sz w:val="17"/>
          <w:szCs w:val="17"/>
          <w:color w:val="auto"/>
        </w:rPr>
      </w:pPr>
    </w:p>
    <w:p>
      <w:pPr>
        <w:ind w:right="40" w:firstLine="527"/>
        <w:spacing w:after="0" w:line="290" w:lineRule="auto"/>
        <w:tabs>
          <w:tab w:leader="none" w:pos="95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opinion is based upon current statutes, rules, regulations, cases and official interpretive opinions, and it covers certain items that are not directly or definitively addressed by such authorities.</w:t>
      </w:r>
    </w:p>
    <w:p>
      <w:pPr>
        <w:spacing w:after="0" w:line="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Based on the foregoing, and subject to the further assumptions and qualifications set forth below, it is our opinion that:</w:t>
      </w:r>
    </w:p>
    <w:p>
      <w:pPr>
        <w:spacing w:after="0" w:line="97" w:lineRule="exact"/>
        <w:rPr>
          <w:sz w:val="20"/>
          <w:szCs w:val="20"/>
          <w:color w:val="auto"/>
        </w:rPr>
      </w:pPr>
    </w:p>
    <w:p>
      <w:pPr>
        <w:ind w:right="40" w:firstLine="520"/>
        <w:spacing w:after="0" w:line="261" w:lineRule="auto"/>
        <w:rPr>
          <w:sz w:val="20"/>
          <w:szCs w:val="20"/>
          <w:color w:val="auto"/>
        </w:rPr>
      </w:pPr>
      <w:r>
        <w:rPr>
          <w:rFonts w:ascii="Times New Roman" w:cs="Times New Roman" w:eastAsia="Times New Roman" w:hAnsi="Times New Roman"/>
          <w:sz w:val="17"/>
          <w:szCs w:val="17"/>
          <w:color w:val="auto"/>
        </w:rPr>
        <w:t>When the Registration Statement has become effective under the Securities Act and any and all required filings relating to the Common Stock and when the necessary corporate action on the part of the Company has been taken to authorize the issuance and sale of such shares of Common Stock proposed to be sold by the Company, and when such shares of Common Stock are issued and delivered in accordance with the applicable definitive purchase, underwriting or similar agreement against payment therefor (in excess of par value thereof) or upon conversion or exercise of any security offered under the Registration Statement (the “</w:t>
      </w:r>
      <w:r>
        <w:rPr>
          <w:rFonts w:ascii="Times New Roman" w:cs="Times New Roman" w:eastAsia="Times New Roman" w:hAnsi="Times New Roman"/>
          <w:sz w:val="17"/>
          <w:szCs w:val="17"/>
          <w:b w:val="1"/>
          <w:bCs w:val="1"/>
          <w:color w:val="auto"/>
        </w:rPr>
        <w:t>Offered Security</w:t>
      </w:r>
      <w:r>
        <w:rPr>
          <w:rFonts w:ascii="Times New Roman" w:cs="Times New Roman" w:eastAsia="Times New Roman" w:hAnsi="Times New Roman"/>
          <w:sz w:val="17"/>
          <w:szCs w:val="17"/>
          <w:color w:val="auto"/>
        </w:rPr>
        <w:t>”), in accordance with the terms of such Offered Security or the instrument governing such Offered Security providing for such conversion or exercise as approved by the Board of Directors of the Company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for the consideration approved by the Board (which consideration is not less than the par value of the Common Stock), such shares of Common Stock will be validly issued, fully-paid and non-assessable.</w:t>
      </w:r>
    </w:p>
    <w:p>
      <w:pPr>
        <w:spacing w:after="0" w:line="50" w:lineRule="exact"/>
        <w:rPr>
          <w:sz w:val="20"/>
          <w:szCs w:val="20"/>
          <w:color w:val="auto"/>
        </w:rPr>
      </w:pPr>
    </w:p>
    <w:p>
      <w:pPr>
        <w:ind w:right="20" w:firstLine="520"/>
        <w:spacing w:after="0" w:line="261" w:lineRule="auto"/>
        <w:rPr>
          <w:sz w:val="20"/>
          <w:szCs w:val="20"/>
          <w:color w:val="auto"/>
        </w:rPr>
      </w:pPr>
      <w:r>
        <w:rPr>
          <w:rFonts w:ascii="Times New Roman" w:cs="Times New Roman" w:eastAsia="Times New Roman" w:hAnsi="Times New Roman"/>
          <w:sz w:val="17"/>
          <w:szCs w:val="17"/>
          <w:color w:val="auto"/>
        </w:rPr>
        <w:t>In rendering the opinion expressed above, we have further assumed that: (i) the Registration Statement and any amendments thereto (including post-effective amendments) will have become effective and comply with all applicable laws; (ii) the Registration Statement will be effective and will comply with all applicable laws at the time the Securities are offered or issued as contemplated by the Registration Statement; (iii) the terms of the Securities will conform, where applicable, to the respective forms thereof filed as exhibits to the Registration Statement and the terms of all Securities will conform in all material respects to the respective descriptions thereof in the Prospectus which is part of the Registration Statement (the “</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(iv) the Securities will be sold and delivered to, and paid for by, the purchasers at the price specified in, and in accordance with the terms of, an agreement or agreements duly authorized, executed and delivered by the parties thereto; and (v) certificates, if required, representing the Securities will be duly executed and delivered and, to the extent required by any applicable agreement, duly authenticated and countersigned.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It is understood that this opinion is to be used only in connection with the offer and sale of Securities while the Registration Statement is in effect.</w:t>
      </w:r>
    </w:p>
    <w:p>
      <w:pPr>
        <w:spacing w:after="0" w:line="97" w:lineRule="exact"/>
        <w:rPr>
          <w:sz w:val="20"/>
          <w:szCs w:val="20"/>
          <w:color w:val="auto"/>
        </w:rPr>
      </w:pPr>
    </w:p>
    <w:p>
      <w:pPr>
        <w:ind w:right="460" w:firstLine="520"/>
        <w:spacing w:after="0" w:line="290" w:lineRule="auto"/>
        <w:rPr>
          <w:sz w:val="20"/>
          <w:szCs w:val="20"/>
          <w:color w:val="auto"/>
        </w:rPr>
      </w:pPr>
      <w:r>
        <w:rPr>
          <w:rFonts w:ascii="Times New Roman" w:cs="Times New Roman" w:eastAsia="Times New Roman" w:hAnsi="Times New Roman"/>
          <w:sz w:val="17"/>
          <w:szCs w:val="17"/>
          <w:color w:val="auto"/>
        </w:rPr>
        <w:t>Please note that we are opining only as to the matters expressly set forth herein, that no opinion should be inferred as to any other matter. We do not express any opinion with respect to the laws of any jurisdiction other than the State of New York, the General Corporation Law of</w:t>
      </w:r>
    </w:p>
    <w:p>
      <w:pPr>
        <w:sectPr>
          <w:pgSz w:w="11900" w:h="16838" w:orient="portrait"/>
          <w:cols w:equalWidth="0" w:num="1">
            <w:col w:w="11240"/>
          </w:cols>
          <w:pgMar w:left="300" w:top="12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Mayer Brown LLP</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 2025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3</w:t>
      </w:r>
    </w:p>
    <w:p>
      <w:pPr>
        <w:spacing w:after="0" w:line="23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State of Delaware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and the federal laws of the United States of America, as in effect on the date hereof. This opinion is based upon currently existing laws,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52" w:lineRule="exact"/>
        <w:rPr>
          <w:sz w:val="20"/>
          <w:szCs w:val="20"/>
          <w:color w:val="auto"/>
        </w:rPr>
      </w:pPr>
    </w:p>
    <w:p>
      <w:pPr>
        <w:jc w:val="both"/>
        <w:ind w:firstLine="520"/>
        <w:spacing w:after="0" w:line="271" w:lineRule="auto"/>
        <w:rPr>
          <w:sz w:val="20"/>
          <w:szCs w:val="20"/>
          <w:color w:val="auto"/>
        </w:rPr>
      </w:pPr>
      <w:r>
        <w:rPr>
          <w:rFonts w:ascii="Times New Roman" w:cs="Times New Roman" w:eastAsia="Times New Roman" w:hAnsi="Times New Roman"/>
          <w:sz w:val="17"/>
          <w:szCs w:val="17"/>
          <w:color w:val="auto"/>
        </w:rPr>
        <w:t>We hereby consent to the use of this opinion as Exhibit 5.1 to the Registration Statement and to the reference to us under the caption “Legal Matters” in the prospectus included in the Registration Statement. In giving such consent, we do not hereby admit that we are acting within the category of persons whose consent is required under Section 7 of the Securities Act or the rules or regulations of the Commission thereunder.</w:t>
      </w:r>
    </w:p>
    <w:p>
      <w:pPr>
        <w:spacing w:after="0" w:line="3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0" w:lineRule="exact"/>
        <w:rPr>
          <w:sz w:val="20"/>
          <w:szCs w:val="20"/>
          <w:color w:val="auto"/>
        </w:rPr>
      </w:pPr>
    </w:p>
    <w:p>
      <w:pPr>
        <w:spacing w:after="0" w:line="254"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/s/ Mayer Brown LLP</w:t>
      </w:r>
    </w:p>
    <w:p>
      <w:pPr>
        <w:spacing w:after="0" w:line="10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Mayer Brown LLP</w:t>
      </w:r>
    </w:p>
    <w:p>
      <w:pPr>
        <w:sectPr>
          <w:pgSz w:w="11900" w:h="16838" w:orient="portrait"/>
          <w:cols w:equalWidth="0" w:num="1">
            <w:col w:w="11040"/>
          </w:cols>
          <w:pgMar w:left="300" w:top="128" w:right="5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50"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4"/>
          <w:szCs w:val="14"/>
          <w:color w:val="333333"/>
        </w:rPr>
        <w:t>We consent to the reference to our firm under the caption "Experts" in the Registration Statement (Form S-3) and related Prospectus of Perella Weinberg Partners for the registration of Class A shares of its common stock and to the incorporation by reference therein of our reports dated February 27, 2025, with respect to the consolidated financial statements of Perella Weinberg Partners, and the effectiveness of internal control over financial reporting of Perella Weinberg Partners, included in its Annual Report (Form 10-K) for the year ended December 31, 2024, filed with the Securities and Exchange Commission.</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1, 2025</w:t>
      </w:r>
    </w:p>
    <w:sectPr>
      <w:pgSz w:w="11900" w:h="16838" w:orient="portrait"/>
      <w:cols w:equalWidth="0" w:num="1">
        <w:col w:w="11280"/>
      </w:cols>
      <w:pgMar w:left="300" w:top="1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lvl w:ilvl="1">
      <w:lvlJc w:val="left"/>
      <w:lvlText w:val="(%2)"/>
      <w:numFmt w:val="lowerRoman"/>
      <w:start w:val="1"/>
    </w:lvl>
  </w:abstractNum>
  <w:abstractNum w:abstractNumId="10">
    <w:nsid w:val="140E0F76"/>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1">
    <w:nsid w:val="3352255A"/>
    <w:multiLevelType w:val="hybridMultilevel"/>
    <w:lvl w:ilvl="0">
      <w:lvlJc w:val="left"/>
      <w:lvlText w:val="(%1)"/>
      <w:numFmt w:val="decimal"/>
      <w:start w:val="7"/>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jpeg"/><Relationship Id="rId16" Type="http://schemas.openxmlformats.org/officeDocument/2006/relationships/hyperlink" Target="https://www.sec.gov/Archives/edgar/data/1777835/000162828022000893/exhibit31-sx1a1.htm" TargetMode="External"/><Relationship Id="rId17" Type="http://schemas.openxmlformats.org/officeDocument/2006/relationships/hyperlink" Target="https://www.sec.gov/Archives/edgar/data/1777835/000119312521204696/d119701dex32.htm" TargetMode="External"/><Relationship Id="rId18" Type="http://schemas.openxmlformats.org/officeDocument/2006/relationships/hyperlink" Target="https://www.sec.gov/Archives/edgar/data/1777835/000119312521204696/d11970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2025-08-01T15:32:34Z</dcterms:created>
  <dcterms:modified xsi:type="dcterms:W3CDTF">2025-08-01T15:32:34Z</dcterms:modified>
</cp:coreProperties>
</file>