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As filed with the Securities and Exchange Commission on July 22,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2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150495</wp:posOffset>
            </wp:positionV>
            <wp:extent cx="3086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PERELLA WEINBERG PARTNERS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80" w:type="dxa"/>
            <w:vAlign w:val="bottom"/>
          </w:tcPr>
          <w:p>
            <w:pPr>
              <w:spacing w:after="0"/>
              <w:rPr>
                <w:sz w:val="20"/>
                <w:szCs w:val="20"/>
                <w:color w:val="auto"/>
              </w:rPr>
            </w:pPr>
          </w:p>
        </w:tc>
        <w:tc>
          <w:tcPr>
            <w:tcW w:w="30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169"/>
        </w:trPr>
        <w:tc>
          <w:tcPr>
            <w:tcW w:w="2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tcPr>
          <w:p>
            <w:pPr>
              <w:spacing w:after="0"/>
              <w:rPr>
                <w:sz w:val="14"/>
                <w:szCs w:val="14"/>
                <w:color w:val="auto"/>
              </w:rPr>
            </w:pPr>
          </w:p>
        </w:tc>
        <w:tc>
          <w:tcPr>
            <w:tcW w:w="2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tcPr>
          <w:p>
            <w:pPr>
              <w:spacing w:after="0"/>
              <w:rPr>
                <w:sz w:val="14"/>
                <w:szCs w:val="14"/>
                <w:color w:val="auto"/>
              </w:rPr>
            </w:pPr>
          </w:p>
        </w:tc>
        <w:tc>
          <w:tcPr>
            <w:tcW w:w="3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3020" w:type="dxa"/>
            <w:vAlign w:val="bottom"/>
          </w:tcPr>
          <w:p>
            <w:pPr>
              <w:spacing w:after="0"/>
              <w:rPr>
                <w:sz w:val="20"/>
                <w:szCs w:val="20"/>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767 Fifth Avenue</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New York, New York 10153</w:t>
      </w:r>
    </w:p>
    <w:p>
      <w:pPr>
        <w:jc w:val="center"/>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161925</wp:posOffset>
            </wp:positionV>
            <wp:extent cx="3086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Vladimir Shendelman, Esq.</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General Counsel</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Perella Weinberg Partners 767 Fifth Avenue</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New York, New York 10153</w:t>
      </w:r>
    </w:p>
    <w:p>
      <w:pPr>
        <w:jc w:val="center"/>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170815</wp:posOffset>
            </wp:positionV>
            <wp:extent cx="3086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61" w:lineRule="exact"/>
        <w:rPr>
          <w:sz w:val="24"/>
          <w:szCs w:val="24"/>
          <w:color w:val="auto"/>
        </w:rPr>
      </w:pPr>
    </w:p>
    <w:tbl>
      <w:tblPr>
        <w:tblLayout w:type="fixed"/>
        <w:tblInd w:w="210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21"/>
        </w:trPr>
        <w:tc>
          <w:tcPr>
            <w:tcW w:w="110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r>
      <w:tr>
        <w:trPr>
          <w:trHeight w:val="414"/>
        </w:trPr>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Joseph A. Coco, Esq.</w:t>
            </w:r>
          </w:p>
        </w:tc>
        <w:tc>
          <w:tcPr>
            <w:tcW w:w="3660" w:type="dxa"/>
            <w:vAlign w:val="bottom"/>
            <w:gridSpan w:val="2"/>
          </w:tcPr>
          <w:p>
            <w:pPr>
              <w:jc w:val="center"/>
              <w:ind w:left="1725"/>
              <w:spacing w:after="0"/>
              <w:rPr>
                <w:sz w:val="20"/>
                <w:szCs w:val="20"/>
                <w:color w:val="auto"/>
              </w:rPr>
            </w:pPr>
            <w:r>
              <w:rPr>
                <w:rFonts w:ascii="Times New Roman" w:cs="Times New Roman" w:eastAsia="Times New Roman" w:hAnsi="Times New Roman"/>
                <w:sz w:val="14"/>
                <w:szCs w:val="14"/>
                <w:b w:val="1"/>
                <w:bCs w:val="1"/>
                <w:color w:val="auto"/>
              </w:rPr>
              <w:t>Richard D. Truesdell, Jr., Esq.</w:t>
            </w:r>
          </w:p>
        </w:tc>
      </w:tr>
      <w:tr>
        <w:trPr>
          <w:trHeight w:val="146"/>
        </w:trPr>
        <w:tc>
          <w:tcPr>
            <w:tcW w:w="2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Michael J. Schwartz, Esq.</w:t>
            </w:r>
          </w:p>
        </w:tc>
        <w:tc>
          <w:tcPr>
            <w:tcW w:w="3660" w:type="dxa"/>
            <w:vAlign w:val="bottom"/>
            <w:gridSpan w:val="2"/>
          </w:tcPr>
          <w:p>
            <w:pPr>
              <w:jc w:val="center"/>
              <w:ind w:left="1725"/>
              <w:spacing w:after="0" w:line="146" w:lineRule="exact"/>
              <w:rPr>
                <w:sz w:val="20"/>
                <w:szCs w:val="20"/>
                <w:color w:val="auto"/>
              </w:rPr>
            </w:pPr>
            <w:r>
              <w:rPr>
                <w:rFonts w:ascii="Times New Roman" w:cs="Times New Roman" w:eastAsia="Times New Roman" w:hAnsi="Times New Roman"/>
                <w:sz w:val="14"/>
                <w:szCs w:val="14"/>
                <w:b w:val="1"/>
                <w:bCs w:val="1"/>
                <w:color w:val="auto"/>
              </w:rPr>
              <w:t>Derek Dostal, Esq.</w:t>
            </w:r>
          </w:p>
        </w:tc>
      </w:tr>
      <w:tr>
        <w:trPr>
          <w:trHeight w:val="137"/>
        </w:trPr>
        <w:tc>
          <w:tcPr>
            <w:tcW w:w="2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Blair T. Thetford, Esq.</w:t>
            </w:r>
          </w:p>
        </w:tc>
        <w:tc>
          <w:tcPr>
            <w:tcW w:w="3660" w:type="dxa"/>
            <w:vAlign w:val="bottom"/>
            <w:gridSpan w:val="2"/>
          </w:tcPr>
          <w:p>
            <w:pPr>
              <w:jc w:val="center"/>
              <w:ind w:left="1725"/>
              <w:spacing w:after="0" w:line="137"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8"/>
        </w:trPr>
        <w:tc>
          <w:tcPr>
            <w:tcW w:w="2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Skadden, Arps, Slate, Meagher &amp; Flom LLP</w:t>
            </w:r>
          </w:p>
        </w:tc>
        <w:tc>
          <w:tcPr>
            <w:tcW w:w="3660" w:type="dxa"/>
            <w:vAlign w:val="bottom"/>
            <w:gridSpan w:val="2"/>
          </w:tcPr>
          <w:p>
            <w:pPr>
              <w:jc w:val="center"/>
              <w:ind w:left="1725"/>
              <w:spacing w:after="0" w:line="149" w:lineRule="exact"/>
              <w:rPr>
                <w:sz w:val="20"/>
                <w:szCs w:val="20"/>
                <w:color w:val="auto"/>
              </w:rPr>
            </w:pPr>
            <w:r>
              <w:rPr>
                <w:rFonts w:ascii="Times New Roman" w:cs="Times New Roman" w:eastAsia="Times New Roman" w:hAnsi="Times New Roman"/>
                <w:sz w:val="14"/>
                <w:szCs w:val="14"/>
                <w:b w:val="1"/>
                <w:bCs w:val="1"/>
                <w:color w:val="auto"/>
              </w:rPr>
              <w:t>450 Lexington Avenue</w:t>
            </w:r>
          </w:p>
        </w:tc>
      </w:tr>
      <w:tr>
        <w:trPr>
          <w:trHeight w:val="146"/>
        </w:trPr>
        <w:tc>
          <w:tcPr>
            <w:tcW w:w="29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One Manhattan West</w:t>
            </w:r>
          </w:p>
        </w:tc>
        <w:tc>
          <w:tcPr>
            <w:tcW w:w="3660" w:type="dxa"/>
            <w:vAlign w:val="bottom"/>
            <w:gridSpan w:val="2"/>
          </w:tcPr>
          <w:p>
            <w:pPr>
              <w:jc w:val="center"/>
              <w:ind w:left="1725"/>
              <w:spacing w:after="0" w:line="146" w:lineRule="exact"/>
              <w:rPr>
                <w:sz w:val="20"/>
                <w:szCs w:val="20"/>
                <w:color w:val="auto"/>
              </w:rPr>
            </w:pPr>
            <w:r>
              <w:rPr>
                <w:rFonts w:ascii="Times New Roman" w:cs="Times New Roman" w:eastAsia="Times New Roman" w:hAnsi="Times New Roman"/>
                <w:sz w:val="14"/>
                <w:szCs w:val="14"/>
                <w:b w:val="1"/>
                <w:bCs w:val="1"/>
                <w:color w:val="auto"/>
              </w:rPr>
              <w:t>New York, NY 10017</w:t>
            </w:r>
          </w:p>
        </w:tc>
      </w:tr>
      <w:tr>
        <w:trPr>
          <w:trHeight w:val="137"/>
        </w:trPr>
        <w:tc>
          <w:tcPr>
            <w:tcW w:w="2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New York, NY 10001</w:t>
            </w:r>
          </w:p>
        </w:tc>
        <w:tc>
          <w:tcPr>
            <w:tcW w:w="3660" w:type="dxa"/>
            <w:vAlign w:val="bottom"/>
            <w:gridSpan w:val="2"/>
          </w:tcPr>
          <w:p>
            <w:pPr>
              <w:jc w:val="center"/>
              <w:ind w:left="1725"/>
              <w:spacing w:after="0" w:line="137" w:lineRule="exact"/>
              <w:rPr>
                <w:sz w:val="20"/>
                <w:szCs w:val="20"/>
                <w:color w:val="auto"/>
              </w:rPr>
            </w:pPr>
            <w:r>
              <w:rPr>
                <w:rFonts w:ascii="Times New Roman" w:cs="Times New Roman" w:eastAsia="Times New Roman" w:hAnsi="Times New Roman"/>
                <w:sz w:val="14"/>
                <w:szCs w:val="14"/>
                <w:b w:val="1"/>
                <w:bCs w:val="1"/>
                <w:color w:val="auto"/>
              </w:rPr>
              <w:t>(212) 450-4000</w:t>
            </w:r>
          </w:p>
        </w:tc>
      </w:tr>
      <w:tr>
        <w:trPr>
          <w:trHeight w:val="190"/>
        </w:trPr>
        <w:tc>
          <w:tcPr>
            <w:tcW w:w="2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(212) 735-3000</w:t>
            </w:r>
          </w:p>
        </w:tc>
        <w:tc>
          <w:tcPr>
            <w:tcW w:w="302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this Registration Statement becomes effective.</w:t>
      </w:r>
    </w:p>
    <w:p>
      <w:pPr>
        <w:spacing w:after="0" w:line="44" w:lineRule="exact"/>
        <w:rPr>
          <w:sz w:val="24"/>
          <w:szCs w:val="24"/>
          <w:color w:val="auto"/>
        </w:rPr>
      </w:pPr>
    </w:p>
    <w:p>
      <w:pPr>
        <w:ind w:right="220"/>
        <w:spacing w:after="0" w:line="17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38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38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64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5" w:lineRule="exact"/>
        <w:rPr>
          <w:sz w:val="24"/>
          <w:szCs w:val="24"/>
          <w:color w:val="auto"/>
        </w:rPr>
      </w:pPr>
    </w:p>
    <w:p>
      <w:pPr>
        <w:ind w:right="56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 Border Third-Party Tender Offer)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p>
      <w:pPr>
        <w:spacing w:after="0" w:line="12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b w:val="1"/>
          <w:bCs w:val="1"/>
          <w:color w:val="F1665F"/>
        </w:rPr>
        <w:t>The information in this document may change. The registrant may not complete the offer and issue these securities until the registration statement filed with the United States Securities and Exchange Commission is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PRELIMINARY — SUBJECT TO COMPLETION, DATED JULY 22, 2022</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1714500" cy="951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1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of</w:t>
      </w:r>
    </w:p>
    <w:p>
      <w:pPr>
        <w:ind w:left="4600"/>
        <w:spacing w:after="0" w:line="219"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ind w:left="5500"/>
        <w:spacing w:after="0" w:line="234" w:lineRule="auto"/>
        <w:rPr>
          <w:sz w:val="20"/>
          <w:szCs w:val="20"/>
          <w:color w:val="auto"/>
        </w:rPr>
      </w:pPr>
      <w:r>
        <w:rPr>
          <w:rFonts w:ascii="Times New Roman" w:cs="Times New Roman" w:eastAsia="Times New Roman" w:hAnsi="Times New Roman"/>
          <w:sz w:val="18"/>
          <w:szCs w:val="18"/>
          <w:b w:val="1"/>
          <w:bCs w:val="1"/>
          <w:color w:val="auto"/>
        </w:rPr>
        <w:t>for</w:t>
      </w:r>
    </w:p>
    <w:p>
      <w:pPr>
        <w:ind w:left="4340"/>
        <w:spacing w:after="0" w:line="235" w:lineRule="auto"/>
        <w:rPr>
          <w:sz w:val="20"/>
          <w:szCs w:val="20"/>
          <w:color w:val="auto"/>
        </w:rPr>
      </w:pPr>
      <w:r>
        <w:rPr>
          <w:rFonts w:ascii="Times New Roman" w:cs="Times New Roman" w:eastAsia="Times New Roman" w:hAnsi="Times New Roman"/>
          <w:sz w:val="18"/>
          <w:szCs w:val="18"/>
          <w:b w:val="1"/>
          <w:bCs w:val="1"/>
          <w:color w:val="auto"/>
        </w:rPr>
        <w:t>Shares of Class A Common Stock</w:t>
      </w:r>
    </w:p>
    <w:p>
      <w:pPr>
        <w:ind w:left="5540"/>
        <w:spacing w:after="0" w:line="219" w:lineRule="auto"/>
        <w:rPr>
          <w:sz w:val="20"/>
          <w:szCs w:val="20"/>
          <w:color w:val="auto"/>
        </w:rPr>
      </w:pPr>
      <w:r>
        <w:rPr>
          <w:rFonts w:ascii="Times New Roman" w:cs="Times New Roman" w:eastAsia="Times New Roman" w:hAnsi="Times New Roman"/>
          <w:sz w:val="18"/>
          <w:szCs w:val="18"/>
          <w:b w:val="1"/>
          <w:bCs w:val="1"/>
          <w:color w:val="auto"/>
        </w:rPr>
        <w:t>of</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jc w:val="center"/>
        <w:ind w:right="-19"/>
        <w:spacing w:after="0" w:line="235" w:lineRule="auto"/>
        <w:rPr>
          <w:sz w:val="20"/>
          <w:szCs w:val="20"/>
          <w:color w:val="auto"/>
        </w:rPr>
      </w:pPr>
      <w:r>
        <w:rPr>
          <w:rFonts w:ascii="Times New Roman" w:cs="Times New Roman" w:eastAsia="Times New Roman" w:hAnsi="Times New Roman"/>
          <w:sz w:val="18"/>
          <w:szCs w:val="18"/>
          <w:b w:val="1"/>
          <w:bCs w:val="1"/>
          <w:color w:val="auto"/>
        </w:rPr>
        <w:t>and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CUSIP: 71367G110</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AFTER 11:59 P.M., EASTERN STANDARD TIME, ON</w:t>
      </w:r>
    </w:p>
    <w:p>
      <w:pPr>
        <w:spacing w:after="0" w:line="31" w:lineRule="exact"/>
        <w:rPr>
          <w:sz w:val="20"/>
          <w:szCs w:val="20"/>
          <w:color w:val="auto"/>
        </w:rPr>
      </w:pPr>
    </w:p>
    <w:p>
      <w:pPr>
        <w:ind w:right="2080" w:firstLine="2091"/>
        <w:spacing w:after="0" w:line="427" w:lineRule="auto"/>
        <w:rPr>
          <w:sz w:val="20"/>
          <w:szCs w:val="20"/>
          <w:color w:val="auto"/>
        </w:rPr>
      </w:pPr>
      <w:r>
        <w:rPr>
          <w:rFonts w:ascii="Times New Roman" w:cs="Times New Roman" w:eastAsia="Times New Roman" w:hAnsi="Times New Roman"/>
          <w:sz w:val="18"/>
          <w:szCs w:val="18"/>
          <w:b w:val="1"/>
          <w:bCs w:val="1"/>
          <w:color w:val="auto"/>
        </w:rPr>
        <w:t>AUGUST 18, 2022, UNLESS THE OFFER IS EXTENDED OR EARLIER TERMINATED. Terms of the Offer and Consent Solicitation</w:t>
      </w:r>
    </w:p>
    <w:p>
      <w:pPr>
        <w:spacing w:after="0" w:line="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Until the Expiration Date (as defined below), we are offering to the holders of our Warrants (as defined below) to purchase shares of Class A Common Stock, $0.0001 par value per share (“Class A Common Stock”), of Perella Weinberg Partners (the “Company”), the opportunity to receive 0.20 shares of Class A Common Stock in exchange for each of our Warrants tendered by the holder (“Warrant Holder”) and exchanged pursuant to the offer (the “Offer”).</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Offer is being made to all Warrant Holders. The Warrants are governed by the warrant agreement, dated as of September 24, 2020 (the “Warrant Agreement”), by and between the Company (f/k/a FinTech Acquisition Corp. IV) and Continental Stock Transfer &amp; Trust Company, as amended by Amendment No. 1 to Warrant Agreement, dated as of November 10, 2021, by and among the Company, Continental Stock Transfer &amp; Trust Company and American Stock Transfer &amp; Trust Company, LLC, as warrant agent. Our Class A Common Stock and our Warrants are listed on the Nasdaq Global Select Market (“Nasdaq”) under the symbols “PWP” and “PWPPW,” respectively. As of July 19, 2022, a total of 7,869,975 Warrants were outstanding, consisting of 7,666,642 Public Warrants (as defined below) and 203,333 Private Placement Warrants (as defined below). Pursuant to the Offer, we are offering up to an aggregate of 1,573,995 shares of our Class A Common Stock in exchange for all of the Warrants.</w:t>
      </w:r>
    </w:p>
    <w:p>
      <w:pPr>
        <w:spacing w:after="0" w:line="1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Each Warrant Holder whose Warrants are exchanged pursuant to the Offer will receive 0.20 shares of our Class A Common Stock for each Warrant tendered by such holder and exchanged. No fractional shares of Class A Common Stock will be issued pursuant to the Offer. In lieu of issuing fractional shares, any Warrant Holder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Class A Common Stock on the Nasdaq on the last trading day of the</w:t>
      </w:r>
    </w:p>
    <w:p>
      <w:pPr>
        <w:sectPr>
          <w:pgSz w:w="11900" w:h="16838" w:orient="portrait"/>
          <w:cols w:equalWidth="0" w:num="1">
            <w:col w:w="11220"/>
          </w:cols>
          <w:pgMar w:left="320" w:top="1440" w:right="359" w:bottom="1440" w:gutter="0" w:footer="0" w:header="0"/>
        </w:sectPr>
      </w:pPr>
    </w:p>
    <w:bookmarkStart w:id="2" w:name="page3"/>
    <w:bookmarkEnd w:id="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Period (as defined below). Our obligation to complete the Offer is not conditioned on the receipt of a minimum number of tendered Warrants.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Concurrently with the Offer, we are also soliciting consents (the “Consent Solicitation”) from Warrant Holders of the Public Warrants (the “Consent Warrants”) to amend the Warrant Agreement, which governs all of the Warrants, to permit the Company to require that each Warrant (including each Private Placement Warrant) that is outstanding upon the closing of the Offer be converted into 0.18 shares of Class A Common Stock, which is a ratio 10% less than the exchange ratio applicable to the Offer (the “Warrant Amendment”). Pursuant to the terms of the Warrant Agreement, all except certain specified modifications or amendments require the vote or written consent of holders of at least 65% of the outstanding Public Warrants.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Parties representing approximately 45.9% of the Public Warrants have agreed to tender their Warrants in the Offer and to consent to the Warrant Amendment in the Consent Solicitation pursuant to a tender and support agreement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 For additional detail regarding the Tender and Support Agreement, see “</w:t>
      </w:r>
      <w:r>
        <w:rPr>
          <w:rFonts w:ascii="Times New Roman" w:cs="Times New Roman" w:eastAsia="Times New Roman" w:hAnsi="Times New Roman"/>
          <w:sz w:val="18"/>
          <w:szCs w:val="18"/>
          <w:i w:val="1"/>
          <w:iCs w:val="1"/>
          <w:color w:val="auto"/>
        </w:rPr>
        <w:t>Market Information, Dividends and Related Stockholder Matters — Transactions and Agreements Concerning Our Securities — 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Support Agreement.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may not consent to the Warrant Amendment without tendering your Consent Warrants in the Offer and you may not tender such Warrants without consenting to the Warrant Amendment. The consent to the Warrant Amendment is a part of the letter of transmittal and consent (as it may be supplemented and amended from time to time, the “Letter of Transmittal and Consent”) relating to the Warrants, and therefore by tendering your Consent Warrants for exchange you will be delivering to us your consent. You may revoke your consent at any time prior to the Expiration Date (as defined below) by withdrawing the Consent Warrants you have tendered in the Offer.</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Offer and Consent Solicitation is made solely upon the terms and conditions in this Prospectus/Offer to Exchange and in the Letter of Transmittal and Consent. The Offer and Consent Solicitation will expire at one minute after 11:59 p.m., Eastern Standard Time, on August 18, 2022, or such later time and date to which we may extend (the period during which the Offer and Consent Solicitation is open, giving effect to any withdrawal or extension, is referred to as the “Offer Period,” and the date and time at which the Offer Period ends is referred to as the “Expiration Date”).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w:t>
      </w:r>
    </w:p>
    <w:p>
      <w:pPr>
        <w:spacing w:after="0" w:line="1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to the Offer and Consent Solicitation are not satisfied or waived prior to the Expiration Date. Promptly upon any such withdrawal, we will return the tendered Warrants to the Warrant Holders (and, with respect to the Consent Warrants, the related consent to the Warrant Amendment will be revoked).</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September 16, 2022, may thereafter be withdrawn by you until such time as the Warrants are accepted by us for exchange. If you withdraw the tender of your Consent Warrants, your consent to the Warrant Amendment will be withdrawn as a result.</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Warrants not exchanged for shares of our Class A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conversion of all Warrants to shares of Class A Common Stock as provided in the Warrant Amendment. Our</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Warrants are currently listed on the Nasdaq under the symbol “PWPPW”; however, our Warrants may be delisted if, following the completion of the Offer and Consent Solicitation, the extent of public distribution or the aggregate market value of the Warrants has become so reduced as to make further listing inadvisable or unavailable.</w:t>
      </w:r>
    </w:p>
    <w:p>
      <w:pPr>
        <w:spacing w:after="0" w:line="12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Offer and Consent Solicitation is conditioned upon the effectiveness of the registration statement on Form S-4, of which this Prospectus/Offer to Exchange forms a part, that we filed with the U.S. Securities and Exchange Commission (the “SEC”) regarding the shares of Class A Common Stock issuable upon exchange of the Warrants pursuant to the Offer.</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(the “Board”) has approved the Offer and Consent Solicitation. However, neither we nor any of our management, the Board, or the information agent, the exchange agent or the dealer manager for the Offer and Consent Solicitation is making any recommendation as to whether Warrant Holders should tender Warrants for exchange in the Offer and, as applicable, consent to the Warrant Amendment in the Consent Solicitation. Each Warrant Holder must make its own decision as to whether to exchange some or all of its Warrants and, as applicable, consent to the Warrant Amendment.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questions concerning the terms of the Offer and Consent Solicitation should be directed to the dealer manager: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Citigroup Global Markets Inc.</w:t>
      </w:r>
    </w:p>
    <w:p>
      <w:pPr>
        <w:jc w:val="center"/>
        <w:ind w:right="-59"/>
        <w:spacing w:after="0" w:line="221" w:lineRule="auto"/>
        <w:rPr>
          <w:sz w:val="20"/>
          <w:szCs w:val="20"/>
          <w:color w:val="auto"/>
        </w:rPr>
      </w:pPr>
      <w:r>
        <w:rPr>
          <w:rFonts w:ascii="Times New Roman" w:cs="Times New Roman" w:eastAsia="Times New Roman" w:hAnsi="Times New Roman"/>
          <w:sz w:val="18"/>
          <w:szCs w:val="18"/>
          <w:color w:val="auto"/>
        </w:rPr>
        <w:t>388 Greenwich Street, Trading, Fourth Floor</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New York, New York 10013</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(212) 723-7914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questions concerning exchange procedures and requests for additional copies of this Prospectus/Offer to Exchange, the Letter of Transmittal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or the Notice of Guaranteed Delivery should be directed to the information agent: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D.F. King &amp; Co., Inc.</w:t>
      </w:r>
    </w:p>
    <w:p>
      <w:pPr>
        <w:jc w:val="center"/>
        <w:ind w:right="-59"/>
        <w:spacing w:after="0" w:line="221" w:lineRule="auto"/>
        <w:rPr>
          <w:sz w:val="20"/>
          <w:szCs w:val="20"/>
          <w:color w:val="auto"/>
        </w:rPr>
      </w:pPr>
      <w:r>
        <w:rPr>
          <w:rFonts w:ascii="Times New Roman" w:cs="Times New Roman" w:eastAsia="Times New Roman" w:hAnsi="Times New Roman"/>
          <w:sz w:val="18"/>
          <w:szCs w:val="18"/>
          <w:color w:val="auto"/>
        </w:rPr>
        <w:t>48 Wall Street, 22nd Floor</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New York, New York 10005</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Call Toll-Free: (866) 342-4881</w:t>
      </w:r>
    </w:p>
    <w:p>
      <w:pPr>
        <w:jc w:val="center"/>
        <w:ind w:right="-59"/>
        <w:spacing w:after="0" w:line="219" w:lineRule="auto"/>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1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securities offered by this Prospectus/Offer to Exchange involve risks. Before participating in the Offer and consenting to the Warrant Amendment, you are urged to read carefully the section titled “Risk Factors” beginning on page </w:t>
      </w:r>
      <w:r>
        <w:rPr>
          <w:rFonts w:ascii="Times New Roman" w:cs="Times New Roman" w:eastAsia="Times New Roman" w:hAnsi="Times New Roman"/>
          <w:sz w:val="18"/>
          <w:szCs w:val="18"/>
          <w:b w:val="1"/>
          <w:bCs w:val="1"/>
          <w:u w:val="single" w:color="auto"/>
          <w:color w:val="0000FF"/>
        </w:rPr>
        <w:t>12</w:t>
      </w:r>
      <w:r>
        <w:rPr>
          <w:rFonts w:ascii="Times New Roman" w:cs="Times New Roman" w:eastAsia="Times New Roman" w:hAnsi="Times New Roman"/>
          <w:sz w:val="18"/>
          <w:szCs w:val="18"/>
          <w:b w:val="1"/>
          <w:bCs w:val="1"/>
          <w:color w:val="auto"/>
        </w:rPr>
        <w:t xml:space="preserve"> of this Prospectus/Offer to Exchange and in our 2021 Annual Report (as defined below), as well as any subsequently filed Quarterly Reports on Form 10-Q and Current Reports on Form 8-K (other than, in each case, information furnished rather than filed), which are incorporated herein by reference.</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Through the Offer, we are soliciting your consent to the Warrant Amendment. By tendering your Consent Warrants, you will be delivering your consent to the proposed Warrant Amendment, which consent will be effective upon our acceptance of such Warrants for exchange.</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The dealer manager for the Offer and Consent Solicitation is:</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Citigroup</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This Prospectus/Offer to Exchange is dated July 22, 2022.</w:t>
      </w:r>
    </w:p>
    <w:p>
      <w:pPr>
        <w:sectPr>
          <w:pgSz w:w="11900" w:h="16838" w:orient="portrait"/>
          <w:cols w:equalWidth="0" w:num="1">
            <w:col w:w="11200"/>
          </w:cols>
          <w:pgMar w:left="320" w:top="1440" w:right="379" w:bottom="1440" w:gutter="0" w:footer="0" w:header="0"/>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ABOUT THIS PROSPECTUS/OFFER TO EXCHANGE</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CAUTIONARY NOTE REGARDING FORWARD LOOKING STATEMENTS</w:t>
            </w:r>
          </w:p>
        </w:tc>
        <w:tc>
          <w:tcPr>
            <w:tcW w:w="3040" w:type="dxa"/>
            <w:vAlign w:val="bottom"/>
            <w:gridSpan w:val="4"/>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CERTAIN DEFINED TERMS</w:t>
            </w:r>
          </w:p>
        </w:tc>
        <w:tc>
          <w:tcPr>
            <w:tcW w:w="3560" w:type="dxa"/>
            <w:vAlign w:val="bottom"/>
            <w:gridSpan w:val="6"/>
          </w:tcPr>
          <w:p>
            <w:pPr>
              <w:spacing w:after="0"/>
              <w:rPr>
                <w:sz w:val="18"/>
                <w:szCs w:val="18"/>
                <w:color w:val="auto"/>
              </w:rPr>
            </w:pPr>
          </w:p>
        </w:tc>
        <w:tc>
          <w:tcPr>
            <w:tcW w:w="3040" w:type="dxa"/>
            <w:vAlign w:val="bottom"/>
            <w:gridSpan w:val="4"/>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SUMMARY</w:t>
            </w:r>
          </w:p>
        </w:tc>
        <w:tc>
          <w:tcPr>
            <w:tcW w:w="6600" w:type="dxa"/>
            <w:vAlign w:val="bottom"/>
            <w:gridSpan w:val="10"/>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560" w:type="dxa"/>
            <w:vAlign w:val="bottom"/>
            <w:gridSpan w:val="12"/>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3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THE OFFER AND CONSENT SOLICITATION</w:t>
            </w:r>
          </w:p>
        </w:tc>
        <w:tc>
          <w:tcPr>
            <w:tcW w:w="5280" w:type="dxa"/>
            <w:vAlign w:val="bottom"/>
            <w:gridSpan w:val="8"/>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9"/>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9"/>
        </w:trPr>
        <w:tc>
          <w:tcPr>
            <w:tcW w:w="65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COMPARATIVE PER SHARE INFORMATION</w:t>
            </w:r>
          </w:p>
        </w:tc>
        <w:tc>
          <w:tcPr>
            <w:tcW w:w="2240" w:type="dxa"/>
            <w:vAlign w:val="bottom"/>
            <w:gridSpan w:val="3"/>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MARKET INFORMATION, DIVIDENDS AND RELATED STOCKHOLDER MATTERS</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09"/>
        </w:trPr>
        <w:tc>
          <w:tcPr>
            <w:tcW w:w="25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4100" w:type="dxa"/>
            <w:vAlign w:val="bottom"/>
            <w:tcBorders>
              <w:top w:val="single" w:sz="8" w:color="0000FF"/>
            </w:tcBorders>
            <w:gridSpan w:val="7"/>
          </w:tcPr>
          <w:p>
            <w:pPr>
              <w:spacing w:after="0"/>
              <w:rPr>
                <w:sz w:val="18"/>
                <w:szCs w:val="18"/>
                <w:color w:val="auto"/>
              </w:rPr>
            </w:pPr>
          </w:p>
        </w:tc>
        <w:tc>
          <w:tcPr>
            <w:tcW w:w="2200" w:type="dxa"/>
            <w:vAlign w:val="bottom"/>
            <w:gridSpan w:val="2"/>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9"/>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7360" w:type="dxa"/>
            <w:vAlign w:val="bottom"/>
            <w:gridSpan w:val="11"/>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6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20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8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ANNEX A AMENDMENT NO. 2 TO WARRANT AGREEMENT</w:t>
            </w:r>
          </w:p>
        </w:tc>
        <w:tc>
          <w:tcPr>
            <w:tcW w:w="2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2"/>
              </w:rPr>
              <w:t>A-1</w:t>
            </w:r>
          </w:p>
        </w:tc>
      </w:tr>
      <w:tr>
        <w:trPr>
          <w:trHeight w:val="20"/>
        </w:trPr>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40" w:top="1440" w:right="359" w:bottom="1440" w:gutter="0" w:footer="0" w:header="0"/>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PROSPECTUS/OFFER TO EXCHANGE</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Prospectus/Offer to Exchange is a part of the registration statement on Form S-4 filed with the SEC. You should read this Prospectus/Offer to Exchange, including the detailed information regarding the Company, Class A Common Stock and Warrants, and the financial statements and related notes thereto that are incorporated by reference in this Prospectus/Offer to Exchange and any applicable prospectus supplement.</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you with information different from that contained in or incorporated by reference in this Prospectus/Offer to Exchange and in any accompanying prospectus supplement. We and the dealer manager take no responsibility for, and can provide no assurance as to the reliability of, any other information that others may give you. You should not assume that the information contained in or incorporated by reference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if the person making the offer or solicitation is not qualified to do so, or if it is unlawful for you to receive such an offer or solicitation.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Prospectus/Offer to Exchange incorporates by reference important business and financial information about us that is not included in or delivered with this document. This information is available without charge to our security holders upon written or oral request at: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10153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 287-3200</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To obtain timely delivery, you must request information no later than five business days prior to the expiration of the Offer and Consent Solicitation, which expiration is at one minute after 11:59 p.m., Eastern Standard Time, on August 18, 2022, unless the Offer is extended or earlier terminated.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our SEC filings are available to the public on the internet at a website maintained by the SEC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Prospectus/Offer to Exchange, we use the terms “the Company,” “our Company,” “we,” “us,” “our,” and similar references to refer to Perella Weinberg Partners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6" w:name="page7"/>
    <w:bookmarkEnd w:id="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 this Prospectus/Offer to Exchange are “forward looking statements” within the meaning of the federal securities laws, including the Private Securities Litigation Reform Act of 1995, Section 27A of the Securities Act of 1933, as amended (the “Securities Act”), and Section 21E of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40"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on Nasdaq following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07"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7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left="980" w:right="100" w:hanging="324"/>
        <w:spacing w:after="0" w:line="282"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71" w:lineRule="exact"/>
        <w:rPr>
          <w:rFonts w:ascii="Times New Roman" w:cs="Times New Roman" w:eastAsia="Times New Roman" w:hAnsi="Times New Roman"/>
          <w:sz w:val="18"/>
          <w:szCs w:val="18"/>
          <w:color w:val="auto"/>
        </w:rPr>
      </w:pPr>
    </w:p>
    <w:p>
      <w:pPr>
        <w:ind w:left="980" w:right="380" w:hanging="324"/>
        <w:spacing w:after="0" w:line="312" w:lineRule="auto"/>
        <w:tabs>
          <w:tab w:leader="none" w:pos="97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83" w:lineRule="exact"/>
        <w:rPr>
          <w:rFonts w:ascii="Times New Roman" w:cs="Times New Roman" w:eastAsia="Times New Roman" w:hAnsi="Times New Roman"/>
          <w:sz w:val="17"/>
          <w:szCs w:val="17"/>
          <w:color w:val="auto"/>
        </w:rPr>
      </w:pPr>
    </w:p>
    <w:p>
      <w:pPr>
        <w:ind w:left="980" w:hanging="324"/>
        <w:spacing w:after="0" w:line="267"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Prospectus/Offer to Exchange and in Amendment No. 1 to our Annual Report on Form 10-K/A for the year ended December 31, 2021, filed with the SEC on July 7, 2022 (the “2021 Annual Report”), and the other documents that we file with the SEC that are incorporated by reference herein.</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in this Prospectus/Offer to Exchange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1440" w:right="439" w:bottom="1440" w:gutter="0" w:footer="0" w:header="0"/>
        </w:sectPr>
      </w:pPr>
    </w:p>
    <w:bookmarkStart w:id="8" w:name="page9"/>
    <w:bookmarkEnd w:id="8"/>
    <w:p>
      <w:pPr>
        <w:spacing w:after="0" w:line="1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references in this Prospectus/Offer to Exchange to:</w:t>
      </w:r>
    </w:p>
    <w:p>
      <w:pPr>
        <w:spacing w:after="0" w:line="16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are to the business combination pursuant to that certain Business Combination Agreement, dated as of December 29, 2020 (the “Business Combination Agreement”), by and among FinTech Acquisition Corp. IV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which was consummated on June 24, 2021 (the “Closing Date”);</w:t>
      </w:r>
    </w:p>
    <w:p>
      <w:pPr>
        <w:spacing w:after="0" w:line="12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are to Class B common stock, par value $0.0001 per share, of FTIV prior to the Business Combination and, collectively to Class B-1 common stock, par value $0.0001 per share (the “Class B-1 Common Stock”), and Class B-2 common stock, par value $0.0001 per share (the “Class B-2 Common Stock”), of the Company immediately following the consummation of the Business Combination;</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Condition</w:t>
      </w:r>
      <w:r>
        <w:rPr>
          <w:rFonts w:ascii="Times New Roman" w:cs="Times New Roman" w:eastAsia="Times New Roman" w:hAnsi="Times New Roman"/>
          <w:sz w:val="18"/>
          <w:szCs w:val="18"/>
          <w:color w:val="auto"/>
        </w:rPr>
        <w:t>” are to the condition that Professional Partners or its limited partners as of the Closing Date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6" w:lineRule="exact"/>
        <w:rPr>
          <w:sz w:val="20"/>
          <w:szCs w:val="20"/>
          <w:color w:val="auto"/>
        </w:rPr>
      </w:pPr>
    </w:p>
    <w:p>
      <w:pPr>
        <w:ind w:right="4060"/>
        <w:spacing w:after="0" w:line="4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are to the consummation of the transactions contemplated by the Business Combination;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are to the Internal Revenue Code of 1986, as amended;</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are to the 7,870,000 shares of Class B Common Stock (as defined herein) held by the Sponsor prior to the Business Combination, 1,023,333 of which were forfeited and 6,846,667 of which were converted into shares of our Class A Common Stock at the closing of the Business Combination. All but 1,000,000 of the Founder Shares held by the Sponsor were distributed to the Sponsor’s members pursuant to the Sponsor Distribution (as defined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ILPs</w:t>
      </w:r>
      <w:r>
        <w:rPr>
          <w:rFonts w:ascii="Times New Roman" w:cs="Times New Roman" w:eastAsia="Times New Roman" w:hAnsi="Times New Roman"/>
          <w:sz w:val="18"/>
          <w:szCs w:val="18"/>
          <w:color w:val="auto"/>
        </w:rPr>
        <w:t>” are to certain existing investor limited partners of PWP OpCo who hold interests in PWP OpCo, alongside Professional Partners;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are to FTIV’s initial public offering on September 29, 2020 in which it sold 23,000,000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January 2022 Offering</w:t>
      </w:r>
      <w:r>
        <w:rPr>
          <w:rFonts w:ascii="Times New Roman" w:cs="Times New Roman" w:eastAsia="Times New Roman" w:hAnsi="Times New Roman"/>
          <w:sz w:val="18"/>
          <w:szCs w:val="18"/>
          <w:color w:val="auto"/>
        </w:rPr>
        <w:t>” are to the underwritten public offering of 3,502,033 shares of our Class A Common Stock completed on January 21,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Partners</w:t>
      </w:r>
      <w:r>
        <w:rPr>
          <w:rFonts w:ascii="Times New Roman" w:cs="Times New Roman" w:eastAsia="Times New Roman" w:hAnsi="Times New Roman"/>
          <w:sz w:val="18"/>
          <w:szCs w:val="18"/>
          <w:color w:val="auto"/>
        </w:rPr>
        <w:t>” are to former working limited partners whose tenure was terminated prior to November 1, 2020;</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Placement Shares</w:t>
      </w:r>
      <w:r>
        <w:rPr>
          <w:rFonts w:ascii="Times New Roman" w:cs="Times New Roman" w:eastAsia="Times New Roman" w:hAnsi="Times New Roman"/>
          <w:sz w:val="18"/>
          <w:szCs w:val="18"/>
          <w:color w:val="auto"/>
        </w:rPr>
        <w:t>” are to the 610,000 shares of Class A Common Stock underlying the 610,000 units that were initially issued to the Sponsor in a private placement simultaneously with the closing of the IPO and which were distributed to the Sponsor’s members pursuant to the Sponsor Distribution;</w:t>
      </w:r>
    </w:p>
    <w:p>
      <w:pPr>
        <w:spacing w:after="0" w:line="104"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are to the 203,333 warrants underlying the 610,000 units that were initially issued to Sponsor in a private placement simultaneously with the closing of the IPO and which were distributed to the Sponsor’s members (which are “permitted transferees” under the Warrant Agreement) pursuant to the Sponsor Distribution;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are to the redeemable warrants underlying the units that were initially offered and sold by FTIV in its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9" w:name="page10"/>
    <w:bookmarkEnd w:id="9"/>
    <w:p>
      <w:pPr>
        <w:spacing w:after="0" w:line="138"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PWP</w:t>
      </w:r>
      <w:r>
        <w:rPr>
          <w:rFonts w:ascii="Times New Roman" w:cs="Times New Roman" w:eastAsia="Times New Roman" w:hAnsi="Times New Roman"/>
          <w:sz w:val="18"/>
          <w:szCs w:val="18"/>
          <w:color w:val="auto"/>
        </w:rPr>
        <w:t>” (i) prior to the Business Combination are to PWP OpCo and its consolidated subsidiaries and (ii) following the consummation of the Business Combination are to Perella Weinberg Partners and its consolidated subsidiaries;</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PWP OpCo Class A partnership unit</w:t>
      </w:r>
      <w:r>
        <w:rPr>
          <w:rFonts w:ascii="Times New Roman" w:cs="Times New Roman" w:eastAsia="Times New Roman" w:hAnsi="Times New Roman"/>
          <w:sz w:val="18"/>
          <w:szCs w:val="18"/>
          <w:color w:val="auto"/>
        </w:rPr>
        <w:t>” are to a Class A common unit of PWP Holdings LP, a Delaware limited partnership, that is issued by PWP Holdings LP pursuant to the Amended and Restated Agreement of Limited Partnership of PWP OpCo, dated as of June 24, 2021 (as amended, restated, modified or supplemented from time to time, the “PWP OpCo LPA”);</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Class B Condition</w:t>
      </w:r>
      <w:r>
        <w:rPr>
          <w:rFonts w:ascii="Times New Roman" w:cs="Times New Roman" w:eastAsia="Times New Roman" w:hAnsi="Times New Roman"/>
          <w:sz w:val="18"/>
          <w:szCs w:val="18"/>
          <w:color w:val="auto"/>
        </w:rPr>
        <w:t>” are to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w:t>
      </w:r>
    </w:p>
    <w:p>
      <w:pPr>
        <w:spacing w:after="0" w:line="12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Distribution</w:t>
      </w:r>
      <w:r>
        <w:rPr>
          <w:rFonts w:ascii="Times New Roman" w:cs="Times New Roman" w:eastAsia="Times New Roman" w:hAnsi="Times New Roman"/>
          <w:sz w:val="18"/>
          <w:szCs w:val="18"/>
          <w:color w:val="auto"/>
        </w:rPr>
        <w:t>” are to the distribution by the Sponsor of 5,456,667 shares of Class A Common Stock (Founder Shares and Placement Shares) and 203,333 Private Placement Warrants to its members (which are “permitted transferees” under the Warrant Agreement) on January 7, 2022, pursuant to its contractual obligation under the limited liability company agreement, after which the Sponsor owns 1,000,000 shares of Class A Common Stock and no Private Placement Warrants;</w:t>
      </w:r>
    </w:p>
    <w:p>
      <w:pPr>
        <w:spacing w:after="0" w:line="12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Share Surrender and Share Restriction Agreement</w:t>
      </w:r>
      <w:r>
        <w:rPr>
          <w:rFonts w:ascii="Times New Roman" w:cs="Times New Roman" w:eastAsia="Times New Roman" w:hAnsi="Times New Roman"/>
          <w:sz w:val="18"/>
          <w:szCs w:val="18"/>
          <w:color w:val="auto"/>
        </w:rPr>
        <w:t>” are to the Sponsor Share Surrender and Share Restriction Agreement, dated December 29, 2020, among the Sponsor, the Company, PWP OpCo and the other parties to that certain letter agreement, dated as of September 24, 2020, by and among the Sponsor, FTIV and such other parties, and as amended on May 4, 2021;</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are to the subscription agreements with certain private investors (“PIPE Investors”), pursuant to, and on the terms and subject to the conditions of, which the PIPE Investors collectively subscribed for 12,500,000 shares of the Company’s Class A Common Stock for an aggregate purchase price equal to $125 million (the “PIPE Investment”); 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to Public Warrants and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16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 and Consent Solicitation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 the documents incorporated by reference herein or included as exhibits to the registration statement on Form S-4 that contains this Prospectus/Offer to Exchange. Accordingly, you are urged to carefully review this Prospectus/Offer to Exchange in its entirety (including all documents incorporated by reference herein or filed as exhibits to the registration statement on Form S-4 that contains this Prospectus/Offer to Exchange, which exhibits may be obtained by following the procedures set forth herein in the section titled “Where You Can Find More Information; Incorporation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Offer and Consent Solicitation</w:t>
      </w:r>
    </w:p>
    <w:p>
      <w:pPr>
        <w:spacing w:after="0" w:line="212"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b w:val="1"/>
          <w:bCs w:val="1"/>
          <w:i w:val="1"/>
          <w:iCs w:val="1"/>
          <w:color w:val="auto"/>
        </w:rPr>
        <w:t>The Company</w:t>
      </w:r>
      <w:r>
        <w:rPr>
          <w:sz w:val="20"/>
          <w:szCs w:val="20"/>
          <w:color w:val="auto"/>
        </w:rPr>
        <w:tab/>
      </w:r>
      <w:r>
        <w:rPr>
          <w:rFonts w:ascii="Times New Roman" w:cs="Times New Roman" w:eastAsia="Times New Roman" w:hAnsi="Times New Roman"/>
          <w:sz w:val="17"/>
          <w:szCs w:val="17"/>
          <w:color w:val="auto"/>
        </w:rPr>
        <w:t>We are a leading global independent advisory firm that provides strategic and financial</w:t>
      </w:r>
    </w:p>
    <w:p>
      <w:pPr>
        <w:spacing w:after="0" w:line="6" w:lineRule="exact"/>
        <w:rPr>
          <w:sz w:val="20"/>
          <w:szCs w:val="20"/>
          <w:color w:val="auto"/>
        </w:rPr>
      </w:pPr>
    </w:p>
    <w:p>
      <w:pPr>
        <w:ind w:left="3140" w:right="100"/>
        <w:spacing w:after="0" w:line="208" w:lineRule="auto"/>
        <w:rPr>
          <w:sz w:val="20"/>
          <w:szCs w:val="20"/>
          <w:color w:val="auto"/>
        </w:rPr>
      </w:pPr>
      <w:r>
        <w:rPr>
          <w:rFonts w:ascii="Times New Roman" w:cs="Times New Roman" w:eastAsia="Times New Roman" w:hAnsi="Times New Roman"/>
          <w:sz w:val="18"/>
          <w:szCs w:val="18"/>
          <w:color w:val="auto"/>
        </w:rPr>
        <w:t>advice to clients across a range of the most active industry sectors and international markets. We provide advisory services to a wide range of clients globally, including large public multinational corporations, mid-sized public and private companies, individual</w:t>
      </w:r>
    </w:p>
    <w:p>
      <w:pPr>
        <w:spacing w:after="0" w:line="2" w:lineRule="exact"/>
        <w:rPr>
          <w:sz w:val="20"/>
          <w:szCs w:val="20"/>
          <w:color w:val="auto"/>
        </w:rPr>
      </w:pPr>
    </w:p>
    <w:p>
      <w:pPr>
        <w:ind w:left="3140" w:right="120"/>
        <w:spacing w:after="0" w:line="208" w:lineRule="auto"/>
        <w:rPr>
          <w:sz w:val="20"/>
          <w:szCs w:val="20"/>
          <w:color w:val="auto"/>
        </w:rPr>
      </w:pPr>
      <w:r>
        <w:rPr>
          <w:rFonts w:ascii="Times New Roman" w:cs="Times New Roman" w:eastAsia="Times New Roman" w:hAnsi="Times New Roman"/>
          <w:sz w:val="18"/>
          <w:szCs w:val="18"/>
          <w:color w:val="auto"/>
        </w:rPr>
        <w:t>entrepreneurs, private and institutional investors, creditor committees and government institutions. Our business provides services to multiple industry sectors, geographic markets and advisory service offerings. We believe that our collaborative partnership and integrated</w:t>
      </w:r>
    </w:p>
    <w:p>
      <w:pPr>
        <w:spacing w:after="0" w:line="2" w:lineRule="exact"/>
        <w:rPr>
          <w:sz w:val="20"/>
          <w:szCs w:val="20"/>
          <w:color w:val="auto"/>
        </w:rPr>
      </w:pPr>
    </w:p>
    <w:p>
      <w:pPr>
        <w:ind w:left="3140" w:right="80"/>
        <w:spacing w:after="0" w:line="220" w:lineRule="auto"/>
        <w:rPr>
          <w:sz w:val="20"/>
          <w:szCs w:val="20"/>
          <w:color w:val="auto"/>
        </w:rPr>
      </w:pPr>
      <w:r>
        <w:rPr>
          <w:rFonts w:ascii="Times New Roman" w:cs="Times New Roman" w:eastAsia="Times New Roman" w:hAnsi="Times New Roman"/>
          <w:sz w:val="17"/>
          <w:szCs w:val="17"/>
          <w:color w:val="auto"/>
        </w:rPr>
        <w:t>approach combining deep industry insights, significant technical, product and transactional expertise, and rigorous work ethic create a significant opportunity for our Company to realize sustainable growth. We seek to advise clients throughout their evolution, with the full</w:t>
      </w:r>
    </w:p>
    <w:p>
      <w:pPr>
        <w:spacing w:after="0" w:line="2" w:lineRule="exact"/>
        <w:rPr>
          <w:sz w:val="20"/>
          <w:szCs w:val="20"/>
          <w:color w:val="auto"/>
        </w:rPr>
      </w:pPr>
    </w:p>
    <w:p>
      <w:pPr>
        <w:jc w:val="both"/>
        <w:ind w:left="3140" w:right="120"/>
        <w:spacing w:after="0" w:line="208" w:lineRule="auto"/>
        <w:rPr>
          <w:sz w:val="20"/>
          <w:szCs w:val="20"/>
          <w:color w:val="auto"/>
        </w:rPr>
      </w:pPr>
      <w:r>
        <w:rPr>
          <w:rFonts w:ascii="Times New Roman" w:cs="Times New Roman" w:eastAsia="Times New Roman" w:hAnsi="Times New Roman"/>
          <w:sz w:val="18"/>
          <w:szCs w:val="18"/>
          <w:color w:val="auto"/>
        </w:rPr>
        <w:t>range of our advisory capabilities including, among other things, advice related to mission-critical strategic and financial decisions, M&amp;A execution, shareholder and defense advisory, capital raising, and liability management and restructuring, as well as specialized</w:t>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underwriting and research services primarily for the energy and related industries.</w:t>
      </w:r>
    </w:p>
    <w:p>
      <w:pPr>
        <w:spacing w:after="0" w:line="269"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b w:val="1"/>
          <w:bCs w:val="1"/>
          <w:i w:val="1"/>
          <w:iCs w:val="1"/>
          <w:color w:val="auto"/>
        </w:rPr>
        <w:t>Corporate Structure</w:t>
      </w:r>
      <w:r>
        <w:rPr>
          <w:sz w:val="20"/>
          <w:szCs w:val="20"/>
          <w:color w:val="auto"/>
        </w:rPr>
        <w:tab/>
      </w:r>
      <w:r>
        <w:rPr>
          <w:rFonts w:ascii="Times New Roman" w:cs="Times New Roman" w:eastAsia="Times New Roman" w:hAnsi="Times New Roman"/>
          <w:sz w:val="18"/>
          <w:szCs w:val="18"/>
          <w:color w:val="auto"/>
        </w:rPr>
        <w:t>Following the Business Combination, we were organized into an “Up-C” structure, pursuant</w:t>
      </w:r>
    </w:p>
    <w:p>
      <w:pPr>
        <w:spacing w:after="0" w:line="6" w:lineRule="exact"/>
        <w:rPr>
          <w:sz w:val="20"/>
          <w:szCs w:val="20"/>
          <w:color w:val="auto"/>
        </w:rPr>
      </w:pPr>
    </w:p>
    <w:p>
      <w:pPr>
        <w:jc w:val="both"/>
        <w:ind w:left="3140" w:right="40"/>
        <w:spacing w:after="0" w:line="220" w:lineRule="auto"/>
        <w:rPr>
          <w:sz w:val="20"/>
          <w:szCs w:val="20"/>
          <w:color w:val="auto"/>
        </w:rPr>
      </w:pPr>
      <w:r>
        <w:rPr>
          <w:rFonts w:ascii="Times New Roman" w:cs="Times New Roman" w:eastAsia="Times New Roman" w:hAnsi="Times New Roman"/>
          <w:sz w:val="17"/>
          <w:szCs w:val="17"/>
          <w:color w:val="auto"/>
        </w:rPr>
        <w:t>to which, among other things, we own interests in PWP OpCo, which is jointly-owned by the Company, Professional Partners and certain existing partners of PWP OpCo and serves as the Company’s operating partnership. We are a holding company and our only material assets</w:t>
      </w:r>
    </w:p>
    <w:p>
      <w:pPr>
        <w:spacing w:after="0" w:line="2" w:lineRule="exact"/>
        <w:rPr>
          <w:sz w:val="20"/>
          <w:szCs w:val="20"/>
          <w:color w:val="auto"/>
        </w:rPr>
      </w:pPr>
    </w:p>
    <w:p>
      <w:pPr>
        <w:ind w:left="3140" w:right="140"/>
        <w:spacing w:after="0" w:line="220" w:lineRule="auto"/>
        <w:rPr>
          <w:sz w:val="20"/>
          <w:szCs w:val="20"/>
          <w:color w:val="auto"/>
        </w:rPr>
      </w:pPr>
      <w:r>
        <w:rPr>
          <w:rFonts w:ascii="Times New Roman" w:cs="Times New Roman" w:eastAsia="Times New Roman" w:hAnsi="Times New Roman"/>
          <w:sz w:val="17"/>
          <w:szCs w:val="17"/>
          <w:color w:val="auto"/>
        </w:rPr>
        <w:t>are our partnership interests in PWP OpCo and our equity interest in the general partner of PWP OpCo, PWP GP. We operate and control all of the business and affairs of our advisory business, as run by PWP OpCo and its operating entity subsidiaries, indirectly through our</w:t>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equity interest in PWP GP.</w:t>
      </w:r>
    </w:p>
    <w:p>
      <w:pPr>
        <w:spacing w:after="0" w:line="111" w:lineRule="exact"/>
        <w:rPr>
          <w:sz w:val="20"/>
          <w:szCs w:val="20"/>
          <w:color w:val="auto"/>
        </w:rPr>
      </w:pPr>
    </w:p>
    <w:p>
      <w:pPr>
        <w:ind w:left="3140" w:right="60"/>
        <w:spacing w:after="0" w:line="236" w:lineRule="auto"/>
        <w:rPr>
          <w:sz w:val="20"/>
          <w:szCs w:val="20"/>
          <w:color w:val="auto"/>
        </w:rPr>
      </w:pPr>
      <w:r>
        <w:rPr>
          <w:rFonts w:ascii="Times New Roman" w:cs="Times New Roman" w:eastAsia="Times New Roman" w:hAnsi="Times New Roman"/>
          <w:sz w:val="17"/>
          <w:szCs w:val="17"/>
          <w:color w:val="auto"/>
          <w:highlight w:val="white"/>
        </w:rPr>
        <w:t>Subject to the exchange procedures and restrictions set forth in the PWP OpCo LPA, and any other procedures or restrictions imposed by us, holders of PWP OpCo Class A partnership</w:t>
      </w:r>
    </w:p>
    <w:p>
      <w:pPr>
        <w:ind w:left="3140" w:right="140"/>
        <w:spacing w:after="0" w:line="208" w:lineRule="auto"/>
        <w:rPr>
          <w:sz w:val="20"/>
          <w:szCs w:val="20"/>
          <w:color w:val="auto"/>
        </w:rPr>
      </w:pPr>
      <w:r>
        <w:rPr>
          <w:rFonts w:ascii="Times New Roman" w:cs="Times New Roman" w:eastAsia="Times New Roman" w:hAnsi="Times New Roman"/>
          <w:sz w:val="18"/>
          <w:szCs w:val="18"/>
          <w:color w:val="auto"/>
          <w:highlight w:val="white"/>
        </w:rPr>
        <w:t>units (other than us) may exchange these units for (i) shares of Class A Common Stock on a one-for-one basis (subject to customary conversion rate adjustments for stock splits, stock dividends and reclassifications) or (ii) cash from an offering of shares of Class A Common</w:t>
      </w:r>
    </w:p>
    <w:p>
      <w:pPr>
        <w:spacing w:after="0" w:line="2" w:lineRule="exact"/>
        <w:rPr>
          <w:sz w:val="20"/>
          <w:szCs w:val="20"/>
          <w:color w:val="auto"/>
        </w:rPr>
      </w:pPr>
    </w:p>
    <w:p>
      <w:pPr>
        <w:ind w:left="3140" w:right="160"/>
        <w:spacing w:after="0" w:line="208" w:lineRule="auto"/>
        <w:rPr>
          <w:sz w:val="20"/>
          <w:szCs w:val="20"/>
          <w:color w:val="auto"/>
        </w:rPr>
      </w:pPr>
      <w:r>
        <w:rPr>
          <w:rFonts w:ascii="Times New Roman" w:cs="Times New Roman" w:eastAsia="Times New Roman" w:hAnsi="Times New Roman"/>
          <w:sz w:val="18"/>
          <w:szCs w:val="18"/>
          <w:color w:val="auto"/>
          <w:highlight w:val="white"/>
        </w:rPr>
        <w:t>Stock (based on the net proceeds received by us for such shares in such offering) with the form of consideration determined by us. Simultaneously with an exchange by a PWP OpCo unitholder who holds shares of Class B Common Stock, a number of shares of Class B</w:t>
      </w:r>
    </w:p>
    <w:p>
      <w:pPr>
        <w:spacing w:after="0" w:line="2" w:lineRule="exact"/>
        <w:rPr>
          <w:sz w:val="20"/>
          <w:szCs w:val="20"/>
          <w:color w:val="auto"/>
        </w:rPr>
      </w:pPr>
    </w:p>
    <w:p>
      <w:pPr>
        <w:ind w:left="3140" w:right="180"/>
        <w:spacing w:after="0" w:line="208" w:lineRule="auto"/>
        <w:rPr>
          <w:sz w:val="20"/>
          <w:szCs w:val="20"/>
          <w:color w:val="auto"/>
        </w:rPr>
      </w:pPr>
      <w:r>
        <w:rPr>
          <w:rFonts w:ascii="Times New Roman" w:cs="Times New Roman" w:eastAsia="Times New Roman" w:hAnsi="Times New Roman"/>
          <w:sz w:val="18"/>
          <w:szCs w:val="18"/>
          <w:color w:val="auto"/>
          <w:highlight w:val="white"/>
        </w:rPr>
        <w:t>Common Stock held by such unitholder equal to the number of PWP OpCo Class A partnership units exchanged by such unitholder will be automatically converted into shares of Class A Common Stock or cash which will be delivered to the exchanging holder (at our</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highlight w:val="white"/>
        </w:rPr>
        <w:t>option) at a conversion rate of 1:1000 (or 0.001).</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93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120" w:right="100"/>
        <w:spacing w:after="0" w:line="242" w:lineRule="auto"/>
        <w:rPr>
          <w:sz w:val="20"/>
          <w:szCs w:val="20"/>
          <w:color w:val="auto"/>
        </w:rPr>
      </w:pPr>
      <w:r>
        <w:rPr>
          <w:rFonts w:ascii="Times New Roman" w:cs="Times New Roman" w:eastAsia="Times New Roman" w:hAnsi="Times New Roman"/>
          <w:sz w:val="18"/>
          <w:szCs w:val="18"/>
          <w:color w:val="auto"/>
        </w:rPr>
        <w:t>Such holders of PWP OpCo Class A partnership units and shares of Class B Common Stock may elect to exchange all or some of their PWP OpCo Class A partnership units and related shares of Class B Common Stock</w:t>
      </w:r>
    </w:p>
    <w:p>
      <w:pPr>
        <w:spacing w:after="0" w:line="1" w:lineRule="exact"/>
        <w:rPr>
          <w:sz w:val="20"/>
          <w:szCs w:val="20"/>
          <w:color w:val="auto"/>
        </w:rPr>
      </w:pPr>
    </w:p>
    <w:p>
      <w:pPr>
        <w:ind w:left="3120"/>
        <w:spacing w:after="0" w:line="234" w:lineRule="auto"/>
        <w:rPr>
          <w:sz w:val="20"/>
          <w:szCs w:val="20"/>
          <w:color w:val="auto"/>
        </w:rPr>
      </w:pPr>
      <w:r>
        <w:rPr>
          <w:rFonts w:ascii="Times New Roman" w:cs="Times New Roman" w:eastAsia="Times New Roman" w:hAnsi="Times New Roman"/>
          <w:sz w:val="18"/>
          <w:szCs w:val="18"/>
          <w:color w:val="auto"/>
        </w:rPr>
        <w:t>that are not subject to lock-up or other restrictions each quarter as described above. For the third quarter of 2022, as of July 8, 2022, we have received elections from five holders to exchange 764,111.152 PWP OpCo Class A partnership units and a related 764,111.152 shares of Class B Common Stock of a total of 8,735,299.256 PWP OpCo Class A partnership units and a related 8,735,299.256 shares of Class B Common Stock eligible to be exchanged. Assuming we elect to exchange the PWP OpCo Class A partnership units and shares of Class B Common Stock for shares of our Class A Common Stock, we expect to issue 764,873 shares of Class A Common Stock with respect to such exchanges on September 6, 2022 (the “Quarterly Exchange Date”).</w:t>
      </w:r>
    </w:p>
    <w:p>
      <w:pPr>
        <w:spacing w:after="0" w:line="135" w:lineRule="exact"/>
        <w:rPr>
          <w:sz w:val="20"/>
          <w:szCs w:val="20"/>
          <w:color w:val="auto"/>
        </w:rPr>
      </w:pPr>
    </w:p>
    <w:p>
      <w:pPr>
        <w:ind w:left="3120" w:right="240"/>
        <w:spacing w:after="0" w:line="250" w:lineRule="auto"/>
        <w:rPr>
          <w:sz w:val="20"/>
          <w:szCs w:val="20"/>
          <w:color w:val="auto"/>
        </w:rPr>
      </w:pPr>
      <w:r>
        <w:rPr>
          <w:rFonts w:ascii="Times New Roman" w:cs="Times New Roman" w:eastAsia="Times New Roman" w:hAnsi="Times New Roman"/>
          <w:sz w:val="18"/>
          <w:szCs w:val="18"/>
          <w:color w:val="auto"/>
        </w:rPr>
        <w:t>See the 2021 Annual Report and the other documents incorporated by reference herein for additional information regarding our corporate structure.</w:t>
      </w:r>
    </w:p>
    <w:p>
      <w:pPr>
        <w:spacing w:after="0" w:line="25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Corporate Contact Information</w:t>
      </w:r>
      <w:r>
        <w:rPr>
          <w:sz w:val="20"/>
          <w:szCs w:val="20"/>
          <w:color w:val="auto"/>
        </w:rPr>
        <w:tab/>
      </w:r>
      <w:r>
        <w:rPr>
          <w:rFonts w:ascii="Times New Roman" w:cs="Times New Roman" w:eastAsia="Times New Roman" w:hAnsi="Times New Roman"/>
          <w:sz w:val="17"/>
          <w:szCs w:val="17"/>
          <w:color w:val="auto"/>
        </w:rPr>
        <w:t>Our principal executive offices are located at 767 Fifth Avenue, New York, New York 10153.</w:t>
      </w:r>
    </w:p>
    <w:p>
      <w:pPr>
        <w:spacing w:after="0" w:line="6" w:lineRule="exact"/>
        <w:rPr>
          <w:sz w:val="20"/>
          <w:szCs w:val="20"/>
          <w:color w:val="auto"/>
        </w:rPr>
      </w:pPr>
    </w:p>
    <w:p>
      <w:pPr>
        <w:ind w:left="3120" w:right="180"/>
        <w:spacing w:after="0" w:line="208" w:lineRule="auto"/>
        <w:rPr>
          <w:sz w:val="20"/>
          <w:szCs w:val="20"/>
          <w:color w:val="auto"/>
        </w:rPr>
      </w:pPr>
      <w:r>
        <w:rPr>
          <w:rFonts w:ascii="Times New Roman" w:cs="Times New Roman" w:eastAsia="Times New Roman" w:hAnsi="Times New Roman"/>
          <w:sz w:val="18"/>
          <w:szCs w:val="18"/>
          <w:color w:val="auto"/>
        </w:rPr>
        <w:t>Our telephone number is (212) 287-3200. Our website address is www.pwpartners.com where general information about us is available. The information contained on, or that may be accessed through, our website is not part of, and is not incorporated into, this</w:t>
      </w:r>
    </w:p>
    <w:p>
      <w:pPr>
        <w:spacing w:after="0" w:line="2" w:lineRule="exact"/>
        <w:rPr>
          <w:sz w:val="20"/>
          <w:szCs w:val="20"/>
          <w:color w:val="auto"/>
        </w:rPr>
      </w:pPr>
    </w:p>
    <w:p>
      <w:pPr>
        <w:ind w:left="3120" w:right="620"/>
        <w:spacing w:after="0" w:line="226" w:lineRule="auto"/>
        <w:rPr>
          <w:sz w:val="20"/>
          <w:szCs w:val="20"/>
          <w:color w:val="auto"/>
        </w:rPr>
      </w:pPr>
      <w:r>
        <w:rPr>
          <w:rFonts w:ascii="Times New Roman" w:cs="Times New Roman" w:eastAsia="Times New Roman" w:hAnsi="Times New Roman"/>
          <w:sz w:val="18"/>
          <w:szCs w:val="18"/>
          <w:color w:val="auto"/>
        </w:rPr>
        <w:t>Prospectus/Offer to Exchange or the registration statement on Form S-4 of which the Prospectus/Offer to Exchange forms a part.</w:t>
      </w:r>
    </w:p>
    <w:p>
      <w:pPr>
        <w:spacing w:after="0" w:line="26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Warrants that qualify for the Offer</w:t>
      </w:r>
      <w:r>
        <w:rPr>
          <w:sz w:val="20"/>
          <w:szCs w:val="20"/>
          <w:color w:val="auto"/>
        </w:rPr>
        <w:tab/>
      </w:r>
      <w:r>
        <w:rPr>
          <w:rFonts w:ascii="Times New Roman" w:cs="Times New Roman" w:eastAsia="Times New Roman" w:hAnsi="Times New Roman"/>
          <w:sz w:val="17"/>
          <w:szCs w:val="17"/>
          <w:color w:val="auto"/>
        </w:rPr>
        <w:t>As of July 19, 2022, we had outstanding an aggregate of 7,869,975 Warrants, consisting of</w:t>
      </w:r>
    </w:p>
    <w:p>
      <w:pPr>
        <w:spacing w:after="0" w:line="6" w:lineRule="exact"/>
        <w:rPr>
          <w:sz w:val="20"/>
          <w:szCs w:val="20"/>
          <w:color w:val="auto"/>
        </w:rPr>
      </w:pPr>
    </w:p>
    <w:p>
      <w:pPr>
        <w:ind w:left="3120" w:right="20"/>
        <w:spacing w:after="0" w:line="220" w:lineRule="auto"/>
        <w:rPr>
          <w:sz w:val="20"/>
          <w:szCs w:val="20"/>
          <w:color w:val="auto"/>
        </w:rPr>
      </w:pPr>
      <w:r>
        <w:rPr>
          <w:rFonts w:ascii="Times New Roman" w:cs="Times New Roman" w:eastAsia="Times New Roman" w:hAnsi="Times New Roman"/>
          <w:sz w:val="17"/>
          <w:szCs w:val="17"/>
          <w:color w:val="auto"/>
        </w:rPr>
        <w:t>7,666,642 Public Warrants and 203,333 Private Placement Warrants, each exercisable for one share of our Class A Common Stock at a price of $11.50 per share, subject to adjustments pursuant to the Warrant Agreement. Pursuant to the Offer, we are offering up to an aggregate</w:t>
      </w:r>
    </w:p>
    <w:p>
      <w:pPr>
        <w:spacing w:after="0" w:line="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of 1,573,995 shares of our Class A Common Stock in exchange for all of the Warrants.</w:t>
      </w:r>
    </w:p>
    <w:p>
      <w:pPr>
        <w:spacing w:after="0" w:line="27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Under the Warrant Agreement, we may call the Warrants (excluding the Private Placement</w:t>
      </w:r>
    </w:p>
    <w:p>
      <w:pPr>
        <w:spacing w:after="0" w:line="2" w:lineRule="exact"/>
        <w:rPr>
          <w:sz w:val="20"/>
          <w:szCs w:val="20"/>
          <w:color w:val="auto"/>
        </w:rPr>
      </w:pPr>
    </w:p>
    <w:p>
      <w:pPr>
        <w:ind w:left="3120" w:right="620"/>
        <w:spacing w:after="0" w:line="226" w:lineRule="auto"/>
        <w:rPr>
          <w:sz w:val="20"/>
          <w:szCs w:val="20"/>
          <w:color w:val="auto"/>
        </w:rPr>
      </w:pPr>
      <w:r>
        <w:rPr>
          <w:rFonts w:ascii="Times New Roman" w:cs="Times New Roman" w:eastAsia="Times New Roman" w:hAnsi="Times New Roman"/>
          <w:sz w:val="18"/>
          <w:szCs w:val="18"/>
          <w:color w:val="auto"/>
        </w:rPr>
        <w:t>Warrants so long as they are still held by the Sponsor or its permitted transferees) for redemption at our option:</w:t>
      </w:r>
    </w:p>
    <w:p>
      <w:pPr>
        <w:spacing w:after="0" w:line="265" w:lineRule="exact"/>
        <w:rPr>
          <w:sz w:val="20"/>
          <w:szCs w:val="20"/>
          <w:color w:val="auto"/>
        </w:rPr>
      </w:pPr>
    </w:p>
    <w:p>
      <w:pPr>
        <w:ind w:left="3760" w:hanging="312"/>
        <w:spacing w:after="0"/>
        <w:tabs>
          <w:tab w:leader="none" w:pos="3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3760" w:hanging="312"/>
        <w:spacing w:after="0"/>
        <w:tabs>
          <w:tab w:leader="none" w:pos="3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3780" w:right="680" w:hanging="332"/>
        <w:spacing w:after="0" w:line="250" w:lineRule="auto"/>
        <w:tabs>
          <w:tab w:leader="none" w:pos="3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35" w:lineRule="exact"/>
        <w:rPr>
          <w:rFonts w:ascii="Times New Roman" w:cs="Times New Roman" w:eastAsia="Times New Roman" w:hAnsi="Times New Roman"/>
          <w:sz w:val="18"/>
          <w:szCs w:val="18"/>
          <w:color w:val="auto"/>
        </w:rPr>
      </w:pPr>
    </w:p>
    <w:p>
      <w:pPr>
        <w:ind w:left="3780" w:right="80" w:hanging="332"/>
        <w:spacing w:after="0" w:line="216" w:lineRule="auto"/>
        <w:tabs>
          <w:tab w:leader="none" w:pos="3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our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 provided that there is an effective registration statement covering the shares of Class A Common Stock issuable upon exercise of the Warrants, and a current prospectus relating thereto, available throughout the 30-day redemption period or the Company has elected to require the exercise of Warrants on a “cashless basis.”</w:t>
      </w:r>
    </w:p>
    <w:p>
      <w:pPr>
        <w:sectPr>
          <w:pgSz w:w="11900" w:h="16838" w:orient="portrait"/>
          <w:cols w:equalWidth="0" w:num="1">
            <w:col w:w="98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60"/>
          </w:cols>
          <w:pgMar w:left="1020"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87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48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terms of the Private Placement Warrants are identical to the Public Warrants, except that</w:t>
      </w:r>
    </w:p>
    <w:p>
      <w:pPr>
        <w:spacing w:after="0" w:line="2" w:lineRule="exact"/>
        <w:rPr>
          <w:sz w:val="20"/>
          <w:szCs w:val="20"/>
          <w:color w:val="auto"/>
        </w:rPr>
      </w:pPr>
    </w:p>
    <w:p>
      <w:pPr>
        <w:ind w:left="3120" w:right="120"/>
        <w:spacing w:after="0" w:line="218" w:lineRule="auto"/>
        <w:rPr>
          <w:sz w:val="20"/>
          <w:szCs w:val="20"/>
          <w:color w:val="auto"/>
        </w:rPr>
      </w:pPr>
      <w:r>
        <w:rPr>
          <w:rFonts w:ascii="Times New Roman" w:cs="Times New Roman" w:eastAsia="Times New Roman" w:hAnsi="Times New Roman"/>
          <w:sz w:val="18"/>
          <w:szCs w:val="18"/>
          <w:color w:val="auto"/>
        </w:rPr>
        <w:t>the Private Placement Warrants are exercisable for cash or on a cashless basis and are not redeemable by the Company, in each case so long as they are still held by the Sponsor or its permitted transferees.</w:t>
      </w:r>
    </w:p>
    <w:p>
      <w:pPr>
        <w:spacing w:after="0" w:line="266" w:lineRule="exact"/>
        <w:rPr>
          <w:sz w:val="20"/>
          <w:szCs w:val="20"/>
          <w:color w:val="auto"/>
        </w:rPr>
      </w:pPr>
    </w:p>
    <w:p>
      <w:pPr>
        <w:ind w:left="3120" w:right="340"/>
        <w:spacing w:after="0" w:line="250" w:lineRule="auto"/>
        <w:rPr>
          <w:sz w:val="20"/>
          <w:szCs w:val="20"/>
          <w:color w:val="auto"/>
        </w:rPr>
      </w:pPr>
      <w:r>
        <w:rPr>
          <w:rFonts w:ascii="Times New Roman" w:cs="Times New Roman" w:eastAsia="Times New Roman" w:hAnsi="Times New Roman"/>
          <w:sz w:val="18"/>
          <w:szCs w:val="18"/>
          <w:color w:val="auto"/>
        </w:rPr>
        <w:t>The Warrants expire on June 24, 2026, at 5:00 p.m., New York City time, or earlier upon redemption or liquidation.</w:t>
      </w:r>
    </w:p>
    <w:p>
      <w:pPr>
        <w:spacing w:after="0" w:line="253"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Market Price of Our Class A Common</w:t>
      </w:r>
      <w:r>
        <w:rPr>
          <w:sz w:val="20"/>
          <w:szCs w:val="20"/>
          <w:color w:val="auto"/>
        </w:rPr>
        <w:tab/>
      </w:r>
      <w:r>
        <w:rPr>
          <w:rFonts w:ascii="Times New Roman" w:cs="Times New Roman" w:eastAsia="Times New Roman" w:hAnsi="Times New Roman"/>
          <w:sz w:val="17"/>
          <w:szCs w:val="17"/>
          <w:color w:val="auto"/>
        </w:rPr>
        <w:t>Our Class A Common Stock and our Warrants are currently listed on the Nasdaq under the</w:t>
      </w:r>
    </w:p>
    <w:p>
      <w:pPr>
        <w:spacing w:after="0" w:line="6" w:lineRule="exact"/>
        <w:rPr>
          <w:sz w:val="20"/>
          <w:szCs w:val="20"/>
          <w:color w:val="auto"/>
        </w:rPr>
      </w:pPr>
    </w:p>
    <w:p>
      <w:pPr>
        <w:ind w:left="3120" w:right="420" w:hanging="2959"/>
        <w:spacing w:after="0" w:line="226" w:lineRule="auto"/>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Stock</w:t>
      </w:r>
      <w:r>
        <w:rPr>
          <w:sz w:val="20"/>
          <w:szCs w:val="20"/>
          <w:color w:val="auto"/>
        </w:rPr>
        <w:tab/>
      </w:r>
      <w:r>
        <w:rPr>
          <w:rFonts w:ascii="Times New Roman" w:cs="Times New Roman" w:eastAsia="Times New Roman" w:hAnsi="Times New Roman"/>
          <w:sz w:val="18"/>
          <w:szCs w:val="18"/>
          <w:color w:val="auto"/>
        </w:rPr>
        <w:t>symbols “PWP” and “PWPPW,” respectively. See “</w:t>
      </w:r>
      <w:r>
        <w:rPr>
          <w:rFonts w:ascii="Times New Roman" w:cs="Times New Roman" w:eastAsia="Times New Roman" w:hAnsi="Times New Roman"/>
          <w:sz w:val="18"/>
          <w:szCs w:val="18"/>
          <w:i w:val="1"/>
          <w:iCs w:val="1"/>
          <w:color w:val="auto"/>
        </w:rPr>
        <w:t>Market Information, Dividends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Stockholder Matters.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The Offer</w:t>
      </w:r>
      <w:r>
        <w:rPr>
          <w:sz w:val="20"/>
          <w:szCs w:val="20"/>
          <w:color w:val="auto"/>
        </w:rPr>
        <w:tab/>
      </w:r>
      <w:r>
        <w:rPr>
          <w:rFonts w:ascii="Times New Roman" w:cs="Times New Roman" w:eastAsia="Times New Roman" w:hAnsi="Times New Roman"/>
          <w:sz w:val="17"/>
          <w:szCs w:val="17"/>
          <w:color w:val="auto"/>
        </w:rPr>
        <w:t>Each Warrant Holder who tenders Warrants for exchange pursuant to the Offer will receive</w:t>
      </w:r>
    </w:p>
    <w:p>
      <w:pPr>
        <w:spacing w:after="0" w:line="6" w:lineRule="exact"/>
        <w:rPr>
          <w:sz w:val="20"/>
          <w:szCs w:val="20"/>
          <w:color w:val="auto"/>
        </w:rPr>
      </w:pPr>
    </w:p>
    <w:p>
      <w:pPr>
        <w:ind w:left="3120" w:right="320"/>
        <w:spacing w:after="0" w:line="220" w:lineRule="auto"/>
        <w:rPr>
          <w:sz w:val="20"/>
          <w:szCs w:val="20"/>
          <w:color w:val="auto"/>
        </w:rPr>
      </w:pPr>
      <w:r>
        <w:rPr>
          <w:rFonts w:ascii="Times New Roman" w:cs="Times New Roman" w:eastAsia="Times New Roman" w:hAnsi="Times New Roman"/>
          <w:sz w:val="17"/>
          <w:szCs w:val="17"/>
          <w:color w:val="auto"/>
        </w:rPr>
        <w:t>0.20 shares of our Class A Common Stock for each Warrant so exchanged. No fractional shares of Class A Common Stock will be issued pursuant to the Offer. In lieu of issuing fractional shares, any Warrant Holder who would otherwise have been entitled to receive</w:t>
      </w:r>
    </w:p>
    <w:p>
      <w:pPr>
        <w:spacing w:after="0" w:line="2" w:lineRule="exact"/>
        <w:rPr>
          <w:sz w:val="20"/>
          <w:szCs w:val="20"/>
          <w:color w:val="auto"/>
        </w:rPr>
      </w:pPr>
    </w:p>
    <w:p>
      <w:pPr>
        <w:ind w:left="3120" w:right="220"/>
        <w:spacing w:after="0" w:line="220" w:lineRule="auto"/>
        <w:rPr>
          <w:sz w:val="20"/>
          <w:szCs w:val="20"/>
          <w:color w:val="auto"/>
        </w:rPr>
      </w:pPr>
      <w:r>
        <w:rPr>
          <w:rFonts w:ascii="Times New Roman" w:cs="Times New Roman" w:eastAsia="Times New Roman" w:hAnsi="Times New Roman"/>
          <w:sz w:val="17"/>
          <w:szCs w:val="17"/>
          <w:color w:val="auto"/>
        </w:rPr>
        <w:t>fractional shares pursuant to the Offer will, after aggregating all such fractional shares of such holder, be paid cash (without interest) in an amount equal to such fractional part of a share multiplied by the last sale price of our Class A Common Stock on the Nasdaq on the</w:t>
      </w:r>
    </w:p>
    <w:p>
      <w:pPr>
        <w:spacing w:after="0" w:line="2" w:lineRule="exact"/>
        <w:rPr>
          <w:sz w:val="20"/>
          <w:szCs w:val="20"/>
          <w:color w:val="auto"/>
        </w:rPr>
      </w:pPr>
    </w:p>
    <w:p>
      <w:pPr>
        <w:ind w:left="3120" w:right="140"/>
        <w:spacing w:after="0" w:line="226" w:lineRule="auto"/>
        <w:rPr>
          <w:sz w:val="20"/>
          <w:szCs w:val="20"/>
          <w:color w:val="auto"/>
        </w:rPr>
      </w:pPr>
      <w:r>
        <w:rPr>
          <w:rFonts w:ascii="Times New Roman" w:cs="Times New Roman" w:eastAsia="Times New Roman" w:hAnsi="Times New Roman"/>
          <w:sz w:val="18"/>
          <w:szCs w:val="18"/>
          <w:color w:val="auto"/>
        </w:rPr>
        <w:t>last trading day of the Offer Period. Our obligation to complete the Offer is not conditioned on the receipt of a minimum number of tendered Warrants.</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Holders of the Warrants tendered for exchange will not have to pay any of the exercise price</w:t>
      </w:r>
    </w:p>
    <w:p>
      <w:pPr>
        <w:spacing w:after="0" w:line="2" w:lineRule="exact"/>
        <w:rPr>
          <w:sz w:val="20"/>
          <w:szCs w:val="20"/>
          <w:color w:val="auto"/>
        </w:rPr>
      </w:pPr>
    </w:p>
    <w:p>
      <w:pPr>
        <w:ind w:left="3120" w:right="600"/>
        <w:spacing w:after="0" w:line="226" w:lineRule="auto"/>
        <w:rPr>
          <w:sz w:val="20"/>
          <w:szCs w:val="20"/>
          <w:color w:val="auto"/>
        </w:rPr>
      </w:pPr>
      <w:r>
        <w:rPr>
          <w:rFonts w:ascii="Times New Roman" w:cs="Times New Roman" w:eastAsia="Times New Roman" w:hAnsi="Times New Roman"/>
          <w:sz w:val="18"/>
          <w:szCs w:val="18"/>
          <w:color w:val="auto"/>
        </w:rPr>
        <w:t>for the tendered Warrants in order to receive shares of Class A Common Stock in the exchange.</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shares of Class A Common Stock issued in exchange for the tendered Warrants will be</w:t>
      </w:r>
    </w:p>
    <w:p>
      <w:pPr>
        <w:spacing w:after="0" w:line="2" w:lineRule="exact"/>
        <w:rPr>
          <w:sz w:val="20"/>
          <w:szCs w:val="20"/>
          <w:color w:val="auto"/>
        </w:rPr>
      </w:pPr>
    </w:p>
    <w:p>
      <w:pPr>
        <w:ind w:left="3120" w:right="20"/>
        <w:spacing w:after="0" w:line="218" w:lineRule="auto"/>
        <w:rPr>
          <w:sz w:val="20"/>
          <w:szCs w:val="20"/>
          <w:color w:val="auto"/>
        </w:rPr>
      </w:pPr>
      <w:r>
        <w:rPr>
          <w:rFonts w:ascii="Times New Roman" w:cs="Times New Roman" w:eastAsia="Times New Roman" w:hAnsi="Times New Roman"/>
          <w:sz w:val="18"/>
          <w:szCs w:val="18"/>
          <w:color w:val="auto"/>
        </w:rPr>
        <w:t>unrestricted and freely transferable, as long as the Warrant Holder is not an affiliate of ours and was not an affiliate of ours within the three months prior to the proposed transfer of such shares.</w:t>
      </w:r>
    </w:p>
    <w:p>
      <w:pPr>
        <w:spacing w:after="0" w:line="21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Offer is being made to all Warrant Holders except those holders who reside in states or</w:t>
      </w:r>
    </w:p>
    <w:p>
      <w:pPr>
        <w:spacing w:after="0" w:line="2" w:lineRule="exact"/>
        <w:rPr>
          <w:sz w:val="20"/>
          <w:szCs w:val="20"/>
          <w:color w:val="auto"/>
        </w:rPr>
      </w:pPr>
    </w:p>
    <w:p>
      <w:pPr>
        <w:jc w:val="both"/>
        <w:ind w:left="3120" w:right="220"/>
        <w:spacing w:after="0" w:line="220" w:lineRule="auto"/>
        <w:rPr>
          <w:sz w:val="20"/>
          <w:szCs w:val="20"/>
          <w:color w:val="auto"/>
        </w:rPr>
      </w:pPr>
      <w:r>
        <w:rPr>
          <w:rFonts w:ascii="Times New Roman" w:cs="Times New Roman" w:eastAsia="Times New Roman" w:hAnsi="Times New Roman"/>
          <w:sz w:val="17"/>
          <w:szCs w:val="17"/>
          <w:color w:val="auto"/>
        </w:rPr>
        <w:t>other jurisdictions where an offer, solicitation or sale would be unlawful (or would require further action in order to comply with applicable securities laws). We are not aware of any U.S. state where the making of the Offer and the Consent Solicitation is not in compliance</w:t>
      </w:r>
    </w:p>
    <w:p>
      <w:pPr>
        <w:spacing w:after="0" w:line="2" w:lineRule="exact"/>
        <w:rPr>
          <w:sz w:val="20"/>
          <w:szCs w:val="20"/>
          <w:color w:val="auto"/>
        </w:rPr>
      </w:pPr>
    </w:p>
    <w:p>
      <w:pPr>
        <w:ind w:left="3120"/>
        <w:spacing w:after="0" w:line="208" w:lineRule="auto"/>
        <w:rPr>
          <w:sz w:val="20"/>
          <w:szCs w:val="20"/>
          <w:color w:val="auto"/>
        </w:rPr>
      </w:pPr>
      <w:r>
        <w:rPr>
          <w:rFonts w:ascii="Times New Roman" w:cs="Times New Roman" w:eastAsia="Times New Roman" w:hAnsi="Times New Roman"/>
          <w:sz w:val="18"/>
          <w:szCs w:val="18"/>
          <w:color w:val="auto"/>
        </w:rPr>
        <w:t>with applicable law. If we become aware of any U.S. state where the making of the Offer and the Consent Solicitation or the acceptance of the Warrants pursuant to the Offer is not in compliance with applicable law, we will make a good faith effort to comply with the</w:t>
      </w:r>
    </w:p>
    <w:p>
      <w:pPr>
        <w:spacing w:after="0" w:line="2" w:lineRule="exact"/>
        <w:rPr>
          <w:sz w:val="20"/>
          <w:szCs w:val="20"/>
          <w:color w:val="auto"/>
        </w:rPr>
      </w:pPr>
    </w:p>
    <w:p>
      <w:pPr>
        <w:jc w:val="both"/>
        <w:ind w:left="3120" w:right="40"/>
        <w:spacing w:after="0" w:line="218" w:lineRule="auto"/>
        <w:rPr>
          <w:sz w:val="20"/>
          <w:szCs w:val="20"/>
          <w:color w:val="auto"/>
        </w:rPr>
      </w:pPr>
      <w:r>
        <w:rPr>
          <w:rFonts w:ascii="Times New Roman" w:cs="Times New Roman" w:eastAsia="Times New Roman" w:hAnsi="Times New Roman"/>
          <w:sz w:val="18"/>
          <w:szCs w:val="18"/>
          <w:color w:val="auto"/>
        </w:rPr>
        <w:t>applicable law. If, after such good faith effort, we cannot comply with the applicable law, the Offer and the Consent Solicitation will not be made to (nor will tenders be accepted from or on behalf of) the Warrant Holders.</w:t>
      </w:r>
    </w:p>
    <w:p>
      <w:pPr>
        <w:spacing w:after="0" w:line="208"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The Consent Solicitation</w:t>
      </w:r>
      <w:r>
        <w:rPr>
          <w:sz w:val="20"/>
          <w:szCs w:val="20"/>
          <w:color w:val="auto"/>
        </w:rPr>
        <w:tab/>
      </w:r>
      <w:r>
        <w:rPr>
          <w:rFonts w:ascii="Times New Roman" w:cs="Times New Roman" w:eastAsia="Times New Roman" w:hAnsi="Times New Roman"/>
          <w:sz w:val="17"/>
          <w:szCs w:val="17"/>
          <w:color w:val="auto"/>
        </w:rPr>
        <w:t>In order to tender Consent Warrants in the Offer and Consent Solicitation, holders are</w:t>
      </w:r>
    </w:p>
    <w:p>
      <w:pPr>
        <w:spacing w:after="0" w:line="6" w:lineRule="exact"/>
        <w:rPr>
          <w:sz w:val="20"/>
          <w:szCs w:val="20"/>
          <w:color w:val="auto"/>
        </w:rPr>
      </w:pPr>
    </w:p>
    <w:p>
      <w:pPr>
        <w:ind w:left="3120" w:right="60"/>
        <w:spacing w:after="0" w:line="220" w:lineRule="auto"/>
        <w:rPr>
          <w:sz w:val="20"/>
          <w:szCs w:val="20"/>
          <w:color w:val="auto"/>
        </w:rPr>
      </w:pPr>
      <w:r>
        <w:rPr>
          <w:rFonts w:ascii="Times New Roman" w:cs="Times New Roman" w:eastAsia="Times New Roman" w:hAnsi="Times New Roman"/>
          <w:sz w:val="17"/>
          <w:szCs w:val="17"/>
          <w:color w:val="auto"/>
        </w:rPr>
        <w:t>required to consent (by executing the Letters of Transmittal and Consent or requesting that their broker or nominee consent on their behalf) to an amendment to the Warrant Agreement governing the Warrants as set forth in the Warrant Amendment attached as Annex A. If</w:t>
      </w:r>
    </w:p>
    <w:p>
      <w:pPr>
        <w:spacing w:after="0" w:line="2" w:lineRule="exact"/>
        <w:rPr>
          <w:sz w:val="20"/>
          <w:szCs w:val="20"/>
          <w:color w:val="auto"/>
        </w:rPr>
      </w:pPr>
    </w:p>
    <w:p>
      <w:pPr>
        <w:ind w:left="3120" w:right="20"/>
        <w:spacing w:after="0" w:line="208" w:lineRule="auto"/>
        <w:rPr>
          <w:sz w:val="20"/>
          <w:szCs w:val="20"/>
          <w:color w:val="auto"/>
        </w:rPr>
      </w:pPr>
      <w:r>
        <w:rPr>
          <w:rFonts w:ascii="Times New Roman" w:cs="Times New Roman" w:eastAsia="Times New Roman" w:hAnsi="Times New Roman"/>
          <w:sz w:val="18"/>
          <w:szCs w:val="18"/>
          <w:color w:val="auto"/>
        </w:rPr>
        <w:t>approved, the Warrant Amendment would permit the Company to require that all Warrants (including the Private Placement Warrants) that are outstanding upon the closing of the Offer be converted into shares of Class A Common Stock at a ratio of 0.18 shares of Class A</w:t>
      </w:r>
    </w:p>
    <w:p>
      <w:pPr>
        <w:spacing w:after="0" w:line="2" w:lineRule="exact"/>
        <w:rPr>
          <w:sz w:val="20"/>
          <w:szCs w:val="20"/>
          <w:color w:val="auto"/>
        </w:rPr>
      </w:pPr>
    </w:p>
    <w:p>
      <w:pPr>
        <w:ind w:left="3120" w:right="120"/>
        <w:spacing w:after="0" w:line="226" w:lineRule="auto"/>
        <w:rPr>
          <w:sz w:val="20"/>
          <w:szCs w:val="20"/>
          <w:color w:val="auto"/>
        </w:rPr>
      </w:pPr>
      <w:r>
        <w:rPr>
          <w:rFonts w:ascii="Times New Roman" w:cs="Times New Roman" w:eastAsia="Times New Roman" w:hAnsi="Times New Roman"/>
          <w:sz w:val="18"/>
          <w:szCs w:val="18"/>
          <w:color w:val="auto"/>
        </w:rPr>
        <w:t>Common Stock per Warrant (a ratio which is 10% less than the exchange ratio applicable to the Offer). Upon such conversion, no Warrants will remain outstanding.</w:t>
      </w:r>
    </w:p>
    <w:p>
      <w:pPr>
        <w:sectPr>
          <w:pgSz w:w="11900" w:h="16838" w:orient="portrait"/>
          <w:cols w:equalWidth="0" w:num="1">
            <w:col w:w="984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40"/>
          </w:cols>
          <w:pgMar w:left="1020" w:top="1440" w:right="10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Purpose of the Offer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purpose of the Offer and Consent Solicitation is to attempt to simplify our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-559435</wp:posOffset>
            </wp:positionV>
            <wp:extent cx="7136130" cy="6793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79323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2400" w:space="720"/>
            <w:col w:w="6720"/>
          </w:cols>
          <w:pgMar w:left="1020" w:top="1440" w:right="103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Consent Solicitation</w:t>
      </w:r>
    </w:p>
    <w:p>
      <w:pPr>
        <w:spacing w:after="0" w:line="20" w:lineRule="exact"/>
        <w:rPr>
          <w:sz w:val="20"/>
          <w:szCs w:val="20"/>
          <w:color w:val="auto"/>
        </w:rPr>
      </w:pPr>
      <w:r>
        <w:rPr>
          <w:sz w:val="20"/>
          <w:szCs w:val="20"/>
          <w:color w:val="auto"/>
        </w:rPr>
        <w:br w:type="column"/>
      </w:r>
    </w:p>
    <w:p>
      <w:pPr>
        <w:ind w:right="340"/>
        <w:spacing w:after="0" w:line="223" w:lineRule="auto"/>
        <w:rPr>
          <w:sz w:val="20"/>
          <w:szCs w:val="20"/>
          <w:color w:val="auto"/>
        </w:rPr>
      </w:pPr>
      <w:r>
        <w:rPr>
          <w:rFonts w:ascii="Times New Roman" w:cs="Times New Roman" w:eastAsia="Times New Roman" w:hAnsi="Times New Roman"/>
          <w:sz w:val="17"/>
          <w:szCs w:val="17"/>
          <w:color w:val="auto"/>
        </w:rPr>
        <w:t>structure and reduce the potential dilutive impact of the Warrants. See “</w:t>
      </w:r>
      <w:r>
        <w:rPr>
          <w:rFonts w:ascii="Times New Roman" w:cs="Times New Roman" w:eastAsia="Times New Roman" w:hAnsi="Times New Roman"/>
          <w:sz w:val="17"/>
          <w:szCs w:val="17"/>
          <w:i w:val="1"/>
          <w:iCs w:val="1"/>
          <w:color w:val="auto"/>
        </w:rPr>
        <w:t>The Offer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Consent Solicitation — Background and Purpose of the Offer and Consent Solicitation.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Offer and Consent Solicitation will expire on the Expiration Date, which is one minute</w:t>
      </w:r>
    </w:p>
    <w:p>
      <w:pPr>
        <w:spacing w:after="0" w:line="27"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ind w:left="3120"/>
        <w:spacing w:after="0" w:line="210" w:lineRule="auto"/>
        <w:rPr>
          <w:sz w:val="20"/>
          <w:szCs w:val="20"/>
          <w:color w:val="auto"/>
        </w:rPr>
      </w:pPr>
      <w:r>
        <w:rPr>
          <w:rFonts w:ascii="Times New Roman" w:cs="Times New Roman" w:eastAsia="Times New Roman" w:hAnsi="Times New Roman"/>
          <w:sz w:val="17"/>
          <w:szCs w:val="17"/>
          <w:color w:val="auto"/>
        </w:rPr>
        <w:t>after 11:59 p.m., Eastern Standard Time, on August 18, 2022, or such later time and date to which we may extend. All Warrants tendered for exchange pursuant to the Offer and Consent Solicitation, and all required related paperwork, must be received by the exchange agent by</w:t>
      </w:r>
    </w:p>
    <w:p>
      <w:pPr>
        <w:spacing w:after="0" w:line="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the Expiration Date, as described in this Prospectus/Offer to Exchange.</w:t>
      </w:r>
    </w:p>
    <w:p>
      <w:pPr>
        <w:spacing w:after="0" w:line="21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If the Offer Period is extended, we will make a public announcement of such extension by no</w:t>
      </w:r>
    </w:p>
    <w:p>
      <w:pPr>
        <w:spacing w:after="0" w:line="14" w:lineRule="exact"/>
        <w:rPr>
          <w:sz w:val="20"/>
          <w:szCs w:val="20"/>
          <w:color w:val="auto"/>
        </w:rPr>
      </w:pPr>
    </w:p>
    <w:p>
      <w:pPr>
        <w:ind w:left="3120" w:right="740"/>
        <w:spacing w:after="0" w:line="226" w:lineRule="auto"/>
        <w:rPr>
          <w:sz w:val="20"/>
          <w:szCs w:val="20"/>
          <w:color w:val="auto"/>
        </w:rPr>
      </w:pPr>
      <w:r>
        <w:rPr>
          <w:rFonts w:ascii="Times New Roman" w:cs="Times New Roman" w:eastAsia="Times New Roman" w:hAnsi="Times New Roman"/>
          <w:sz w:val="18"/>
          <w:szCs w:val="18"/>
          <w:color w:val="auto"/>
        </w:rPr>
        <w:t>later than 9:00 a.m., Eastern Standard Time, on the next business day following the Expiration Date as in effect immediately prior to such extension.</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of the Offer and</w:t>
      </w:r>
    </w:p>
    <w:p>
      <w:pPr>
        <w:ind w:left="3120"/>
        <w:spacing w:after="0" w:line="205" w:lineRule="auto"/>
        <w:rPr>
          <w:sz w:val="20"/>
          <w:szCs w:val="20"/>
          <w:color w:val="auto"/>
        </w:rPr>
      </w:pPr>
      <w:r>
        <w:rPr>
          <w:rFonts w:ascii="Times New Roman" w:cs="Times New Roman" w:eastAsia="Times New Roman" w:hAnsi="Times New Roman"/>
          <w:sz w:val="18"/>
          <w:szCs w:val="18"/>
          <w:color w:val="auto"/>
        </w:rPr>
        <w:t>Consent Solicitation are not satisfied or waived prior to the Expiration Date. Promptly upon</w:t>
      </w:r>
    </w:p>
    <w:p>
      <w:pPr>
        <w:ind w:left="3120"/>
        <w:spacing w:after="0" w:line="204" w:lineRule="auto"/>
        <w:rPr>
          <w:sz w:val="20"/>
          <w:szCs w:val="20"/>
          <w:color w:val="auto"/>
        </w:rPr>
      </w:pPr>
      <w:r>
        <w:rPr>
          <w:rFonts w:ascii="Times New Roman" w:cs="Times New Roman" w:eastAsia="Times New Roman" w:hAnsi="Times New Roman"/>
          <w:sz w:val="18"/>
          <w:szCs w:val="18"/>
          <w:color w:val="auto"/>
        </w:rPr>
        <w:t>any such withdrawal, we will return the tendered Warrants (and, with respect to the Consent</w:t>
      </w:r>
    </w:p>
    <w:p>
      <w:pPr>
        <w:ind w:left="3120"/>
        <w:spacing w:after="0" w:line="232" w:lineRule="auto"/>
        <w:rPr>
          <w:sz w:val="20"/>
          <w:szCs w:val="20"/>
          <w:color w:val="auto"/>
        </w:rPr>
      </w:pPr>
      <w:r>
        <w:rPr>
          <w:rFonts w:ascii="Times New Roman" w:cs="Times New Roman" w:eastAsia="Times New Roman" w:hAnsi="Times New Roman"/>
          <w:sz w:val="17"/>
          <w:szCs w:val="17"/>
          <w:color w:val="auto"/>
        </w:rPr>
        <w:t>Warrants, the related consent to the Warrant Amendment will be revoked). We will announce</w:t>
      </w:r>
    </w:p>
    <w:p>
      <w:pPr>
        <w:jc w:val="both"/>
        <w:ind w:left="3120" w:right="440"/>
        <w:spacing w:after="0" w:line="218" w:lineRule="auto"/>
        <w:rPr>
          <w:sz w:val="20"/>
          <w:szCs w:val="20"/>
          <w:color w:val="auto"/>
        </w:rPr>
      </w:pPr>
      <w:r>
        <w:rPr>
          <w:rFonts w:ascii="Times New Roman" w:cs="Times New Roman" w:eastAsia="Times New Roman" w:hAnsi="Times New Roman"/>
          <w:sz w:val="18"/>
          <w:szCs w:val="18"/>
          <w:color w:val="auto"/>
        </w:rPr>
        <w:t>our decision to withdraw the Offer and Consent Solicitation by disseminating notice by public announcement or otherwise as permitted by applicable law. See “</w:t>
      </w:r>
      <w:r>
        <w:rPr>
          <w:rFonts w:ascii="Times New Roman" w:cs="Times New Roman" w:eastAsia="Times New Roman" w:hAnsi="Times New Roman"/>
          <w:sz w:val="18"/>
          <w:szCs w:val="18"/>
          <w:i w:val="1"/>
          <w:iCs w:val="1"/>
          <w:color w:val="auto"/>
        </w:rPr>
        <w:t>The Offer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 Solicitation — General Terms — Offer Period.</w:t>
      </w:r>
      <w:r>
        <w:rPr>
          <w:rFonts w:ascii="Times New Roman" w:cs="Times New Roman" w:eastAsia="Times New Roman" w:hAnsi="Times New Roman"/>
          <w:sz w:val="18"/>
          <w:szCs w:val="18"/>
          <w:color w:val="auto"/>
        </w:rPr>
        <w:t>”</w:t>
      </w:r>
    </w:p>
    <w:p>
      <w:pPr>
        <w:sectPr>
          <w:pgSz w:w="11900" w:h="16838" w:orient="portrait"/>
          <w:cols w:equalWidth="0" w:num="1">
            <w:col w:w="9840"/>
          </w:cols>
          <w:pgMar w:left="1020" w:top="1440" w:right="10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 to the Offer and Consent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reserve the right at any time or from time to time to amend the Offer and Consent</w:t>
      </w:r>
    </w:p>
    <w:p>
      <w:pPr>
        <w:spacing w:after="0" w:line="32" w:lineRule="exact"/>
        <w:rPr>
          <w:sz w:val="20"/>
          <w:szCs w:val="20"/>
          <w:color w:val="auto"/>
        </w:rPr>
      </w:pPr>
    </w:p>
    <w:p>
      <w:pPr>
        <w:sectPr>
          <w:pgSz w:w="11900" w:h="16838" w:orient="portrait"/>
          <w:cols w:equalWidth="0" w:num="2">
            <w:col w:w="2840" w:space="280"/>
            <w:col w:w="6720"/>
          </w:cols>
          <w:pgMar w:left="1020" w:top="1440" w:right="10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Solicitation</w:t>
      </w:r>
    </w:p>
    <w:p>
      <w:pPr>
        <w:spacing w:after="0" w:line="20" w:lineRule="exact"/>
        <w:rPr>
          <w:sz w:val="20"/>
          <w:szCs w:val="20"/>
          <w:color w:val="auto"/>
        </w:rPr>
      </w:pPr>
      <w:r>
        <w:rPr>
          <w:sz w:val="20"/>
          <w:szCs w:val="20"/>
          <w:color w:val="auto"/>
        </w:rPr>
        <w:br w:type="column"/>
      </w:r>
    </w:p>
    <w:p>
      <w:pPr>
        <w:ind w:right="440"/>
        <w:spacing w:after="0" w:line="220" w:lineRule="auto"/>
        <w:rPr>
          <w:sz w:val="20"/>
          <w:szCs w:val="20"/>
          <w:color w:val="auto"/>
        </w:rPr>
      </w:pPr>
      <w:r>
        <w:rPr>
          <w:rFonts w:ascii="Times New Roman" w:cs="Times New Roman" w:eastAsia="Times New Roman" w:hAnsi="Times New Roman"/>
          <w:sz w:val="17"/>
          <w:szCs w:val="17"/>
          <w:color w:val="auto"/>
        </w:rPr>
        <w:t>Solicitation, including by increasing or (if the conditions to the Offer are not satisfied) decreasing the exchange ratio of Class A Common Stock issued for every Warrant exchanged or by changing the terms of the Warrant Amendment. If we make a material</w:t>
      </w:r>
    </w:p>
    <w:p>
      <w:pPr>
        <w:spacing w:after="0" w:line="2"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jc w:val="both"/>
        <w:ind w:left="3120" w:right="80"/>
        <w:spacing w:after="0" w:line="210" w:lineRule="auto"/>
        <w:rPr>
          <w:sz w:val="20"/>
          <w:szCs w:val="20"/>
          <w:color w:val="auto"/>
        </w:rPr>
      </w:pPr>
      <w:r>
        <w:rPr>
          <w:rFonts w:ascii="Times New Roman" w:cs="Times New Roman" w:eastAsia="Times New Roman" w:hAnsi="Times New Roman"/>
          <w:sz w:val="17"/>
          <w:szCs w:val="17"/>
          <w:color w:val="auto"/>
        </w:rPr>
        <w:t>change in the terms of the Offer and Consent Solicitation or the information concerning the Offer and Consent Solicitation, or if we waive a material condition of the Offer and Consent Solicitation, we will extend the Offer and Consent Solicitation to the extent required by</w:t>
      </w:r>
    </w:p>
    <w:p>
      <w:pPr>
        <w:spacing w:after="0" w:line="2" w:lineRule="exact"/>
        <w:rPr>
          <w:sz w:val="20"/>
          <w:szCs w:val="20"/>
          <w:color w:val="auto"/>
        </w:rPr>
      </w:pPr>
    </w:p>
    <w:p>
      <w:pPr>
        <w:ind w:left="3120" w:right="360"/>
        <w:spacing w:after="0" w:line="226" w:lineRule="auto"/>
        <w:rPr>
          <w:sz w:val="20"/>
          <w:szCs w:val="20"/>
          <w:color w:val="auto"/>
        </w:rPr>
      </w:pPr>
      <w:r>
        <w:rPr>
          <w:rFonts w:ascii="Times New Roman" w:cs="Times New Roman" w:eastAsia="Times New Roman" w:hAnsi="Times New Roman"/>
          <w:sz w:val="18"/>
          <w:szCs w:val="18"/>
          <w:color w:val="auto"/>
        </w:rPr>
        <w:t>Rules 13e-4(d)(2) and 13e-4(e)(3) under the Exchange Act. See “</w:t>
      </w:r>
      <w:r>
        <w:rPr>
          <w:rFonts w:ascii="Times New Roman" w:cs="Times New Roman" w:eastAsia="Times New Roman" w:hAnsi="Times New Roman"/>
          <w:sz w:val="18"/>
          <w:szCs w:val="18"/>
          <w:i w:val="1"/>
          <w:iCs w:val="1"/>
          <w:color w:val="auto"/>
        </w:rPr>
        <w:t>The Offer and Consent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 General Terms — Amendments to the Offer and Consent Solicitation.</w:t>
      </w:r>
      <w:r>
        <w:rPr>
          <w:rFonts w:ascii="Times New Roman" w:cs="Times New Roman" w:eastAsia="Times New Roman" w:hAnsi="Times New Roman"/>
          <w:sz w:val="18"/>
          <w:szCs w:val="18"/>
          <w:color w:val="auto"/>
        </w:rPr>
        <w:t>”</w:t>
      </w:r>
    </w:p>
    <w:p>
      <w:pPr>
        <w:sectPr>
          <w:pgSz w:w="11900" w:h="16838" w:orient="portrait"/>
          <w:cols w:equalWidth="0" w:num="1">
            <w:col w:w="9840"/>
          </w:cols>
          <w:pgMar w:left="1020" w:top="1440" w:right="10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Conditions to the Offer and Consent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is subject to customary conditions, including the effectiveness of the registration</w:t>
      </w:r>
    </w:p>
    <w:p>
      <w:pPr>
        <w:spacing w:after="0" w:line="32" w:lineRule="exact"/>
        <w:rPr>
          <w:sz w:val="20"/>
          <w:szCs w:val="20"/>
          <w:color w:val="auto"/>
        </w:rPr>
      </w:pPr>
    </w:p>
    <w:p>
      <w:pPr>
        <w:sectPr>
          <w:pgSz w:w="11900" w:h="16838" w:orient="portrait"/>
          <w:cols w:equalWidth="0" w:num="2">
            <w:col w:w="2680" w:space="440"/>
            <w:col w:w="6720"/>
          </w:cols>
          <w:pgMar w:left="1020" w:top="1440" w:right="103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Solicitation</w:t>
      </w:r>
    </w:p>
    <w:p>
      <w:pPr>
        <w:spacing w:after="0" w:line="20" w:lineRule="exact"/>
        <w:rPr>
          <w:sz w:val="20"/>
          <w:szCs w:val="20"/>
          <w:color w:val="auto"/>
        </w:rPr>
      </w:pPr>
      <w:r>
        <w:rPr>
          <w:sz w:val="20"/>
          <w:szCs w:val="20"/>
          <w:color w:val="auto"/>
        </w:rPr>
        <w:br w:type="column"/>
      </w:r>
    </w:p>
    <w:p>
      <w:pPr>
        <w:ind w:right="20"/>
        <w:spacing w:after="0" w:line="220" w:lineRule="auto"/>
        <w:rPr>
          <w:sz w:val="20"/>
          <w:szCs w:val="20"/>
          <w:color w:val="auto"/>
        </w:rPr>
      </w:pPr>
      <w:r>
        <w:rPr>
          <w:rFonts w:ascii="Times New Roman" w:cs="Times New Roman" w:eastAsia="Times New Roman" w:hAnsi="Times New Roman"/>
          <w:sz w:val="17"/>
          <w:szCs w:val="17"/>
          <w:color w:val="auto"/>
        </w:rPr>
        <w:t>statement on Form S-4, of which this Prospectus/Offer to Exchange forms a part, and the absence of any action or proceeding, statute, rule, regulation or order that would challenge or restrict the making or completion of the Offer. The Offer is not conditioned upon the receipt</w:t>
      </w:r>
    </w:p>
    <w:p>
      <w:pPr>
        <w:spacing w:after="0" w:line="2" w:lineRule="exact"/>
        <w:rPr>
          <w:sz w:val="20"/>
          <w:szCs w:val="20"/>
          <w:color w:val="auto"/>
        </w:rPr>
      </w:pPr>
    </w:p>
    <w:p>
      <w:pPr>
        <w:sectPr>
          <w:pgSz w:w="11900" w:h="16838" w:orient="portrait"/>
          <w:cols w:equalWidth="0" w:num="2">
            <w:col w:w="2400" w:space="720"/>
            <w:col w:w="6720"/>
          </w:cols>
          <w:pgMar w:left="1020" w:top="1440" w:right="1039" w:bottom="1440" w:gutter="0" w:footer="0" w:header="0"/>
          <w:type w:val="continuous"/>
        </w:sectPr>
      </w:pPr>
    </w:p>
    <w:p>
      <w:pPr>
        <w:ind w:left="3120" w:right="160"/>
        <w:spacing w:after="0" w:line="210" w:lineRule="auto"/>
        <w:rPr>
          <w:sz w:val="20"/>
          <w:szCs w:val="20"/>
          <w:color w:val="auto"/>
        </w:rPr>
      </w:pPr>
      <w:r>
        <w:rPr>
          <w:rFonts w:ascii="Times New Roman" w:cs="Times New Roman" w:eastAsia="Times New Roman" w:hAnsi="Times New Roman"/>
          <w:sz w:val="17"/>
          <w:szCs w:val="17"/>
          <w:color w:val="auto"/>
        </w:rPr>
        <w:t>of a minimum number of tendered Warrants. However, the Consent Solicitation is conditioned upon receiving the consent of holders of at least 65% of the outstanding Public Warrants (which is the minimum number required to amend the Warrant Agreement). We</w:t>
      </w:r>
    </w:p>
    <w:p>
      <w:pPr>
        <w:spacing w:after="0" w:line="2" w:lineRule="exact"/>
        <w:rPr>
          <w:sz w:val="20"/>
          <w:szCs w:val="20"/>
          <w:color w:val="auto"/>
        </w:rPr>
      </w:pPr>
    </w:p>
    <w:p>
      <w:pPr>
        <w:ind w:left="3120" w:right="180"/>
        <w:spacing w:after="0" w:line="226" w:lineRule="auto"/>
        <w:rPr>
          <w:sz w:val="20"/>
          <w:szCs w:val="20"/>
          <w:color w:val="auto"/>
        </w:rPr>
      </w:pPr>
      <w:r>
        <w:rPr>
          <w:rFonts w:ascii="Times New Roman" w:cs="Times New Roman" w:eastAsia="Times New Roman" w:hAnsi="Times New Roman"/>
          <w:sz w:val="18"/>
          <w:szCs w:val="18"/>
          <w:color w:val="auto"/>
        </w:rPr>
        <w:t>may waive some of the conditions to the Offer. See “</w:t>
      </w:r>
      <w:r>
        <w:rPr>
          <w:rFonts w:ascii="Times New Roman" w:cs="Times New Roman" w:eastAsia="Times New Roman" w:hAnsi="Times New Roman"/>
          <w:sz w:val="18"/>
          <w:szCs w:val="18"/>
          <w:i w:val="1"/>
          <w:iCs w:val="1"/>
          <w:color w:val="auto"/>
        </w:rPr>
        <w:t>The Offer and Consent Solicitation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Terms — Conditions to the Offer and Consent Solicitation.</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 will not complete the Offer and Consent Solicitation unless and until the registration</w:t>
      </w:r>
    </w:p>
    <w:p>
      <w:pPr>
        <w:spacing w:after="0" w:line="2" w:lineRule="exact"/>
        <w:rPr>
          <w:sz w:val="20"/>
          <w:szCs w:val="20"/>
          <w:color w:val="auto"/>
        </w:rPr>
      </w:pPr>
    </w:p>
    <w:p>
      <w:pPr>
        <w:ind w:left="3120" w:right="80"/>
        <w:spacing w:after="0" w:line="218" w:lineRule="auto"/>
        <w:rPr>
          <w:sz w:val="20"/>
          <w:szCs w:val="20"/>
          <w:color w:val="auto"/>
        </w:rPr>
      </w:pPr>
      <w:r>
        <w:rPr>
          <w:rFonts w:ascii="Times New Roman" w:cs="Times New Roman" w:eastAsia="Times New Roman" w:hAnsi="Times New Roman"/>
          <w:sz w:val="18"/>
          <w:szCs w:val="18"/>
          <w:color w:val="auto"/>
        </w:rPr>
        <w:t>statement described above is effective. If the registration statement is not effective at the Expiration Date, we may, in our discretion, extend, suspend or cancel the Offer and Consent Solicitation, and will inform Warrant Holders of such event.</w:t>
      </w:r>
    </w:p>
    <w:p>
      <w:pPr>
        <w:sectPr>
          <w:pgSz w:w="11900" w:h="16838" w:orient="portrait"/>
          <w:cols w:equalWidth="0" w:num="1">
            <w:col w:w="984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40"/>
          </w:cols>
          <w:pgMar w:left="1020" w:top="1440" w:right="10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53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Withdrawal Rights</w:t>
      </w:r>
      <w:r>
        <w:rPr>
          <w:sz w:val="20"/>
          <w:szCs w:val="20"/>
          <w:color w:val="auto"/>
        </w:rPr>
        <w:tab/>
      </w:r>
      <w:r>
        <w:rPr>
          <w:rFonts w:ascii="Times New Roman" w:cs="Times New Roman" w:eastAsia="Times New Roman" w:hAnsi="Times New Roman"/>
          <w:sz w:val="17"/>
          <w:szCs w:val="17"/>
          <w:color w:val="auto"/>
        </w:rPr>
        <w:t>If you tender your Warrants for exchange and change your mind, you may withdraw your</w:t>
      </w:r>
    </w:p>
    <w:p>
      <w:pPr>
        <w:spacing w:after="0" w:line="6" w:lineRule="exact"/>
        <w:rPr>
          <w:sz w:val="20"/>
          <w:szCs w:val="20"/>
          <w:color w:val="auto"/>
        </w:rPr>
      </w:pPr>
    </w:p>
    <w:p>
      <w:pPr>
        <w:ind w:left="3120" w:right="140"/>
        <w:spacing w:after="0" w:line="220" w:lineRule="auto"/>
        <w:rPr>
          <w:sz w:val="20"/>
          <w:szCs w:val="20"/>
          <w:color w:val="auto"/>
        </w:rPr>
      </w:pPr>
      <w:r>
        <w:rPr>
          <w:rFonts w:ascii="Times New Roman" w:cs="Times New Roman" w:eastAsia="Times New Roman" w:hAnsi="Times New Roman"/>
          <w:sz w:val="17"/>
          <w:szCs w:val="17"/>
          <w:color w:val="auto"/>
        </w:rPr>
        <w:t>tendered Warrants (and, with respect to the Consent Warrants, thereby automatically revoke the related consent to the Warrant Amendment) at any time prior to the Expiration Date, as described in greater detail in the section titled “</w:t>
      </w:r>
      <w:r>
        <w:rPr>
          <w:rFonts w:ascii="Times New Roman" w:cs="Times New Roman" w:eastAsia="Times New Roman" w:hAnsi="Times New Roman"/>
          <w:sz w:val="17"/>
          <w:szCs w:val="17"/>
          <w:i w:val="1"/>
          <w:iCs w:val="1"/>
          <w:color w:val="auto"/>
        </w:rPr>
        <w:t>The Offer and Consent Solicitation —</w:t>
      </w:r>
    </w:p>
    <w:p>
      <w:pPr>
        <w:ind w:left="3120"/>
        <w:spacing w:after="0" w:line="206" w:lineRule="auto"/>
        <w:rPr>
          <w:sz w:val="20"/>
          <w:szCs w:val="20"/>
          <w:color w:val="auto"/>
        </w:rPr>
      </w:pPr>
      <w:r>
        <w:rPr>
          <w:rFonts w:ascii="Times New Roman" w:cs="Times New Roman" w:eastAsia="Times New Roman" w:hAnsi="Times New Roman"/>
          <w:sz w:val="18"/>
          <w:szCs w:val="18"/>
          <w:i w:val="1"/>
          <w:iCs w:val="1"/>
          <w:color w:val="auto"/>
        </w:rPr>
        <w:t>Withdrawal Rights.</w:t>
      </w:r>
      <w:r>
        <w:rPr>
          <w:rFonts w:ascii="Times New Roman" w:cs="Times New Roman" w:eastAsia="Times New Roman" w:hAnsi="Times New Roman"/>
          <w:sz w:val="18"/>
          <w:szCs w:val="18"/>
          <w:color w:val="auto"/>
        </w:rPr>
        <w:t>” If the Offer Period is extended, you may withdraw your tendered</w:t>
      </w:r>
    </w:p>
    <w:p>
      <w:pPr>
        <w:ind w:left="3120"/>
        <w:spacing w:after="0" w:line="203" w:lineRule="auto"/>
        <w:rPr>
          <w:sz w:val="20"/>
          <w:szCs w:val="20"/>
          <w:color w:val="auto"/>
        </w:rPr>
      </w:pPr>
      <w:r>
        <w:rPr>
          <w:rFonts w:ascii="Times New Roman" w:cs="Times New Roman" w:eastAsia="Times New Roman" w:hAnsi="Times New Roman"/>
          <w:sz w:val="18"/>
          <w:szCs w:val="18"/>
          <w:color w:val="auto"/>
        </w:rPr>
        <w:t>Warrants (and, with respect to the Consent Warrants, thereby automatically revoke the</w:t>
      </w:r>
    </w:p>
    <w:p>
      <w:pPr>
        <w:ind w:left="3120"/>
        <w:spacing w:after="0" w:line="219" w:lineRule="auto"/>
        <w:rPr>
          <w:sz w:val="20"/>
          <w:szCs w:val="20"/>
          <w:color w:val="auto"/>
        </w:rPr>
      </w:pPr>
      <w:r>
        <w:rPr>
          <w:rFonts w:ascii="Times New Roman" w:cs="Times New Roman" w:eastAsia="Times New Roman" w:hAnsi="Times New Roman"/>
          <w:sz w:val="18"/>
          <w:szCs w:val="18"/>
          <w:color w:val="auto"/>
        </w:rPr>
        <w:t>related consent to the Warrant Amendment) at any time until the extended Expiration Date.</w:t>
      </w:r>
    </w:p>
    <w:p>
      <w:pPr>
        <w:spacing w:after="0" w:line="1" w:lineRule="exact"/>
        <w:rPr>
          <w:sz w:val="20"/>
          <w:szCs w:val="20"/>
          <w:color w:val="auto"/>
        </w:rPr>
      </w:pPr>
    </w:p>
    <w:p>
      <w:pPr>
        <w:ind w:left="3120" w:right="80"/>
        <w:spacing w:after="0" w:line="218" w:lineRule="auto"/>
        <w:rPr>
          <w:sz w:val="20"/>
          <w:szCs w:val="20"/>
          <w:color w:val="auto"/>
        </w:rPr>
      </w:pPr>
      <w:r>
        <w:rPr>
          <w:rFonts w:ascii="Times New Roman" w:cs="Times New Roman" w:eastAsia="Times New Roman" w:hAnsi="Times New Roman"/>
          <w:sz w:val="18"/>
          <w:szCs w:val="18"/>
          <w:color w:val="auto"/>
        </w:rPr>
        <w:t>In addition, tendered Warrants that are not accepted by us for exchange by September 16, 2022 may thereafter be withdrawn by you until such time as the Warrants are accepted by us for exchange.</w:t>
      </w:r>
    </w:p>
    <w:p>
      <w:pPr>
        <w:spacing w:after="0" w:line="154"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Federal and State Regulatory Approvals</w:t>
      </w:r>
      <w:r>
        <w:rPr>
          <w:sz w:val="20"/>
          <w:szCs w:val="20"/>
          <w:color w:val="auto"/>
        </w:rPr>
        <w:tab/>
      </w:r>
      <w:r>
        <w:rPr>
          <w:rFonts w:ascii="Times New Roman" w:cs="Times New Roman" w:eastAsia="Times New Roman" w:hAnsi="Times New Roman"/>
          <w:sz w:val="17"/>
          <w:szCs w:val="17"/>
          <w:color w:val="auto"/>
        </w:rPr>
        <w:t>Other than compliance with the applicable federal and state securities laws, no federal or</w:t>
      </w:r>
    </w:p>
    <w:p>
      <w:pPr>
        <w:ind w:left="3120"/>
        <w:spacing w:after="0" w:line="210" w:lineRule="auto"/>
        <w:rPr>
          <w:sz w:val="20"/>
          <w:szCs w:val="20"/>
          <w:color w:val="auto"/>
        </w:rPr>
      </w:pPr>
      <w:r>
        <w:rPr>
          <w:rFonts w:ascii="Times New Roman" w:cs="Times New Roman" w:eastAsia="Times New Roman" w:hAnsi="Times New Roman"/>
          <w:sz w:val="18"/>
          <w:szCs w:val="18"/>
          <w:color w:val="auto"/>
        </w:rPr>
        <w:t>state regulatory requirements must be complied with and no federal or state regulatory</w:t>
      </w:r>
    </w:p>
    <w:p>
      <w:pPr>
        <w:ind w:left="3120"/>
        <w:spacing w:after="0"/>
        <w:rPr>
          <w:sz w:val="20"/>
          <w:szCs w:val="20"/>
          <w:color w:val="auto"/>
        </w:rPr>
      </w:pPr>
      <w:r>
        <w:rPr>
          <w:rFonts w:ascii="Times New Roman" w:cs="Times New Roman" w:eastAsia="Times New Roman" w:hAnsi="Times New Roman"/>
          <w:sz w:val="18"/>
          <w:szCs w:val="18"/>
          <w:color w:val="auto"/>
        </w:rPr>
        <w:t>approvals must be obtained in connection with the Offer and Consent Solicitation.</w:t>
      </w:r>
    </w:p>
    <w:p>
      <w:pPr>
        <w:spacing w:after="0" w:line="16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Absence of Appraisal or Dissenters’</w:t>
      </w:r>
      <w:r>
        <w:rPr>
          <w:sz w:val="20"/>
          <w:szCs w:val="20"/>
          <w:color w:val="auto"/>
        </w:rPr>
        <w:tab/>
      </w:r>
      <w:r>
        <w:rPr>
          <w:rFonts w:ascii="Times New Roman" w:cs="Times New Roman" w:eastAsia="Times New Roman" w:hAnsi="Times New Roman"/>
          <w:sz w:val="17"/>
          <w:szCs w:val="17"/>
          <w:color w:val="auto"/>
        </w:rPr>
        <w:t>Holders of Warrants do not have any appraisal or dissenters’ rights under applicable law in</w:t>
      </w:r>
    </w:p>
    <w:p>
      <w:pPr>
        <w:spacing w:after="0" w:line="6" w:lineRule="exact"/>
        <w:rPr>
          <w:sz w:val="20"/>
          <w:szCs w:val="20"/>
          <w:color w:val="auto"/>
        </w:rPr>
      </w:pPr>
    </w:p>
    <w:p>
      <w:pPr>
        <w:ind w:left="160"/>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Rights</w:t>
      </w:r>
      <w:r>
        <w:rPr>
          <w:sz w:val="20"/>
          <w:szCs w:val="20"/>
          <w:color w:val="auto"/>
        </w:rPr>
        <w:tab/>
      </w:r>
      <w:r>
        <w:rPr>
          <w:rFonts w:ascii="Times New Roman" w:cs="Times New Roman" w:eastAsia="Times New Roman" w:hAnsi="Times New Roman"/>
          <w:sz w:val="18"/>
          <w:szCs w:val="18"/>
          <w:color w:val="auto"/>
        </w:rPr>
        <w:t>connection with the Offer and Consent Solicitation.</w:t>
      </w:r>
    </w:p>
    <w:p>
      <w:pPr>
        <w:spacing w:after="0" w:line="16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w:t>
      </w:r>
      <w:r>
        <w:rPr>
          <w:sz w:val="20"/>
          <w:szCs w:val="20"/>
          <w:color w:val="auto"/>
        </w:rPr>
        <w:tab/>
      </w:r>
      <w:r>
        <w:rPr>
          <w:rFonts w:ascii="Times New Roman" w:cs="Times New Roman" w:eastAsia="Times New Roman" w:hAnsi="Times New Roman"/>
          <w:sz w:val="17"/>
          <w:szCs w:val="17"/>
          <w:color w:val="auto"/>
        </w:rPr>
        <w:t>For those holders of Warrants participating in the Offer and for any holders of Warrants</w:t>
      </w:r>
    </w:p>
    <w:p>
      <w:pPr>
        <w:ind w:left="160"/>
        <w:spacing w:after="0" w:line="210" w:lineRule="auto"/>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of the Offer</w:t>
      </w:r>
      <w:r>
        <w:rPr>
          <w:sz w:val="20"/>
          <w:szCs w:val="20"/>
          <w:color w:val="auto"/>
        </w:rPr>
        <w:tab/>
      </w:r>
      <w:r>
        <w:rPr>
          <w:rFonts w:ascii="Times New Roman" w:cs="Times New Roman" w:eastAsia="Times New Roman" w:hAnsi="Times New Roman"/>
          <w:sz w:val="18"/>
          <w:szCs w:val="18"/>
          <w:color w:val="auto"/>
        </w:rPr>
        <w:t>subsequently exchanged for shares of Class A Common Stock pursuant to the terms of the</w:t>
      </w:r>
    </w:p>
    <w:p>
      <w:pPr>
        <w:ind w:left="3120"/>
        <w:spacing w:after="0" w:line="203" w:lineRule="auto"/>
        <w:rPr>
          <w:sz w:val="20"/>
          <w:szCs w:val="20"/>
          <w:color w:val="auto"/>
        </w:rPr>
      </w:pPr>
      <w:r>
        <w:rPr>
          <w:rFonts w:ascii="Times New Roman" w:cs="Times New Roman" w:eastAsia="Times New Roman" w:hAnsi="Times New Roman"/>
          <w:sz w:val="18"/>
          <w:szCs w:val="18"/>
          <w:color w:val="auto"/>
        </w:rPr>
        <w:t>Warrant Amendment, if approved, we intend to treat the exchange of your Warrants for</w:t>
      </w:r>
    </w:p>
    <w:p>
      <w:pPr>
        <w:ind w:left="3120"/>
        <w:spacing w:after="0" w:line="220" w:lineRule="auto"/>
        <w:rPr>
          <w:sz w:val="20"/>
          <w:szCs w:val="20"/>
          <w:color w:val="auto"/>
        </w:rPr>
      </w:pPr>
      <w:r>
        <w:rPr>
          <w:rFonts w:ascii="Times New Roman" w:cs="Times New Roman" w:eastAsia="Times New Roman" w:hAnsi="Times New Roman"/>
          <w:sz w:val="18"/>
          <w:szCs w:val="18"/>
          <w:color w:val="auto"/>
        </w:rPr>
        <w:t>shares of Class A Common Stock as a “recapitalization” within the meaning of Section</w:t>
      </w:r>
    </w:p>
    <w:p>
      <w:pPr>
        <w:ind w:left="3120" w:right="60"/>
        <w:spacing w:after="0" w:line="220" w:lineRule="auto"/>
        <w:rPr>
          <w:sz w:val="20"/>
          <w:szCs w:val="20"/>
          <w:color w:val="auto"/>
        </w:rPr>
      </w:pPr>
      <w:r>
        <w:rPr>
          <w:rFonts w:ascii="Times New Roman" w:cs="Times New Roman" w:eastAsia="Times New Roman" w:hAnsi="Times New Roman"/>
          <w:sz w:val="17"/>
          <w:szCs w:val="17"/>
          <w:color w:val="auto"/>
        </w:rPr>
        <w:t>368(a)(1)(E) of the Code pursuant to which (i) you should not recognize any gain or loss on the exchange of your Warrants for shares of Class A Common Stock (other than with respect to any cash received in lieu of a fractional share of our Class A Common Stock), (ii) your</w:t>
      </w:r>
    </w:p>
    <w:p>
      <w:pPr>
        <w:spacing w:after="0" w:line="2" w:lineRule="exact"/>
        <w:rPr>
          <w:sz w:val="20"/>
          <w:szCs w:val="20"/>
          <w:color w:val="auto"/>
        </w:rPr>
      </w:pPr>
    </w:p>
    <w:p>
      <w:pPr>
        <w:ind w:left="3120" w:right="60"/>
        <w:spacing w:after="0" w:line="208" w:lineRule="auto"/>
        <w:rPr>
          <w:sz w:val="20"/>
          <w:szCs w:val="20"/>
          <w:color w:val="auto"/>
        </w:rPr>
      </w:pPr>
      <w:r>
        <w:rPr>
          <w:rFonts w:ascii="Times New Roman" w:cs="Times New Roman" w:eastAsia="Times New Roman" w:hAnsi="Times New Roman"/>
          <w:sz w:val="18"/>
          <w:szCs w:val="18"/>
          <w:color w:val="auto"/>
        </w:rPr>
        <w:t>aggregate tax basis in shares of Class A Common Stock received in the exchange should equal your aggregate tax basis in your Warrants surrendered in the exchange (except to the extent of any tax basis allocated to a fractional share for which a cash payment is received in</w:t>
      </w:r>
    </w:p>
    <w:p>
      <w:pPr>
        <w:spacing w:after="0" w:line="2" w:lineRule="exact"/>
        <w:rPr>
          <w:sz w:val="20"/>
          <w:szCs w:val="20"/>
          <w:color w:val="auto"/>
        </w:rPr>
      </w:pPr>
    </w:p>
    <w:p>
      <w:pPr>
        <w:ind w:left="3120" w:right="120"/>
        <w:spacing w:after="0" w:line="208" w:lineRule="auto"/>
        <w:rPr>
          <w:sz w:val="20"/>
          <w:szCs w:val="20"/>
          <w:color w:val="auto"/>
        </w:rPr>
      </w:pPr>
      <w:r>
        <w:rPr>
          <w:rFonts w:ascii="Times New Roman" w:cs="Times New Roman" w:eastAsia="Times New Roman" w:hAnsi="Times New Roman"/>
          <w:sz w:val="18"/>
          <w:szCs w:val="18"/>
          <w:color w:val="auto"/>
        </w:rPr>
        <w:t>connection with the exchange), and (iii) your holding period for shares of Class A Common Stock received in the exchange should include your holding period for the surrendered Warrants. However, alternative characterizations are possible by the Internal Revenue</w:t>
      </w:r>
    </w:p>
    <w:p>
      <w:pPr>
        <w:spacing w:after="0" w:line="2" w:lineRule="exact"/>
        <w:rPr>
          <w:sz w:val="20"/>
          <w:szCs w:val="20"/>
          <w:color w:val="auto"/>
        </w:rPr>
      </w:pPr>
    </w:p>
    <w:p>
      <w:pPr>
        <w:ind w:left="3120" w:right="540"/>
        <w:spacing w:after="0" w:line="226" w:lineRule="auto"/>
        <w:rPr>
          <w:sz w:val="20"/>
          <w:szCs w:val="20"/>
          <w:color w:val="auto"/>
        </w:rPr>
      </w:pPr>
      <w:r>
        <w:rPr>
          <w:rFonts w:ascii="Times New Roman" w:cs="Times New Roman" w:eastAsia="Times New Roman" w:hAnsi="Times New Roman"/>
          <w:sz w:val="18"/>
          <w:szCs w:val="18"/>
          <w:color w:val="auto"/>
        </w:rPr>
        <w:t>Service (“IRS”) or a court, including ones that would require you to recognize taxable income on the exchange of your Warrants for shares of Class A Common Stock.</w:t>
      </w:r>
    </w:p>
    <w:p>
      <w:pPr>
        <w:spacing w:after="0" w:line="1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We intend to treat all Warrants not exchanged for shares of Class A Common Stock in the</w:t>
      </w:r>
    </w:p>
    <w:p>
      <w:pPr>
        <w:ind w:left="3120"/>
        <w:spacing w:after="0" w:line="205" w:lineRule="auto"/>
        <w:rPr>
          <w:sz w:val="20"/>
          <w:szCs w:val="20"/>
          <w:color w:val="auto"/>
        </w:rPr>
      </w:pPr>
      <w:r>
        <w:rPr>
          <w:rFonts w:ascii="Times New Roman" w:cs="Times New Roman" w:eastAsia="Times New Roman" w:hAnsi="Times New Roman"/>
          <w:sz w:val="18"/>
          <w:szCs w:val="18"/>
          <w:color w:val="auto"/>
        </w:rPr>
        <w:t>Offer as having been exchanged for “new” warrants pursuant to the Warrant Amendment and</w:t>
      </w:r>
    </w:p>
    <w:p>
      <w:pPr>
        <w:ind w:left="3120"/>
        <w:spacing w:after="0" w:line="204" w:lineRule="auto"/>
        <w:rPr>
          <w:sz w:val="20"/>
          <w:szCs w:val="20"/>
          <w:color w:val="auto"/>
        </w:rPr>
      </w:pPr>
      <w:r>
        <w:rPr>
          <w:rFonts w:ascii="Times New Roman" w:cs="Times New Roman" w:eastAsia="Times New Roman" w:hAnsi="Times New Roman"/>
          <w:sz w:val="18"/>
          <w:szCs w:val="18"/>
          <w:color w:val="auto"/>
        </w:rPr>
        <w:t>to treat such deemed exchange as a “recapitalization” within the meaning of Section 368(a)</w:t>
      </w:r>
    </w:p>
    <w:p>
      <w:pPr>
        <w:ind w:left="3120"/>
        <w:spacing w:after="0" w:line="219" w:lineRule="auto"/>
        <w:rPr>
          <w:sz w:val="20"/>
          <w:szCs w:val="20"/>
          <w:color w:val="auto"/>
        </w:rPr>
      </w:pPr>
      <w:r>
        <w:rPr>
          <w:rFonts w:ascii="Times New Roman" w:cs="Times New Roman" w:eastAsia="Times New Roman" w:hAnsi="Times New Roman"/>
          <w:sz w:val="18"/>
          <w:szCs w:val="18"/>
          <w:color w:val="auto"/>
        </w:rPr>
        <w:t>(1)(E) of the Code, pursuant to which (i) you should not recognize any gain or loss on the</w:t>
      </w:r>
    </w:p>
    <w:p>
      <w:pPr>
        <w:ind w:left="3120" w:right="100"/>
        <w:spacing w:after="0" w:line="220" w:lineRule="auto"/>
        <w:rPr>
          <w:sz w:val="20"/>
          <w:szCs w:val="20"/>
          <w:color w:val="auto"/>
        </w:rPr>
      </w:pPr>
      <w:r>
        <w:rPr>
          <w:rFonts w:ascii="Times New Roman" w:cs="Times New Roman" w:eastAsia="Times New Roman" w:hAnsi="Times New Roman"/>
          <w:sz w:val="17"/>
          <w:szCs w:val="17"/>
          <w:color w:val="auto"/>
        </w:rPr>
        <w:t>deemed exchange of Warrants for “new” warrants, (ii) your aggregate tax basis in the “new” warrants deemed to be received in the exchange should equal your aggregate tax basis in your existing Warrants surrendered in the exchange, and (iii) your holding period for the</w:t>
      </w:r>
    </w:p>
    <w:p>
      <w:pPr>
        <w:spacing w:after="0" w:line="2" w:lineRule="exact"/>
        <w:rPr>
          <w:sz w:val="20"/>
          <w:szCs w:val="20"/>
          <w:color w:val="auto"/>
        </w:rPr>
      </w:pPr>
    </w:p>
    <w:p>
      <w:pPr>
        <w:ind w:left="3120"/>
        <w:spacing w:after="0" w:line="220" w:lineRule="auto"/>
        <w:rPr>
          <w:sz w:val="20"/>
          <w:szCs w:val="20"/>
          <w:color w:val="auto"/>
        </w:rPr>
      </w:pPr>
      <w:r>
        <w:rPr>
          <w:rFonts w:ascii="Times New Roman" w:cs="Times New Roman" w:eastAsia="Times New Roman" w:hAnsi="Times New Roman"/>
          <w:sz w:val="17"/>
          <w:szCs w:val="17"/>
          <w:color w:val="auto"/>
        </w:rPr>
        <w:t>“new” warrants deemed to be received in the exchange should include your holding period for the surrendered Warrants. However, alternative characterizations by the IRS or a court are possible, including ones that would require U.S. holders to recognize taxable income on the</w:t>
      </w:r>
    </w:p>
    <w:p>
      <w:pPr>
        <w:spacing w:after="0" w:line="2" w:lineRule="exact"/>
        <w:rPr>
          <w:sz w:val="20"/>
          <w:szCs w:val="20"/>
          <w:color w:val="auto"/>
        </w:rPr>
      </w:pPr>
    </w:p>
    <w:p>
      <w:pPr>
        <w:ind w:left="3120" w:right="460"/>
        <w:spacing w:after="0" w:line="226" w:lineRule="auto"/>
        <w:rPr>
          <w:sz w:val="20"/>
          <w:szCs w:val="20"/>
          <w:color w:val="auto"/>
        </w:rPr>
      </w:pPr>
      <w:r>
        <w:rPr>
          <w:rFonts w:ascii="Times New Roman" w:cs="Times New Roman" w:eastAsia="Times New Roman" w:hAnsi="Times New Roman"/>
          <w:sz w:val="18"/>
          <w:szCs w:val="18"/>
          <w:color w:val="auto"/>
        </w:rPr>
        <w:t>deemed exchange. See “</w:t>
      </w:r>
      <w:r>
        <w:rPr>
          <w:rFonts w:ascii="Times New Roman" w:cs="Times New Roman" w:eastAsia="Times New Roman" w:hAnsi="Times New Roman"/>
          <w:sz w:val="18"/>
          <w:szCs w:val="18"/>
          <w:i w:val="1"/>
          <w:iCs w:val="1"/>
          <w:color w:val="auto"/>
        </w:rPr>
        <w:t>The Offer and Consent Solicitation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i w:val="1"/>
          <w:iCs w:val="1"/>
          <w:color w:val="auto"/>
        </w:rPr>
        <w:t>No Recommendation</w:t>
      </w:r>
      <w:r>
        <w:rPr>
          <w:sz w:val="20"/>
          <w:szCs w:val="20"/>
          <w:color w:val="auto"/>
        </w:rPr>
        <w:tab/>
      </w:r>
      <w:r>
        <w:rPr>
          <w:rFonts w:ascii="Times New Roman" w:cs="Times New Roman" w:eastAsia="Times New Roman" w:hAnsi="Times New Roman"/>
          <w:sz w:val="17"/>
          <w:szCs w:val="17"/>
          <w:color w:val="auto"/>
        </w:rPr>
        <w:t>None of our Board, our management, the dealer manager, the exchange agent, the</w:t>
      </w:r>
    </w:p>
    <w:p>
      <w:pPr>
        <w:spacing w:after="0" w:line="6" w:lineRule="exact"/>
        <w:rPr>
          <w:sz w:val="20"/>
          <w:szCs w:val="20"/>
          <w:color w:val="auto"/>
        </w:rPr>
      </w:pPr>
    </w:p>
    <w:p>
      <w:pPr>
        <w:ind w:left="3120" w:right="40"/>
        <w:spacing w:after="0" w:line="208" w:lineRule="auto"/>
        <w:rPr>
          <w:sz w:val="20"/>
          <w:szCs w:val="20"/>
          <w:color w:val="auto"/>
        </w:rPr>
      </w:pPr>
      <w:r>
        <w:rPr>
          <w:rFonts w:ascii="Times New Roman" w:cs="Times New Roman" w:eastAsia="Times New Roman" w:hAnsi="Times New Roman"/>
          <w:sz w:val="18"/>
          <w:szCs w:val="18"/>
          <w:color w:val="auto"/>
        </w:rPr>
        <w:t>information agent, or any other person makes any recommendation on whether you should tender or refrain from tendering all or any portion of your Warrants or consent to the Warrant Amendment, and no one has been authorized by any of them to make such a</w:t>
      </w:r>
    </w:p>
    <w:p>
      <w:pPr>
        <w:spacing w:after="0" w:line="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recommendation.</w:t>
      </w:r>
    </w:p>
    <w:p>
      <w:pPr>
        <w:sectPr>
          <w:pgSz w:w="11900" w:h="16838" w:orient="portrait"/>
          <w:cols w:equalWidth="0" w:num="1">
            <w:col w:w="9860"/>
          </w:cols>
          <w:pgMar w:left="10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60"/>
          </w:cols>
          <w:pgMar w:left="1020"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55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For risks related to the Offer and Consent Solicitation, please read the section titled “</w:t>
            </w:r>
            <w:r>
              <w:rPr>
                <w:rFonts w:ascii="Times New Roman" w:cs="Times New Roman" w:eastAsia="Times New Roman" w:hAnsi="Times New Roman"/>
                <w:sz w:val="18"/>
                <w:szCs w:val="18"/>
                <w:i w:val="1"/>
                <w:iCs w:val="1"/>
                <w:color w:val="auto"/>
              </w:rPr>
              <w:t>Risk</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7420" w:type="dxa"/>
            <w:vAlign w:val="bottom"/>
            <w:gridSpan w:val="3"/>
          </w:tcPr>
          <w:p>
            <w:pPr>
              <w:ind w:left="700"/>
              <w:spacing w:after="0" w:line="198" w:lineRule="exact"/>
              <w:rPr>
                <w:sz w:val="20"/>
                <w:szCs w:val="20"/>
                <w:color w:val="auto"/>
              </w:rPr>
            </w:pP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0000FF"/>
              </w:rPr>
              <w:t>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Prospectus/Offer to Exchange.</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Agent</w:t>
            </w:r>
          </w:p>
        </w:tc>
        <w:tc>
          <w:tcPr>
            <w:tcW w:w="2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420" w:type="dxa"/>
            <w:vAlign w:val="bottom"/>
            <w:vMerge w:val="continue"/>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The depositary and exchange agent for the Offer and Consent Solicitation is: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74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American Stock Transfer &amp; Trust Company, LLC</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74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Operations Center</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74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Attn: Reorganization Department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7420" w:type="dxa"/>
            <w:vAlign w:val="bottom"/>
            <w:gridSpan w:val="3"/>
          </w:tcPr>
          <w:p>
            <w:pPr>
              <w:ind w:left="700"/>
              <w:spacing w:after="0" w:line="202" w:lineRule="exact"/>
              <w:rPr>
                <w:sz w:val="20"/>
                <w:szCs w:val="20"/>
                <w:color w:val="auto"/>
              </w:rPr>
            </w:pPr>
            <w:r>
              <w:rPr>
                <w:rFonts w:ascii="Times New Roman" w:cs="Times New Roman" w:eastAsia="Times New Roman" w:hAnsi="Times New Roman"/>
                <w:sz w:val="18"/>
                <w:szCs w:val="18"/>
                <w:color w:val="auto"/>
              </w:rPr>
              <w:t>6201 15th Avenue</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Brooklyn, New York 11219</w:t>
            </w:r>
          </w:p>
        </w:tc>
        <w:tc>
          <w:tcPr>
            <w:tcW w:w="0" w:type="dxa"/>
            <w:vAlign w:val="bottom"/>
          </w:tcPr>
          <w:p>
            <w:pPr>
              <w:spacing w:after="0"/>
              <w:rPr>
                <w:sz w:val="1"/>
                <w:szCs w:val="1"/>
                <w:color w:val="auto"/>
              </w:rPr>
            </w:pPr>
          </w:p>
        </w:tc>
      </w:tr>
      <w:tr>
        <w:trPr>
          <w:trHeight w:val="41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Dealer Manager</w:t>
            </w: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The dealer manager for the Offer and Consent Solicitation is:</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388 Greenwich Street, Trading, Fourth Floor</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New York, New York 10013</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(212) 723-7914</w:t>
            </w: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420" w:type="dxa"/>
            <w:vAlign w:val="bottom"/>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9"/>
              </w:rPr>
              <w:t>We have other business relationships with the dealer manager, as described in “</w:t>
            </w:r>
            <w:r>
              <w:rPr>
                <w:rFonts w:ascii="Times New Roman" w:cs="Times New Roman" w:eastAsia="Times New Roman" w:hAnsi="Times New Roman"/>
                <w:sz w:val="18"/>
                <w:szCs w:val="18"/>
                <w:i w:val="1"/>
                <w:iCs w:val="1"/>
                <w:color w:val="auto"/>
                <w:w w:val="99"/>
              </w:rPr>
              <w:t>The Offer and</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i w:val="1"/>
                <w:iCs w:val="1"/>
                <w:color w:val="auto"/>
              </w:rPr>
              <w:t>Consent Solicitation — Dealer Manager.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0"/>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We recommend that our Warrant Holders review the registration statement on Form S-4, of</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which this Prospectus/Offer to Exchange forms a part, including the exhibits that we have</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filed with the SEC in connection with the Offer and Consent Solicitation and our other</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materials that we have filed with the SEC, before making a decision on whether to tender for</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exchange in the Offer and consent to the Warrant Amendment. All reports and other</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documents we have filed with the SEC can be accessed electronically on the SEC’s website</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at www.sec.gov.</w:t>
            </w:r>
          </w:p>
        </w:tc>
        <w:tc>
          <w:tcPr>
            <w:tcW w:w="0" w:type="dxa"/>
            <w:vAlign w:val="bottom"/>
          </w:tcPr>
          <w:p>
            <w:pPr>
              <w:spacing w:after="0"/>
              <w:rPr>
                <w:sz w:val="1"/>
                <w:szCs w:val="1"/>
                <w:color w:val="auto"/>
              </w:rPr>
            </w:pPr>
          </w:p>
        </w:tc>
      </w:tr>
      <w:tr>
        <w:trPr>
          <w:trHeight w:val="395"/>
        </w:trPr>
        <w:tc>
          <w:tcPr>
            <w:tcW w:w="2420" w:type="dxa"/>
            <w:vAlign w:val="bottom"/>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You should direct (1) questions about the terms of the Offer and Consent Solicitation to the</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dealer manager at its address and telephone number listed above and (2) questions about the</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w w:val="99"/>
              </w:rPr>
              <w:t>exchange procedures and requests for additional copies of this Prospectus/Offer to Exchange,</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the Letter of Transmittal and Consent or Notice of Guaranteed Delivery to the information</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agent at the below address and phone number:</w:t>
            </w:r>
          </w:p>
        </w:tc>
        <w:tc>
          <w:tcPr>
            <w:tcW w:w="0" w:type="dxa"/>
            <w:vAlign w:val="bottom"/>
          </w:tcPr>
          <w:p>
            <w:pPr>
              <w:spacing w:after="0"/>
              <w:rPr>
                <w:sz w:val="1"/>
                <w:szCs w:val="1"/>
                <w:color w:val="auto"/>
              </w:rPr>
            </w:pPr>
          </w:p>
        </w:tc>
      </w:tr>
      <w:tr>
        <w:trPr>
          <w:trHeight w:val="400"/>
        </w:trPr>
        <w:tc>
          <w:tcPr>
            <w:tcW w:w="2420" w:type="dxa"/>
            <w:vAlign w:val="bottom"/>
          </w:tcPr>
          <w:p>
            <w:pPr>
              <w:spacing w:after="0"/>
              <w:rPr>
                <w:sz w:val="24"/>
                <w:szCs w:val="24"/>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D.F. King &amp; Co., Inc.</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48 Wall Street, 22nd Floor</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7420" w:type="dxa"/>
            <w:vAlign w:val="bottom"/>
            <w:gridSpan w:val="3"/>
          </w:tcPr>
          <w:p>
            <w:pPr>
              <w:ind w:left="700"/>
              <w:spacing w:after="0" w:line="176" w:lineRule="exact"/>
              <w:rPr>
                <w:sz w:val="20"/>
                <w:szCs w:val="20"/>
                <w:color w:val="auto"/>
              </w:rPr>
            </w:pPr>
            <w:r>
              <w:rPr>
                <w:rFonts w:ascii="Times New Roman" w:cs="Times New Roman" w:eastAsia="Times New Roman" w:hAnsi="Times New Roman"/>
                <w:sz w:val="18"/>
                <w:szCs w:val="18"/>
                <w:color w:val="auto"/>
              </w:rPr>
              <w:t>New York, New York 10005</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742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rPr>
              <w:t>Call Toll-Free: (866) 342-4881</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742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rPr>
              <w:t>Banks and Brokers Only: (212) 269-5550</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7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Email: pwp@dfking.com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40"/>
          </w:cols>
          <w:pgMar w:left="1020" w:top="1440" w:right="1039" w:bottom="1440" w:gutter="0" w:footer="0" w:header="0"/>
        </w:sectPr>
      </w:pPr>
    </w:p>
    <w:bookmarkStart w:id="16" w:name="page17"/>
    <w:bookmarkEnd w:id="1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exchange your Warrants for shares of our Class A Common Stock, in addition to the risks and uncertainties discussed above under “Cautionary Note Regarding Forward-Looking Statements,” you should carefully consider the specific risks set forth herein and in the 2021 Annual Report, as well as any subsequently filed Quarterly Reports on Form 10-Q and Current Reports on Form 8-K (other than, in each case, information furnished rather than filed), which are incorporated by reference herein. If any of these risks actually occur, it may materially harm our business, financial condition, liquidity and results of operations. As a result, the market price of our securities could decline, and you could lose all or part of your investment. You should carefully consider the risk factors below, as well as the other information contained in or incorporated by reference in this Prospectus/Offer to Exchange before making an investment decision. Additional risks and uncertainties not presently known to us or that we currently believe to be immaterial may become material and adversely affect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Warrants and the Offer to Exchange and Consent Solicitation</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 Amendment, if approved, will allow us to require that Warrants be exchanged for shares of Class A Common Stock at a ratio 10% lower than the exchange ratio applicable to the Offer.</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complete the Offer and Consent Solicitation and obtain the requisite approval of the Warrant Amendment by holders of the Consent Warrants, we will have the right to require holders of all Warrants (including the Private Placement Warrants) that remain outstanding upon the closing of the Offer to exchange each of their Warrants for 0.18 shares of Class A Common Stock. This represents a ratio of shares of Class A Common Stock per Warrant that is 10% less than the exchange ratio applicable to the Offer. Although we intend to require an exchange of all remaining Warrants (including the Private Placement Warrants) as a result of the approval of the Warrant Amendment, we would not be required to effect such an exchange and may defer doing so, if ever, until most economically advantageous to us.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terms of the Warrant Agreement, the consent of holders of at least 65% of the outstanding Public Warrants is required to approve the Warrant Amendment. Therefore, one of the conditions to the adoption of the Warrant Amendment is the receipt of the consent of holders of at least 65% of the outstanding Public Warrants. Parties representing approximately 45.9% of the Public Warrants have agreed to tender their Warrants in the Offer and to consent to the Warrant Amendment in the Consent Solicitation pursuant to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the Warrant Amendment is adopted, we currently intend to require the conversion of all outstanding Warrants (including Private Placement Warrants) to shares of Class A Common Stock as provided in the Warrant Amendment, which would result in the holders of any remaining outstanding Warrants receiving approximately 10% fewer shares of Class A Common Stock than if they had tendered their Warrants in the Offer.</w:t>
      </w:r>
    </w:p>
    <w:p>
      <w:pPr>
        <w:spacing w:after="0" w:line="11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exchange of Warrants and other securities for shares of Class A Common Stock will increase the number of shares eligible for future resale and result in dilution to our stockholders.</w:t>
      </w:r>
    </w:p>
    <w:p>
      <w:pPr>
        <w:spacing w:after="0" w:line="1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Warrants may be exchanged for shares of Class A Common Stock pursuant to the Offer, which will increase the number of shares eligible for future resale in the public market and result in dilution to our stockholders, although there can be no assurance that such exchange will be completed or that all of the holders of the Warrants will elect to participate in the Offer. Any Warrants remaining outstanding after the exchange likely will be exercised only if the $11.50 per share exercise price is below the market price of our Class A Common Stock. We also intend to require an exchange of all remaining outstanding Warrants assuming the approval of the Warrant Amendment. To the extent such Warrants are exchanged following the approval of the Warrant Amendment or exercised, additional shares of Class A Common Stock will be issued.</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subject to the exchange procedures and restrictions set forth in the PWP OpCo LPA, and any other procedures or restrictions imposed by us, holders of PWP OpCo Class A partnership units (other than us)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45.6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our option) at a conversion rate of 1:1000 (or 0.001). We have reserved approximately 45,689 shares of Class A common stock for issuance from time to time in respect of conversion of shares of Class B-1 or Class B-2 Common Stock into Class A Common Stock.</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Such holders of PWP OpCo Class A partnership units and shares of Class B Common Stock may elect to exchange all or some of their PWP OpCo Class A partnership units and related shares of Class B Common Stock that are not subject to lock-up or other restrictions each quarter as described above. For the third quarter of 2022, as of July 8, 2022, we have received elections from five holders to exchange 764,111.152 PWP OpCo Class A partnership units and a related 764,111.152 shares of Class B Common Stock of a total of 8,735,299.256 PWP OpCo Class A partnership units and a related 8,735,299.256 shares of Class B Common Stock eligible to be exchanged. Assuming we elect to exchange the PWP OpCo Class A partnership units and shares of Class B Common Stock for shares of our Class A Common Stock, we expect to issue 764,873 shares of Class A Common Stock with respect to such exchanges on the Quarterly Exchange Date.</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These issuances of shares of Class A Common Stock will, and any future issuances of Class A Common Stock in connection with incentive plans, acquisitions, capital raises or otherwise may, result in dilution to our stockholders, including Warrant Holders who exchange Warrants in the Offer, and increase the number of shares eligible for resale in the public market.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obtained a third-party determination that the Offer or the Consent Solicitation is fair to Warrant Holders.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None of us, our affiliates, the dealer managers, the exchange agent or the information agent makes any recommendation as to whether you should exchange some or all of your Warrants or, with respect to the Consent Warrants,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tendering your Warrants in the Offer will put you in a better future economic position.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 give no assurance as to the market price of our Class A Common Stock in the future. If you choose to tender some or all of your Warrants in the Offer, future events may cause an increase in the market price of our Class A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shares of Class A Common Stock) in the future at a higher value than would have been obtained by participating in the Offer. In addition, if the Warrant Amendment is adopted, you may receive fewer shares of Class A Common Stock than if you had tendered your Warrants in the Offer. You should consult your own individual tax and/or financial advisor for assistance on how this may affect your individual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Class A Common Stock offered in the Offer is fixed and will not be adjusted (subject to any amendment by us of the Offer and Consent Solicitation). The market price of our Class A Common Stock may fluctuate, and the market price of our Class A Common Stock when we deliver our Class A Common Stock in exchange for your Warrants could be less than the market price at the time you tender your Warrants.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number of shares of Class A Common Stock for each Warrant accepted for exchange is fixed at the number of shares specified on the cover of this Prospectus/Offer to Exchange (subject to any amendment by us of the Offer and Consent Solicitation) and will fluctuate in value if there is any increase or decrease in the market price of our Class A Common Stock or the Warrants after the date of this Prospectus/Offer to Exchange. Therefore, the market price of our Class A Common Stock when we deliver Class A Common Stock in exchange for your Warrants could be less than the market price of the Warrants at the time you tender your Warrants. The market price of our Class A Common Stock could continue to fluctuate and be subject to volatility during the period of time between when we accept Warrants for exchange in the Offer and when we deliver Class A Common Stock in exchange for Warrants, or during any extension of the Offer Period.</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that are not exchanged prior to their exercise at a time that is disadvantageous to you, thereby making your Warrants worthless.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(excluding any Private Placement Warrants held by the Sponsor or their permitted transferees) at any time after they become exercisable and prior to their expiration, at $0.01 per Warrant, provided that the last reported sales price (or the closing bid price of our Class A Common Stock in the event the shares of our Class A Common Stock are not traded on any specific trading day) of the Class A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liquidity of the Warrants that are not exchanged may be reduced.</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the Warrant Amendment is approved, it is unlikely that any Warrants will remain outstanding following the completion of the Offer and Consent Solicitation. However, if any unexchanged Warrants remain outstanding, then the ability to sell such Warrants may become more limited due to the reduction in the number of Warrants outstanding upon completion of the Offer and Consent Solicitation. A more limited trading market might adversely affect the liquidity, market price and price volatility of unexchanged Warrants.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Public Warrants from trading on its exchange, which could limit Public Warrant holders’ ability to make transactions in our Public Warrants.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the Warrant Amendment is approved, it is unlikely that any Warrants will remain outstanding following the completion of the Offer and Consent Solicitation. See “— </w:t>
      </w:r>
      <w:r>
        <w:rPr>
          <w:rFonts w:ascii="Times New Roman" w:cs="Times New Roman" w:eastAsia="Times New Roman" w:hAnsi="Times New Roman"/>
          <w:sz w:val="18"/>
          <w:szCs w:val="18"/>
          <w:i w:val="1"/>
          <w:iCs w:val="1"/>
          <w:color w:val="auto"/>
        </w:rPr>
        <w:t>The Warrant Amendment, if approved, will allow us to require that Warrants be exchanged for shares of Class A Common Stock at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 10% lower than the exchange ratio applicable to the Offer</w:t>
      </w:r>
      <w:r>
        <w:rPr>
          <w:rFonts w:ascii="Times New Roman" w:cs="Times New Roman" w:eastAsia="Times New Roman" w:hAnsi="Times New Roman"/>
          <w:sz w:val="18"/>
          <w:szCs w:val="18"/>
          <w:color w:val="auto"/>
        </w:rPr>
        <w:t>.” However, if any unexchanged Warrants remain outstanding following the completion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 and Consent Solicitation, we cannot assure you that our Warrants will continue to be listed on the Nasdaq in the future. In order to continue listing our Warrants on the Nasdaq, there must be a minimum of at least two registered and active market makers for our Warrants. If a sufficient number of our Warrant holders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their Warrants for shares of Class A Common Stock in the Offer, there may no longer be at least two registered and active market makers for our Warrants as required by the Nasdaq, and the Nasdaq could delist our Warrants.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Nasdaq delists our Warrants from trading on its exchange and we are not able to list our securities on another national securities exchange, our Warrants could be quoted on an over-the-counter market. However, even if this were to occur, holders of Warrants could face significant material adverse consequences, including:</w:t>
      </w:r>
    </w:p>
    <w:p>
      <w:pPr>
        <w:spacing w:after="0" w:line="12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market makers that do initially make a market in our unexchanged Warrants eventually cease to do so.</w:t>
      </w:r>
    </w:p>
    <w:p>
      <w:pPr>
        <w:spacing w:after="0" w:line="16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or incorporated by reference into this Prospectus/Offer to Exchange may not be indicative of what our actual results of operations would have been had the Business Combination been consummated on the dates indicated therein.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and incorporated by reference into this Prospectus/Offer to Exchange is presented for illustrative purposes only and is not necessarily indicative of what our actual results of operations would have been had the business combination been completed on the dates indicated therein.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1440" w:right="459" w:bottom="1440" w:gutter="0" w:footer="0" w:header="0"/>
        </w:sectPr>
      </w:pPr>
    </w:p>
    <w:bookmarkStart w:id="20" w:name="page21"/>
    <w:bookmarkEnd w:id="2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 AND CONSENT SOLICITATION</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Participation in the Offer and Consent Solicitation involves a number of risks, including, but not limited to, the risks identified in the section titled “Risk Factors.”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information and documents that have been incorporated by reference herein, before making a decision regarding the Offer and Consent Solicitation.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Until the Expiration Date, we are offering to holders of our Warrants the opportunity to receive 0.20 shares of Class A Common Stock in exchange for each Warrant they hold. Holders of the Warrants tendered for exchange will not have to pay any of the exercise price for the tendered Warrants in order to receive shares of Class A Common Stock pursuant to the Offer. Our obligation to complete the Offer is not conditioned on the receipt of a minimum number of tendered Warrants.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part of the Offer, we are also soliciting from the holders of Public Warrants their consent to the Warrant Amendment, which, if approved, will permit the Company to require that all Warrants (including the Private Placement Warrants) outstanding upon completion of the Offer be converted into shares of Class A Common Stock at a ratio of 0.18 shares of Class A Common Stock per Warrant, which is a ratio 10% less than the exchange ratio applicable to the Offer. The Warrant Amendment will permit us to eliminate all of the Warrants (including Private Placement Warrants) that remain outstanding after the Offer is consummated. A copy of the Warrant Amendment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We urge that you carefully read the Warrant Amendment in its entirety. Pursuant to the terms of the Warrant Agreement, the consent of holders of at least 65% of the outstanding Public Warrants is required to approve the Warrant Amendment.</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Holders who tender Consent Warrants for exchange in the Offer will automatically be deemed, without any further action, to have given their consent to approval of the Warrant Amendment (effective upon our acceptance of the tendered Warrants). The consent to the Warrant Amendment is a part of the Letter of Transmittal and Consent relating to the Warrants.</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cannot tender any Consent Warrants for exchange in the Offer without giving your consent to the Warrant Amendment. Thus, before deciding whether to tender any Consent Warrants, you should be aware that a tender of Warrants may result in the approval of the Warrant Amendment.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Offer and Consent Solicitation is subject to the terms and conditions contained in this Prospectus/Offer to Exchange and the Letter of Transmittal and Consent.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tender some or all of your Warrants into the Offer.</w:t>
      </w:r>
    </w:p>
    <w:p>
      <w:pPr>
        <w:spacing w:after="0" w:line="16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elect to tender Warrants in the Offer and Consent Solicitation, please follow the instructions in this Prospectus/Offer to Exchange and the related documents, including the Letter of Transmittal and Consent.</w:t>
      </w:r>
    </w:p>
    <w:p>
      <w:pPr>
        <w:spacing w:after="0" w:line="1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September 16, 2022 may thereafter be withdrawn by you until such time as the Warrants are accepted by us for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Subject to the Offer</w:t>
      </w:r>
    </w:p>
    <w:p>
      <w:pPr>
        <w:spacing w:after="0" w:line="17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As of July 19, 2022, we had outstanding an aggregate of 7,869,975 Warrants, consisting of 7,666,642 Public Warrants and 203,333 Private Placement Warrants. Pursuant to the Offer, we are offering up to an aggregate of 1,573,995 shares of our Class A Common Stock in exchange for all of the Warrants.</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Public Warrants were issued as part of the IPO. The Private Placement Warrants were issued as part of a private placement that occurred simultaneously with the IPO. Each Warrant entitles the holder to purchase one share of our Class A Common Stock at a price of $11.50 per share, subject to adjustments pursuant to the Warrant Agreement. The Warrants are listed on the Nasdaq under the symbol “PWPPW.”</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terms of the Private Placement Warrants are identical to the Public Warrants, except that the Private Placement Warrants are exercisable for cash or on a cashless basis and are not redeemable by the Company, in each case so long as they are still held by the Sponsor or their permitted transferees.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Period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will expire on the Expiration Date, which is one minute after 11:59 p.m., Eastern Standard Time, on August 18, 2022,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Standard Time, on the next business day following the Expiration Date as in effect immediately prior to such extension.</w:t>
      </w:r>
    </w:p>
    <w:p>
      <w:pPr>
        <w:spacing w:after="0" w:line="13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to the Offer and Consent Solicitation are not satisfied or waived prior to the Expiration Date. Upon any such withdrawal, we will promptly return any tendered Warrants. We will announce our decision to withdraw the Offer and Consent Solicitation by disseminating notice by public announcement or otherwise as permitted by applicable law.</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expiration of the Offer Period, the current terms of the Warrants will continue to apply to any unexchanged Warrants, or the amended terms if the Warrant Amendment is approved, until the Warrants expire on June 24, 2026, at 5:00 p.m., New York City time, or earlier upon redemption or liquidation, subject to certain terms and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Offer and Consent Solicitation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reserve the right at any time or from time to time, to amend the Offer and Consent Solicitation, including by increasing or (if the conditions to the Offer are not satisfied) decreasing the exchange ratio of shares of Class A Common Stock issued for every Warrant exchanged or by changing the terms of the Warrant Amendment.</w:t>
      </w:r>
    </w:p>
    <w:p>
      <w:pPr>
        <w:spacing w:after="0" w:line="12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and 13e-4(e)(3) under the Exchange Act.</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increase or decrease the exchange ratio of our Class A Common Stock issuable in exchange for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 business day period.</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material amendments to the Offer and Consent Solicitation may require us to extend the Offer and Consent Solicitation for a minimum of five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Exchange Permitted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 on the last trading day of the Offer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Offer and Consent Solicitation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and Consent Solicitation are conditioned upon the following:</w:t>
      </w:r>
    </w:p>
    <w:p>
      <w:pPr>
        <w:spacing w:after="0" w:line="171"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Prospectus/Offer to Exchange forms a part, shall have become effective under the Securities Act, and shall not be the subject of any stop order or proceeding seeking a stop order;</w:t>
      </w:r>
    </w:p>
    <w:p>
      <w:pPr>
        <w:spacing w:after="0" w:line="107" w:lineRule="exact"/>
        <w:rPr>
          <w:rFonts w:ascii="Times New Roman" w:cs="Times New Roman" w:eastAsia="Times New Roman" w:hAnsi="Times New Roman"/>
          <w:sz w:val="18"/>
          <w:szCs w:val="18"/>
          <w:color w:val="auto"/>
        </w:rPr>
      </w:pPr>
    </w:p>
    <w:p>
      <w:pPr>
        <w:ind w:left="660" w:right="80" w:hanging="328"/>
        <w:spacing w:after="0" w:line="289"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the tender of some or all of the Warrants pursuant to the Offer or otherwise relates in any manner to the Offer;</w:t>
      </w:r>
    </w:p>
    <w:p>
      <w:pPr>
        <w:spacing w:after="0" w:line="103" w:lineRule="exact"/>
        <w:rPr>
          <w:rFonts w:ascii="Times New Roman" w:cs="Times New Roman" w:eastAsia="Times New Roman" w:hAnsi="Times New Roman"/>
          <w:sz w:val="17"/>
          <w:szCs w:val="17"/>
          <w:color w:val="auto"/>
        </w:rPr>
      </w:pPr>
    </w:p>
    <w:p>
      <w:pPr>
        <w:jc w:val="both"/>
        <w:ind w:left="660" w:right="60" w:hanging="328"/>
        <w:spacing w:after="0" w:line="27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is reasonably likely to directly or indirectly,</w:t>
      </w:r>
    </w:p>
    <w:p>
      <w:pPr>
        <w:spacing w:after="0" w:line="1" w:lineRule="exact"/>
        <w:rPr>
          <w:rFonts w:ascii="Times New Roman" w:cs="Times New Roman" w:eastAsia="Times New Roman" w:hAnsi="Times New Roman"/>
          <w:sz w:val="17"/>
          <w:szCs w:val="17"/>
          <w:color w:val="auto"/>
        </w:rPr>
      </w:pPr>
    </w:p>
    <w:p>
      <w:pPr>
        <w:jc w:val="both"/>
        <w:ind w:left="660"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make the acceptance for exchange of, or exchange for, some or all of the Warrants illegal or otherwise restrict or prohibit completion of the Offer or Consent Solicitation, or (ii) materially delay or materially restrict our ability, or render us unable, to accept for exchange or exchange some or all of the Warrants; and</w:t>
      </w:r>
    </w:p>
    <w:p>
      <w:pPr>
        <w:spacing w:after="0" w:line="131" w:lineRule="exact"/>
        <w:rPr>
          <w:rFonts w:ascii="Times New Roman" w:cs="Times New Roman" w:eastAsia="Times New Roman" w:hAnsi="Times New Roman"/>
          <w:sz w:val="17"/>
          <w:szCs w:val="17"/>
          <w:color w:val="auto"/>
        </w:rPr>
      </w:pPr>
    </w:p>
    <w:p>
      <w:pPr>
        <w:ind w:left="660" w:hanging="328"/>
        <w:spacing w:after="0" w:line="253"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shall not have occurred (i) any general suspension of trading in securities on any national securities exchange or in the over-the-counter market; (ii) a declaration of a banking moratorium or any suspension of payments in respect to banks in the U.S.; (iii) any limitation (whether or not mandatory) by any government or governmental, regulatory or administrative authority, agency or instrumentality, domestic or foreign, or other event that, in our reasonable judgment is reasonably likely to affect the extension of credit by banks or other lending institutions; or (iv) a natural disaster, the commencement or escalation of any war, armed hostilities or other national or international calamity, including, but not limited to, a catastrophic terrorist attack against the U.S. or its citizens, an outbreak of a pandemic or contagious disease other than COVID-19, or an escalation of the impacts or worsening threat of the COVID-19 pandemic as a result of significant new precautionary or emergency measures, recommendations or orders taken, issued or reinstated by any governmental or regulatory authority in response to the COVID-19 pandemic, directly or indirectly involving the United States, on or after July 22, 2022, which in our reasonable judgment is or may be materially adverse to us or otherwise makes it inadvisable for us to proceed with the Offer and Consent Solicitation.</w:t>
      </w:r>
    </w:p>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Consent Solicitation is conditioned on our receiving the consent of holders of at least 65% of the outstanding Public Warrants to approve the Warrant Amendment (which is the minimum number required to amend the Warrant Agreement).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not complete the Offer and Consent Solicitation unless and until the registration statement described above is effective.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9:00 a.m., Eastern Standard Time, on the next business day following the Expiration Date as in effect immediately prior to such extension.</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2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foregoing conditions are solely for our benefit and may be asserted by us in our reasonable discretion, regardless of the circumstances (other than action or inaction by us) giving rise to any such conditions, and may be waived by us, in whole or in part, at any time and from time to time, in our reasonable discretion on or prior to the Expiration Date. In the event that one or more of the events described above occurs, we will promptly notify Warrant Holders of our determination as to whether to (i) waive or modify the applicable condition(s) and continue the Offer and Consent Solicitation or</w:t>
      </w:r>
    </w:p>
    <w:p>
      <w:pPr>
        <w:spacing w:after="0" w:line="3" w:lineRule="exact"/>
        <w:rPr>
          <w:sz w:val="20"/>
          <w:szCs w:val="20"/>
          <w:color w:val="auto"/>
        </w:rPr>
      </w:pPr>
    </w:p>
    <w:p>
      <w:pPr>
        <w:ind w:right="60" w:firstLine="8"/>
        <w:spacing w:after="0" w:line="253"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and Consent Solicitation. In addition, depending upon the materiality of any waived condition(s) and the number of days remaining prior to the then scheduled expiration date of the Offer and Consent Solicitation, we may be required to promptly disseminate disclosure regarding such waiver to Warrant Holders and extend the Offer and Consent Solicitation. The determination by us as to whether any condition has been satisfied shall be conclusive and binding on all parties, subject to each Warrant Holder’s right to challenge any determination by us in a court of competent jurisdiction.</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of the Offer and Consent Solicitation are not satisfied or waived prior to the Expiration Date. Promptly upon any such withdrawal, we will return any tendered Warrants (and, with respect to the Consent Warrants, the related consent to the Warrant Amendment will be revoked). We will announce our decision to withdraw the Offer and Consent Solicitation by disseminating notice by public announcement or otherwise as permitted by applicable law.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Recommendation; Warrant Holder’s Own Decision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None of our affiliates, directors, officers or employees, or the information agent, the exchange agent or the dealer manager for the Offer and Consent Solicitation, is making any recommendations to any Warrant Holder as to whether to exchange their Warrants and deliver their consent to the Warrant Amendment. Each Warrant Holder must make its own decision as to whether to tender Warrants for exchange pursuant to the Offer and, with respect to the Consent Warrants, consent to the amendment of the Warrant Agreement pursuant to the Consent Solicitation.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Tendering Warrants for Exchange and Consenting to the Warrant Amendment</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Issuance of shares of Class A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Consent Warrants will constitute a consent to the Warrant Amendment with respect to each Consent Warrant tendered.</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Agreement; (iii) the Offer is discretionary and may be extended, modified, suspended or terminated by us as provided herein; (iv) such Warrant Holder is voluntarily participating in the Offer; (v) the future value of our Warrants is unknown and cannot be predicted with certainty; and (vi) such Warrant Holder has read this Prospectus/Offer to Exchange, Letter of Transmittal and Consent and Warrant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Holders of Warrants; Beneficial Owners of Warrants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purposes of the tender procedures set forth below, the term “registered holder” means any person in whose name Warrants are registered on our books or who is listed as a participant in a clearing agency’s security position listing with respect to the Warrants.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Persons whose Warrants are held through a direct or indirect participant of The Depository Trust Company (“DTC”),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w:t>
      </w:r>
      <w:r>
        <w:rPr>
          <w:rFonts w:ascii="Times New Roman" w:cs="Times New Roman" w:eastAsia="Times New Roman" w:hAnsi="Times New Roman"/>
          <w:sz w:val="18"/>
          <w:szCs w:val="18"/>
          <w:i w:val="1"/>
          <w:iCs w:val="1"/>
          <w:color w:val="auto"/>
        </w:rPr>
        <w:t>— Required Communications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Tendering Warrants Using Letter of Transmittal and Consent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registered holder of Warrants may tender Warrants for exchange using a Letter of Transmittal and Consent in the form provided by us with this Prospectus/Offer to Exchange. A Letter of Transmittal is to be used only if delivery of Warrants is to be made by book-entry transfer to the exchange agent’s account at DTC pursuant to the procedures set forth in “</w:t>
      </w:r>
      <w:r>
        <w:rPr>
          <w:rFonts w:ascii="Times New Roman" w:cs="Times New Roman" w:eastAsia="Times New Roman" w:hAnsi="Times New Roman"/>
          <w:sz w:val="18"/>
          <w:szCs w:val="18"/>
          <w:i w:val="1"/>
          <w:iCs w:val="1"/>
          <w:color w:val="auto"/>
        </w:rPr>
        <w:t>— Tendering Warrants Using Book-Entry Transfer</w:t>
      </w:r>
      <w:r>
        <w:rPr>
          <w:rFonts w:ascii="Times New Roman" w:cs="Times New Roman" w:eastAsia="Times New Roman" w:hAnsi="Times New Roman"/>
          <w:sz w:val="18"/>
          <w:szCs w:val="18"/>
          <w:color w:val="auto"/>
        </w:rPr>
        <w:t>”; provided, however, that it is not necessary to execute and deliver a Letter of Transmittal and Consent if instructions with respect to the tender of such Warrants are transmitted through DTC’s Automated Tender Offer Program (“ATOP”).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cases, all signatures on the Letter of Transmittal and Consent must be guaranteed by an “Eligible Institution.” See “</w:t>
      </w:r>
      <w:r>
        <w:rPr>
          <w:rFonts w:ascii="Times New Roman" w:cs="Times New Roman" w:eastAsia="Times New Roman" w:hAnsi="Times New Roman"/>
          <w:sz w:val="18"/>
          <w:szCs w:val="18"/>
          <w:i w:val="1"/>
          <w:iCs w:val="1"/>
          <w:color w:val="auto"/>
        </w:rPr>
        <w:t>— Signature Guarantees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Letter of Transmittal and Consent is signed by someone other than the registered holder of the tendered Warrants (for example, if the registered holder has assigned the Warrants to a third-party), or if our shares of Class A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Warrants duly tendered and delivered as described above shall be automatically cancelled upon the issuance of shares of Class A Common Stock in exchange for such Warrants as part of the completion of the Offer.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 Guarantees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certain cases, all signatures on the Letter of Transmittal and Consent must be guaranteed by an “Eligible Institution.” An “Eligible Institution” is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40"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“Special Issuance Instructions” or the box entitled “Special Delivery Instructions” in the Letter of Transmittal and Consent; or</w:t>
      </w:r>
    </w:p>
    <w:p>
      <w:pPr>
        <w:spacing w:after="0" w:line="2" w:lineRule="exact"/>
        <w:rPr>
          <w:sz w:val="20"/>
          <w:szCs w:val="20"/>
          <w:color w:val="auto"/>
        </w:rPr>
      </w:pPr>
    </w:p>
    <w:p>
      <w:pPr>
        <w:ind w:firstLine="8"/>
        <w:spacing w:after="0" w:line="260"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are tendered for the account of an Eligible Institution. In all other cases, an Eligible Institution must guarantee all signatures on the Letter of Transmittal and Consent by completing and signing the table in the Letter of Transmittal and Consent entitled “Guarantee of 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Communications by Beneficial Owners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Persons whose Warrants are held through a direct or indirect DTC participant, such as a broker, dealer, commercial bank, trust company or other financial intermediary, are not considered registered holders of those Warrants, but are “beneficial owners,” and must instruct the broker, dealer, commercial bank, trust company or other financial intermediary to tender Warrants on their behalf. Your broker, dealer, commercial bank, trust company or other financial intermediary should have provided you with an “Instructions Form” with this Prospectus/Offer to Exchange. The Instructions Form is also filed as an exhibit to the registration statement on Form S-4 of which this Prospectus/Offer to Exchange forms a part. The Instructions Form may be used by you to instruct your broker or other custodian to tender and deliver Warrants on your behalf.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Tendering Warrants Using Book-Entry Transfer</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“Agent’s Message”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w:t>
      </w:r>
      <w:r>
        <w:rPr>
          <w:rFonts w:ascii="Times New Roman" w:cs="Times New Roman" w:eastAsia="Times New Roman" w:hAnsi="Times New Roman"/>
          <w:sz w:val="18"/>
          <w:szCs w:val="18"/>
          <w:i w:val="1"/>
          <w:iCs w:val="1"/>
          <w:color w:val="auto"/>
        </w:rPr>
        <w:t>— Guaranteed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must be followed.</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“Agent’s Message” to the exchange agent for acceptance. Delivery of the Agent’s Message by DTC will satisfy the terms of the Offer and Consent Solicitation as to execution and delivery of a Letter of Transmittal and Consent by the DTC participant identified in the Agent’s Message. The term “Agent’s Message”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our company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Warrants duly tendered and delivered as described above shall be automatically cancelled upon the issuance of shares of Class A Common Stock in exchange for such Warrants as part of the completion of the Offer.</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Delivery of a Letter of Transmittal and Consent or any other required documentation to DTC does not constitute delivery to the exchange agent. See “— Timing and Manner of Deliveries.”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Guaranteed Delivery Procedures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registered holder of Warrants desires to tender its Warrants for exchange pursuant to the Offer, but (i) the procedure for book-entry transfer cannot be completed on a timely basis, or (ii) time will not permit all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to reach the exchange agent prior to the Expiration Date, the holder can still tender its Warrants if all the following conditions are met: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is made by or through an Eligible Institution;</w:t>
      </w:r>
    </w:p>
    <w:p>
      <w:pPr>
        <w:spacing w:after="0" w:line="1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receives by hand, mail, overnight courier, facsimile or electronic mail transmission, prior to the Expiration Date, a properly completed and duly executed Notice of Guaranteed Delivery in the form we have provided with this Prospectus/Offer to Exchange, with signatures guaranteed by an Eligible Institution; and</w:t>
      </w:r>
    </w:p>
    <w:p>
      <w:pPr>
        <w:spacing w:after="0" w:line="1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the Nasdaq is open for trading after the date the exchange agent receives such Notice of Guaranteed Delivery.</w:t>
      </w:r>
    </w:p>
    <w:p>
      <w:pPr>
        <w:spacing w:after="0" w:line="1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any case where the guaranteed delivery procedure is utilized for the tender of Warrants pursuant to the Offer, the issuance of Class A Common Stock for those Warrants tendered for exchange pursuant to the Offer and accepted pursuant to the Offer will be made only if the exchange agent has timely received the applicable foregoing items.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and Manner of Deliveries</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Validity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All questions as to the form of documents and the validity, eligibility (including time of receipt) and acceptance for exchange of any tender of Warrants pursuant to the procedures described herein and the form and validity of all documents will be determined by us, in our sole discretion, and our determination will be final and binding on all parties, subject to each Warrant Holder’s right to challenge any determination by us in a court of competent jurisdiction. We reserve the absolute right in our sole discretion to reject any or all tenders of Warrants that we determine are not in proper form. We also reserve the absolute right in our sole discretion to waive any defect or irregularity in any tender of any particular Warrant. Our interpretation of the terms and conditions of the Offer and Consent Solicitation will be final and binding, subject to each Warrant Holder’s right to challenge any determination by us in a court of competent jurisdiction. We are not obligated and do not intend to accept any alternative, conditional or contingent tenders. Unless waived, any irregularities in connection with tendered Warrants must be cured within such time as we shall determine. Neither we nor any of our affiliates or assigns, the information agent, the exchange agent, or dealer manager will be under any duty to give notice of any defect or irregularity in tenders, nor shall any of us or them incur any liability to a Warrant Holder for failure to give any such notice. Tenders of Warrants will not be deemed to have been made until such irregularities have been cured or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Commissions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Taxes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shares of Class A Common Stock are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Withdrawal Rights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By tendering Consent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Consent Warrants. A valid withdrawal of tendered Consent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by September 16, 2022 may thereafter be withdrawn by you until such time as the Warrants are accepted by us for exchange.</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the section titled “</w:t>
      </w:r>
      <w:r>
        <w:rPr>
          <w:rFonts w:ascii="Times New Roman" w:cs="Times New Roman" w:eastAsia="Times New Roman" w:hAnsi="Times New Roman"/>
          <w:sz w:val="18"/>
          <w:szCs w:val="18"/>
          <w:i w:val="1"/>
          <w:iCs w:val="1"/>
          <w:color w:val="auto"/>
        </w:rPr>
        <w:t>— Procedure for Tendering Warrants for Exchange</w:t>
      </w:r>
      <w:r>
        <w:rPr>
          <w:rFonts w:ascii="Times New Roman" w:cs="Times New Roman" w:eastAsia="Times New Roman" w:hAnsi="Times New Roman"/>
          <w:sz w:val="18"/>
          <w:szCs w:val="18"/>
          <w:color w:val="auto"/>
        </w:rPr>
        <w:t>” at any time prior to the Expiration Date.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(“PTOP”)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titled “</w:t>
      </w:r>
      <w:r>
        <w:rPr>
          <w:rFonts w:ascii="Times New Roman" w:cs="Times New Roman" w:eastAsia="Times New Roman" w:hAnsi="Times New Roman"/>
          <w:sz w:val="18"/>
          <w:szCs w:val="18"/>
          <w:i w:val="1"/>
          <w:iCs w:val="1"/>
          <w:color w:val="auto"/>
        </w:rPr>
        <w:t>— Procedure for Tendering Warrants for Exchange — Signature Guarantees</w:t>
      </w:r>
      <w:r>
        <w:rPr>
          <w:rFonts w:ascii="Times New Roman" w:cs="Times New Roman" w:eastAsia="Times New Roman" w:hAnsi="Times New Roman"/>
          <w:sz w:val="18"/>
          <w:szCs w:val="18"/>
          <w:color w:val="auto"/>
        </w:rPr>
        <w:t>”; provided, however, that signatures on the notice of withdrawal need not be guaranteed if the Warrants 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us, in our sole discretion, which determination shall be final and binding on all parties, subject to each Warrant Holder’s right to challenge any determination by us in a court of competent jurisdiction. No withdrawal of Warrants shall be deemed to have been properly made until all defects and irregularities have been cured or waived. Neither we nor any of our affiliates or assigns, the information agent, the exchange agent, or dealer manager will be under any duty to give notice of any defect or irregularity in tenders, nor shall any of us or them incur any liability to a Warrant Holder for failure to give any such notice. Withdrawals of tenders of Warrants may not be rescinded, and any Warrants properly withdrawn will be deemed not to have been validly tendered for purposes of the Offer. However, Warrant Holders may retender withdrawn Warrants by following one of the procedures for tendering Warrants described herein at any time prior to the Expiration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 for Issuance of Shares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of the Offer and Consent Solicitation, we will accept for exchange Warrants validly tendered until the Expiration Date, which is one minute after 11:59 p.m., Eastern Standard Time, on August 18, 2022, or such later time and date to which we may extend. Our shares of Class A Common Stock to be issued upon exchange of Warrants pursuant to the Offer, along with written notice from the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 (ii) a properly completed and duly executed Letter of Transmittal and Consent, or compliance with ATOP where applicable, (iii) any other documentation required by the Letter of Transmittal and Consent, and (iv) any required signature guarantees.</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Announcement of Results of the Offer and Consent Solicitation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will announce the final results of the Offer and Consent Solicitation, including whether all of the conditions to the Offer and Consent Solicitation have been satisfied or waived and whether we will accept the tendered Warrants for exchange promptly following the end of the Offer Period. The announcement will be made by a press release and by amendment to the Schedule TO we will file with the SEC in connection with the Offer and Consent Solicitation.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the Offer and Consent Solicitation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approved the Offer and Consent Solicitation on July 7, 2022. The purpose of the Offer and Consent Solicitation is to attempt to simplify our capital structure and reduce the potential dilutive impact of the Warrants. The Warrants that are tendered for exchange pursuant to the Offer will be retired and cancelled automatically upon the issuance of shares of Class A Common Stock in exchange for such Warrants pursuant to the Offer.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Regulatory Requirements and Legal Proceedings</w:t>
      </w:r>
    </w:p>
    <w:p>
      <w:pPr>
        <w:spacing w:after="0" w:line="173"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8"/>
          <w:szCs w:val="18"/>
          <w:color w:val="auto"/>
        </w:rPr>
        <w:t>Other than as set forth under the section entitled “</w:t>
      </w:r>
      <w:r>
        <w:rPr>
          <w:rFonts w:ascii="Times New Roman" w:cs="Times New Roman" w:eastAsia="Times New Roman" w:hAnsi="Times New Roman"/>
          <w:sz w:val="18"/>
          <w:szCs w:val="18"/>
          <w:i w:val="1"/>
          <w:iCs w:val="1"/>
          <w:color w:val="auto"/>
        </w:rPr>
        <w:t>Market Information, Dividends and Related Stockholder Matters — Transactions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Our Securities</w:t>
      </w:r>
      <w:r>
        <w:rPr>
          <w:rFonts w:ascii="Times New Roman" w:cs="Times New Roman" w:eastAsia="Times New Roman" w:hAnsi="Times New Roman"/>
          <w:sz w:val="18"/>
          <w:szCs w:val="18"/>
          <w:color w:val="auto"/>
        </w:rPr>
        <w:t>” and the section of our 2021 Annual Report entitled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which is incorporated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by reference, there are no present or proposed agreements, arrangements, understandings or relationships between us, and any of our directors, executive officers, affiliates or any other person relating, directly or indirectly, to the Offer and Consent Solicitation or to the Warrants.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pending legal proceedings relating to the Offer and Consent Solicitation.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Executive Officers and Others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of our directors, executive officers or affiliates beneficially own any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financial condition as of March 31, 2022 gives effect to the impact of the Offer as if all Warrants were exchanged for Class A Common Stock on that date. The unaudited pro forma condensed combined statements of operations set forth financial information for (i) the year ended December 31, 2021 after giving effect to the Business Combination, the January 2022 Offering, the exchange of all Warrants for Class A Common Stock pursuant to the Offer and related adjustments as if they had been consummated on January 1, 2021 and (ii) the three months ended March 31, 2022 after only giving effect to the January 2022 Offering and the exchange of all Warrants for Class A Common Stock pursuant to the Offer as if they had been consummated on January 1, 2021 since the Business Combination is already reflected in PWP’s historical unaudited condensed consolidated financial statements for the three months ended March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the following historical financial statements:</w:t>
      </w:r>
    </w:p>
    <w:p>
      <w:pPr>
        <w:spacing w:after="0" w:line="171" w:lineRule="exact"/>
        <w:rPr>
          <w:sz w:val="20"/>
          <w:szCs w:val="20"/>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FTIV for the period from January 1, 2021 through June 24, 2021 (the Closing Date), which are not included in this Prospectus/Offer to Exchange;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PWP for the year ended December 31, 2021 included in the 2021 Annual Report, which is incorporated by reference in this Prospectus/Offer to Exchange;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PWP as of and for the three months ended March 31, 2022 included in the Company’s Quarterly Report on Form 10-Q for the three months ended March 31, 2022, which is incorporated by reference in this Prospectus/Offer to Exchange.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or consolidated financial position that would actually have occurred if the Business Combination, the January 2022 Offering, and the Offer had been consummated on the dates assumed or to project our consolidated results of operations or consolidated financial position for any future date or period.</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as well as the sections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our consolidated financial statements and related notes, all of which are included in the 2021 Annual Report and the Company’s Quarterly Report on Form 10-Q for the three months ended March 31, 2022, each of which is incorporated by reference herein.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Business Combination Agreement, subject to certain conditions set forth therein, and in connection with the Closing:</w:t>
      </w:r>
    </w:p>
    <w:p>
      <w:pPr>
        <w:spacing w:after="0" w:line="171" w:lineRule="exact"/>
        <w:rPr>
          <w:sz w:val="20"/>
          <w:szCs w:val="20"/>
          <w:color w:val="auto"/>
        </w:rPr>
      </w:pPr>
    </w:p>
    <w:p>
      <w:pPr>
        <w:ind w:left="660" w:right="22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acquired newly-issued Class A partnership units of PWP OpCo in exchange for cash in an amount equal to the outstanding excess cash balances of the Company (including the proceeds from the PIPE Investment) as of Closing;</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the Company;</w:t>
      </w:r>
    </w:p>
    <w:p>
      <w:pPr>
        <w:spacing w:after="0" w:line="17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new shares of Class B-1 Common Stock and Class B-2 Common Stock to PWP OpCo, with the Class B-1 Common Stock being distributed to and owned by Professional Partners and the Class B-2 Common Stock being distributed to and owned by ILPs, with the number of shares of such common stock issued to PWP OpCo equal the number of Class A partnership units of PWP OpCo that were held by Professional Partners and ILPs, respectively, following the Closing; and</w:t>
      </w:r>
    </w:p>
    <w:p>
      <w:pPr>
        <w:spacing w:after="0" w:line="125"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repaid certain indebtedness of PWP OpCo and its subsidiaries, and paid certain expenses, and PWP OpCo first redeemed PWP OpCo units held by certain electing ILPs, and second, redeemed PWP OpCo units held by certain Legacy Partners and retained remaining proceeds for general corporate purposes.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also entered into a Subscription Agreement with the PIPE Investors pursuant to, and on the terms and subject to the conditions of, which the PIPE Investors have collectively subscribed for 12.5 million shares of the Company’s Class A Common Stock for an aggregate purchase price equal to $125 million, including $1.5 million subscribed by entities related to the Sponsor. The PIPE Investment was consummated concurrently with the Closing.</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(the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the ownership interests in the Company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at Closing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42,957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Class A Partnership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93,111</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Class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50,154</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460" w:hanging="332"/>
        <w:spacing w:after="0" w:line="261" w:lineRule="auto"/>
        <w:tabs>
          <w:tab w:leader="none" w:pos="30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100" w:hanging="332"/>
        <w:spacing w:after="0" w:line="263" w:lineRule="auto"/>
        <w:tabs>
          <w:tab w:leader="none" w:pos="3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 w:cs="Times New Roman" w:eastAsia="Times New Roman" w:hAnsi="Times New Roman"/>
          <w:sz w:val="18"/>
          <w:szCs w:val="18"/>
          <w:i w:val="1"/>
          <w:iCs w:val="1"/>
          <w:color w:val="auto"/>
        </w:rPr>
        <w:t>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Company entered into the Tax Receivable Agreement that provides for payment by the Company to TRA Parties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Due to the uncertainty in the amount and timing of any additional future exchanges of PWP OpCo Class A partnership units by the Limited Partners (after distribution of PWP OpCo Class A partnership units by Professional Partners) and ILPs, no increases in tax basis in PWP’s assets or other tax benefits that may be realized from such additional future exchanges have been assumed in the unaudited pro forma condensed combined financial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January 2022 Offering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21, 2022, the Company completed an underwritten public offering of 3,502,033 shares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January 2022 Offering and the use of proceeds thereof, the ownership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39,881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January 2022 Offering</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46,338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92,994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46,656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of Founder Shares and Placement Shares, including those subject to performance targets.</w:t>
      </w:r>
    </w:p>
    <w:p>
      <w:pPr>
        <w:spacing w:after="0" w:line="11" w:lineRule="exact"/>
        <w:rPr>
          <w:sz w:val="20"/>
          <w:szCs w:val="20"/>
          <w:color w:val="auto"/>
        </w:rPr>
      </w:pPr>
    </w:p>
    <w:p>
      <w:pPr>
        <w:ind w:left="340" w:right="460" w:hanging="332"/>
        <w:spacing w:after="0" w:line="261" w:lineRule="auto"/>
        <w:tabs>
          <w:tab w:leader="none" w:pos="30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100" w:hanging="332"/>
        <w:spacing w:after="0" w:line="263" w:lineRule="auto"/>
        <w:tabs>
          <w:tab w:leader="none" w:pos="37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Offer</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is offering to the holders of our Warrants the opportunity to receive 0.20 shares of Class A Common Stock in exchange for each of our Warrants tendered by the Warrant Holder and exchanged pursuant to the Offer.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Offer and assuming all Warrants are exchanged for Class A Common Stock, the ownership is expected to be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Capitalization (in thousands)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(Excluding Founder Shares and Placement Shares)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35,959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Founder Shares and Placement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Upon Consummation of the Offer†</w:t>
            </w:r>
          </w:p>
        </w:tc>
        <w:tc>
          <w:tcPr>
            <w:tcW w:w="9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42,416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Class A Common Stock Assuming All PWP OpCo Class A Partnership Units Exchanged**</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45,690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4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(Assuming PWP OpCo Units Fully Exchanged)**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88,106</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B-1 Common Stock and B-2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45,690</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right="1880" w:firstLine="8"/>
        <w:spacing w:after="0" w:line="251" w:lineRule="auto"/>
        <w:tabs>
          <w:tab w:leader="none" w:pos="2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Company’s repurchase of 6,943,017 shares of Class A Common Stock that settled through July 19, 2022 pursuant to its stock repurchase program. * Includes 100% of Founder Shares and Placement Shares, including those subject to performance targets.</w:t>
      </w:r>
    </w:p>
    <w:p>
      <w:pPr>
        <w:ind w:left="340" w:right="460" w:hanging="324"/>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spacing w:after="0" w:line="1" w:lineRule="exact"/>
        <w:rPr>
          <w:rFonts w:ascii="Times New Roman" w:cs="Times New Roman" w:eastAsia="Times New Roman" w:hAnsi="Times New Roman"/>
          <w:sz w:val="14"/>
          <w:szCs w:val="14"/>
          <w:color w:val="auto"/>
        </w:rPr>
      </w:pPr>
    </w:p>
    <w:p>
      <w:pPr>
        <w:ind w:left="340" w:right="100" w:hanging="324"/>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Shares of Class B-1 Common Stock were issued to Professional Partners and shares of Class B-2 Common Stock were issued to certain ILPs. Shares of Class B-1 Common Stock carry 10 votes per share and shares of Class B-2 Common Stock carry 1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accurate understanding of the combined entity upon the Closing as well as the consummation of the January 2022 Offering and the Offer assuming all Warrants are exchanged for Class A Common Stock.</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1440" w:right="459" w:bottom="1440" w:gutter="0" w:footer="0" w:header="0"/>
        </w:sectPr>
      </w:pPr>
    </w:p>
    <w:bookmarkStart w:id="35" w:name="page36"/>
    <w:bookmarkEnd w:id="3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PWP</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Offer Adjustments</w:t>
            </w:r>
          </w:p>
        </w:tc>
        <w:tc>
          <w:tcPr>
            <w:tcW w:w="62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23"/>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6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223,142</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75,254</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37,028</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470,631</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55,205</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programs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44,409</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40,208</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19,731</w:t>
            </w:r>
          </w:p>
        </w:tc>
      </w:tr>
      <w:tr>
        <w:trPr>
          <w:trHeight w:val="223"/>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170,868</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common stock, par value $0.0001 per share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187,179</w:t>
            </w:r>
          </w:p>
        </w:tc>
      </w:tr>
      <w:tr>
        <w:trPr>
          <w:trHeight w:val="229"/>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tcPr>
          <w:p>
            <w:pPr>
              <w:spacing w:after="0"/>
              <w:rPr>
                <w:sz w:val="19"/>
                <w:szCs w:val="19"/>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r>
      <w:tr>
        <w:trPr>
          <w:trHeight w:val="230"/>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tcPr>
          <w:p>
            <w:pPr>
              <w:spacing w:after="0"/>
              <w:rPr>
                <w:sz w:val="19"/>
                <w:szCs w:val="19"/>
                <w:color w:val="auto"/>
              </w:rPr>
            </w:pPr>
          </w:p>
        </w:tc>
      </w:tr>
      <w:tr>
        <w:trPr>
          <w:trHeight w:val="230"/>
        </w:trPr>
        <w:tc>
          <w:tcPr>
            <w:tcW w:w="6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159,402</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140,361</w:t>
            </w:r>
          </w:p>
        </w:tc>
      </w:tr>
      <w:tr>
        <w:trPr>
          <w:trHeight w:val="223"/>
        </w:trPr>
        <w:tc>
          <w:tcPr>
            <w:tcW w:w="6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6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299,763</w:t>
            </w: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ind w:left="32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ind w:left="4260"/>
        <w:spacing w:after="0" w:line="226" w:lineRule="auto"/>
        <w:rPr>
          <w:sz w:val="20"/>
          <w:szCs w:val="20"/>
          <w:color w:val="auto"/>
        </w:rPr>
      </w:pPr>
      <w:r>
        <w:rPr>
          <w:rFonts w:ascii="Times New Roman" w:cs="Times New Roman" w:eastAsia="Times New Roman" w:hAnsi="Times New Roman"/>
          <w:sz w:val="16"/>
          <w:szCs w:val="16"/>
          <w:b w:val="1"/>
          <w:bCs w:val="1"/>
          <w:color w:val="auto"/>
        </w:rPr>
        <w:t>For the Year Ended December 31, 2021</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Business Combination and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Offer</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FTIV</w:t>
            </w: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PWP</w:t>
            </w:r>
          </w:p>
        </w:tc>
        <w:tc>
          <w:tcPr>
            <w:tcW w:w="120" w:type="dxa"/>
            <w:vAlign w:val="bottom"/>
          </w:tcPr>
          <w:p>
            <w:pPr>
              <w:spacing w:after="0"/>
              <w:rPr>
                <w:sz w:val="12"/>
                <w:szCs w:val="12"/>
                <w:color w:val="auto"/>
              </w:rPr>
            </w:pPr>
          </w:p>
        </w:tc>
        <w:tc>
          <w:tcPr>
            <w:tcW w:w="15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January 2022 Offering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(aa)</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801,662</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31,615</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(dd)</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157,446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29,501</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661,810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Technology and infrastructure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 and occupancy</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26,406</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Travel and related expenses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19,887</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61,116</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800,712</w:t>
            </w: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(61,116)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(1,613)</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Non-operating income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 income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10,440</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(ll)</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(4,165) (ll)</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(hh)</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non-operating income (expenses)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(43,634)</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3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4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(35,296)</w:t>
            </w:r>
          </w:p>
        </w:tc>
        <w:tc>
          <w:tcPr>
            <w:tcW w:w="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(53,520)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(10,698) (ee)</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(1,696) (jj)</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(65,914)</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(35,195) (ff)</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(62,965)</w:t>
            </w: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(29,501) (cc)</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(12,741) (ii)</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(998) (jj)</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Perella Weinberg Partners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Class A common shareholders</w:t>
            </w: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(0.06) (gg)</w:t>
            </w: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(0.65) (gg)</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42,595,712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48,473,439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92,749,911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95,129,438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92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2022</w:t>
            </w:r>
          </w:p>
        </w:tc>
        <w:tc>
          <w:tcPr>
            <w:tcW w:w="160" w:type="dxa"/>
            <w:vAlign w:val="bottom"/>
          </w:tcPr>
          <w:p>
            <w:pPr>
              <w:spacing w:after="0"/>
              <w:rPr>
                <w:sz w:val="16"/>
                <w:szCs w:val="16"/>
                <w:color w:val="auto"/>
              </w:rPr>
            </w:pPr>
          </w:p>
        </w:tc>
        <w:tc>
          <w:tcPr>
            <w:tcW w:w="15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6"/>
              </w:rPr>
              <w:t>Offer</w:t>
            </w:r>
          </w:p>
        </w:tc>
        <w:tc>
          <w:tcPr>
            <w:tcW w:w="200" w:type="dxa"/>
            <w:vAlign w:val="bottom"/>
          </w:tcPr>
          <w:p>
            <w:pPr>
              <w:spacing w:after="0"/>
              <w:rPr>
                <w:sz w:val="16"/>
                <w:szCs w:val="16"/>
                <w:color w:val="auto"/>
              </w:rPr>
            </w:pPr>
          </w:p>
        </w:tc>
        <w:tc>
          <w:tcPr>
            <w:tcW w:w="110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PWP</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Offering</w:t>
            </w: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color w:val="auto"/>
              </w:rPr>
              <w:t>(nn)</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color w:val="auto"/>
                <w:w w:val="97"/>
              </w:rPr>
              <w:t>(oo)</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151,876</w:t>
            </w: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128,135</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 and occupancy</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162,235</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party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(12,006) (pp)</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(5,939) (qq)</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attributable to Class A common</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(rr)</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 (rr)</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50,402,947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96,938,892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38" w:name="page39"/>
    <w:bookmarkEnd w:id="38"/>
    <w:p>
      <w:pPr>
        <w:spacing w:after="0" w:line="3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exchange of all Warrants for Class A Common Stock pursuant to the Offer had occurred on March 31, 2022, in the case of the unaudited pro forma condensed combined statement of financial condition, and as if the Offer, the January 2022 Offering, and the Business Combination had been consummated on January 1, 2021, the beginning of the earliest period presented, in the case of the unaudited pro forma condensed combined statements of operations.</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United States generally accepted accounting principles (“GAAP”).</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spacing w:after="0" w:line="12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the date of this Prospectus/Offer to Exchange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pacing w:after="0" w:line="11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Financial Condition as of March 31,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financial condition as of March 31, 2022 reflects the following adjustments:</w:t>
      </w:r>
    </w:p>
    <w:p>
      <w:pPr>
        <w:spacing w:after="0" w:line="171" w:lineRule="exact"/>
        <w:rPr>
          <w:sz w:val="20"/>
          <w:szCs w:val="20"/>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financial condition as of March 31, 2022.</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record estimated costs related to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pro forma adjustments to reflect the exchange of all Warrants for 1,573,995 shares of Class A Common Stock pursuant to the Offer.</w:t>
      </w:r>
    </w:p>
    <w:p>
      <w:pPr>
        <w:spacing w:after="0" w:line="182"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non-controlling interests as a result of adjustments (b) and (c), as well as PWP’s increased ownership in PWP OpCo as a result of the PWP OpCo Class A partnership units received upon settlement of the Offer.</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reflects the following adjustments:</w:t>
      </w:r>
    </w:p>
    <w:p>
      <w:pPr>
        <w:spacing w:after="0" w:line="171" w:lineRule="exact"/>
        <w:rPr>
          <w:sz w:val="20"/>
          <w:szCs w:val="20"/>
          <w:color w:val="auto"/>
        </w:rPr>
      </w:pPr>
    </w:p>
    <w:p>
      <w:pPr>
        <w:ind w:left="660" w:right="480" w:hanging="409"/>
        <w:spacing w:after="0" w:line="282" w:lineRule="auto"/>
        <w:tabs>
          <w:tab w:leader="none" w:pos="6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FTIV historical unaudited condensed statement of operations for the period from January 1, 2021 through June 24, 2021 (the Closing Date).</w:t>
      </w:r>
    </w:p>
    <w:p>
      <w:pPr>
        <w:spacing w:after="0" w:line="107"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audited consolidated statement of operations for the year ended December 31, 2021.</w:t>
      </w:r>
    </w:p>
    <w:p>
      <w:pPr>
        <w:spacing w:after="0" w:line="171" w:lineRule="exact"/>
        <w:rPr>
          <w:rFonts w:ascii="Times New Roman" w:cs="Times New Roman" w:eastAsia="Times New Roman" w:hAnsi="Times New Roman"/>
          <w:sz w:val="18"/>
          <w:szCs w:val="18"/>
          <w:color w:val="auto"/>
        </w:rPr>
      </w:pPr>
    </w:p>
    <w:p>
      <w:pPr>
        <w:ind w:left="660" w:right="300" w:hanging="409"/>
        <w:spacing w:after="0" w:line="261" w:lineRule="auto"/>
        <w:tabs>
          <w:tab w:leader="none" w:pos="6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ind w:left="389" w:hanging="389"/>
        <w:spacing w:after="0"/>
        <w:tabs>
          <w:tab w:leader="none" w:pos="3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 to record the expense related to the Transaction RSUs.</w:t>
      </w:r>
    </w:p>
    <w:p>
      <w:pPr>
        <w:spacing w:after="0" w:line="171" w:lineRule="exact"/>
        <w:rPr>
          <w:rFonts w:ascii="Times New Roman" w:cs="Times New Roman" w:eastAsia="Times New Roman" w:hAnsi="Times New Roman"/>
          <w:sz w:val="18"/>
          <w:szCs w:val="18"/>
          <w:color w:val="auto"/>
        </w:rPr>
      </w:pPr>
    </w:p>
    <w:p>
      <w:pPr>
        <w:ind w:left="409" w:hanging="409"/>
        <w:spacing w:after="0" w:line="255" w:lineRule="auto"/>
        <w:tabs>
          <w:tab w:leader="none" w:pos="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spacing w:after="0" w:line="134" w:lineRule="exact"/>
        <w:rPr>
          <w:rFonts w:ascii="Times New Roman" w:cs="Times New Roman" w:eastAsia="Times New Roman" w:hAnsi="Times New Roman"/>
          <w:sz w:val="18"/>
          <w:szCs w:val="18"/>
          <w:color w:val="auto"/>
        </w:rPr>
      </w:pPr>
    </w:p>
    <w:p>
      <w:pPr>
        <w:ind w:left="409" w:right="60" w:hanging="409"/>
        <w:spacing w:after="0" w:line="256" w:lineRule="auto"/>
        <w:tabs>
          <w:tab w:leader="none" w:pos="40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allocate the portion of net income (loss) prior to the Business Combination attributable to Perella Weinberg Partners based on the aggregate Perella Weinberg Partners ownership as depicted in the post-Business Combination capitalization table above, adjusted for the vesting of Transaction RSUs during the year ended December 31, 2021. Historical equity-based compensation amounts and the expense related to ACUs and VCUs discussed in adjustment (cc) have been allocated to non-controlling interests as the vesting of ACUs and VCUs do not impact the Company as there is no additional dilution to the Company’s shareholders and no impact to the allocation of distributions from PWP OpCo to each of its investors (including the Company).</w:t>
      </w:r>
    </w:p>
    <w:p>
      <w:pPr>
        <w:spacing w:after="0" w:line="133" w:lineRule="exact"/>
        <w:rPr>
          <w:rFonts w:ascii="Times New Roman" w:cs="Times New Roman" w:eastAsia="Times New Roman" w:hAnsi="Times New Roman"/>
          <w:sz w:val="18"/>
          <w:szCs w:val="18"/>
          <w:color w:val="auto"/>
        </w:rPr>
      </w:pPr>
    </w:p>
    <w:p>
      <w:pPr>
        <w:ind w:left="409" w:right="40" w:hanging="409"/>
        <w:spacing w:after="0" w:line="258" w:lineRule="auto"/>
        <w:tabs>
          <w:tab w:leader="none" w:pos="3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shares of Class A Common Stock outstanding to give effect to potentially dilutive securities. PWP OpCo Class A partnership units may be exchanged for the Company’s Class A Common Stock on a one-for-one basis.</w:t>
      </w:r>
    </w:p>
    <w:p>
      <w:pPr>
        <w:spacing w:after="0" w:line="129" w:lineRule="exact"/>
        <w:rPr>
          <w:rFonts w:ascii="Times New Roman" w:cs="Times New Roman" w:eastAsia="Times New Roman" w:hAnsi="Times New Roman"/>
          <w:sz w:val="18"/>
          <w:szCs w:val="18"/>
          <w:color w:val="auto"/>
        </w:rPr>
      </w:pPr>
    </w:p>
    <w:p>
      <w:pPr>
        <w:ind w:left="409"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number of shares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1,573,995 shares related to the Offer, and an adjustment for treasury stock purchases that occurred in 2021.</w:t>
      </w:r>
    </w:p>
    <w:p>
      <w:pPr>
        <w:spacing w:after="0" w:line="125" w:lineRule="exact"/>
        <w:rPr>
          <w:rFonts w:ascii="Times New Roman" w:cs="Times New Roman" w:eastAsia="Times New Roman" w:hAnsi="Times New Roman"/>
          <w:sz w:val="18"/>
          <w:szCs w:val="18"/>
          <w:color w:val="auto"/>
        </w:rPr>
      </w:pPr>
    </w:p>
    <w:p>
      <w:pPr>
        <w:ind w:left="409"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3" w:lineRule="exact"/>
        <w:rPr>
          <w:rFonts w:ascii="Times New Roman" w:cs="Times New Roman" w:eastAsia="Times New Roman" w:hAnsi="Times New Roman"/>
          <w:sz w:val="18"/>
          <w:szCs w:val="18"/>
          <w:color w:val="auto"/>
        </w:rPr>
      </w:pPr>
    </w:p>
    <w:p>
      <w:pPr>
        <w:ind w:left="4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Diluted net income (loss) per share of Class A Common Stock for the year ended December 31, 2021:</w:t>
      </w:r>
    </w:p>
    <w:p>
      <w:pPr>
        <w:spacing w:after="0" w:line="220" w:lineRule="exact"/>
        <w:rPr>
          <w:sz w:val="20"/>
          <w:szCs w:val="20"/>
          <w:color w:val="auto"/>
        </w:rPr>
      </w:pPr>
    </w:p>
    <w:tbl>
      <w:tblPr>
        <w:tblLayout w:type="fixed"/>
        <w:tblInd w:w="409"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w:t>
            </w: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48,473,439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46,655,999</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95,129,438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9"/>
          </w:cols>
          <w:pgMar w:left="571" w:top="1440" w:right="399" w:bottom="1440" w:gutter="0" w:footer="0" w:header="0"/>
        </w:sectPr>
      </w:pPr>
    </w:p>
    <w:bookmarkStart w:id="40" w:name="page41"/>
    <w:bookmarkEnd w:id="40"/>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171" w:lineRule="exact"/>
        <w:rPr>
          <w:sz w:val="20"/>
          <w:szCs w:val="20"/>
          <w:color w:val="auto"/>
        </w:rPr>
      </w:pPr>
    </w:p>
    <w:p>
      <w:pPr>
        <w:jc w:val="both"/>
        <w:ind w:left="660" w:right="500" w:hanging="409"/>
        <w:spacing w:after="0" w:line="312" w:lineRule="auto"/>
        <w:tabs>
          <w:tab w:leader="none" w:pos="64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pro forma adjustment to eliminate the interest income on the investments held in the Trust Account and to eliminate the interest expense assuming the paydown of all outstanding debt from the proceeds of the Business Combination as if it occurred on January 1, 2021.</w:t>
      </w:r>
    </w:p>
    <w:p>
      <w:pPr>
        <w:spacing w:after="0" w:line="85" w:lineRule="exact"/>
        <w:rPr>
          <w:rFonts w:ascii="Times New Roman" w:cs="Times New Roman" w:eastAsia="Times New Roman" w:hAnsi="Times New Roman"/>
          <w:sz w:val="17"/>
          <w:szCs w:val="17"/>
          <w:color w:val="auto"/>
        </w:rPr>
      </w:pPr>
    </w:p>
    <w:p>
      <w:pPr>
        <w:ind w:left="660" w:hanging="409"/>
        <w:spacing w:after="0" w:line="261"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pro forma adjustments to adjust non-controlling interests for the portion of net income (loss) attributable to non-controlling interests resulting from adjustments (dd) and (hh) based on the aggregate Professional Partners and ILPs ownership as depicted in the post-Business Combination capitalization table above, adjusted for the assumed vesting of Transaction RSUs during the year ended December 31, 2021 and for treasury stock purchases that occurred in 2021.</w:t>
      </w:r>
    </w:p>
    <w:p>
      <w:pPr>
        <w:spacing w:after="0" w:line="125" w:lineRule="exact"/>
        <w:rPr>
          <w:rFonts w:ascii="Times New Roman" w:cs="Times New Roman" w:eastAsia="Times New Roman" w:hAnsi="Times New Roman"/>
          <w:sz w:val="18"/>
          <w:szCs w:val="18"/>
          <w:color w:val="auto"/>
        </w:rPr>
      </w:pPr>
    </w:p>
    <w:p>
      <w:pPr>
        <w:jc w:val="both"/>
        <w:ind w:left="660" w:right="180" w:hanging="409"/>
        <w:spacing w:after="0" w:line="266"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spacing w:after="0" w:line="121"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record estimated transaction costs related to the Offer.</w:t>
      </w:r>
    </w:p>
    <w:p>
      <w:pPr>
        <w:spacing w:after="0" w:line="171" w:lineRule="exact"/>
        <w:rPr>
          <w:rFonts w:ascii="Times New Roman" w:cs="Times New Roman" w:eastAsia="Times New Roman" w:hAnsi="Times New Roman"/>
          <w:sz w:val="18"/>
          <w:szCs w:val="18"/>
          <w:color w:val="auto"/>
        </w:rPr>
      </w:pPr>
    </w:p>
    <w:p>
      <w:pPr>
        <w:ind w:left="660" w:right="20" w:hanging="409"/>
        <w:spacing w:after="0" w:line="282" w:lineRule="auto"/>
        <w:tabs>
          <w:tab w:leader="none" w:pos="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reverse the historical change in fair value of warrant liabilities assuming all Warrants are exchanged for Class A Common Stock on January 1, 2021 and to record the loss due to the premium received by Holders under these same assumptions.</w:t>
      </w:r>
    </w:p>
    <w:p>
      <w:pPr>
        <w:spacing w:after="0" w:line="108" w:lineRule="exact"/>
        <w:rPr>
          <w:sz w:val="20"/>
          <w:szCs w:val="20"/>
          <w:color w:val="auto"/>
        </w:rPr>
      </w:pPr>
    </w:p>
    <w:p>
      <w:pPr>
        <w:ind w:left="660" w:hanging="404"/>
        <w:spacing w:after="0" w:line="266" w:lineRule="auto"/>
        <w:rPr>
          <w:sz w:val="20"/>
          <w:szCs w:val="20"/>
          <w:color w:val="auto"/>
        </w:rPr>
      </w:pPr>
      <w:r>
        <w:rPr>
          <w:rFonts w:ascii="Times New Roman" w:cs="Times New Roman" w:eastAsia="Times New Roman" w:hAnsi="Times New Roman"/>
          <w:sz w:val="18"/>
          <w:szCs w:val="18"/>
          <w:color w:val="auto"/>
        </w:rPr>
        <w:t>(mm)Reflects the pro forma impact to net income (loss) attributable to non-controlling interests as a result of adjustments (kk) and (ll), as well as PWP’s increased ownership in PWP OpCo due to the PWP OpCo Class A partnership units received upon settlement of the Offer. The related pro forma impact to Income tax benefit (expense) is not material.</w:t>
      </w:r>
    </w:p>
    <w:p>
      <w:pPr>
        <w:spacing w:after="0" w:line="118" w:lineRule="exact"/>
        <w:rPr>
          <w:sz w:val="20"/>
          <w:szCs w:val="20"/>
          <w:color w:val="auto"/>
        </w:rPr>
      </w:pPr>
    </w:p>
    <w:p>
      <w:pPr>
        <w:ind w:left="340" w:hanging="332"/>
        <w:spacing w:after="0" w:line="286" w:lineRule="auto"/>
        <w:tabs>
          <w:tab w:leader="none" w:pos="3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Adjustments and Assumptions to the Unaudited Pro Forma Condensed Combined Statement of Operations for the Three Months Ended March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2022 reflects the following adjustments:</w:t>
      </w:r>
    </w:p>
    <w:p>
      <w:pPr>
        <w:spacing w:after="0" w:line="171" w:lineRule="exact"/>
        <w:rPr>
          <w:sz w:val="20"/>
          <w:szCs w:val="20"/>
          <w:color w:val="auto"/>
        </w:rPr>
      </w:pPr>
    </w:p>
    <w:p>
      <w:pPr>
        <w:ind w:left="640" w:hanging="38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PWP historical unaudited condensed consolidated statement of operations for the three months ended March 31, 2022.</w:t>
      </w:r>
    </w:p>
    <w:p>
      <w:pPr>
        <w:spacing w:after="0" w:line="171" w:lineRule="exact"/>
        <w:rPr>
          <w:rFonts w:ascii="Times New Roman" w:cs="Times New Roman" w:eastAsia="Times New Roman" w:hAnsi="Times New Roman"/>
          <w:sz w:val="18"/>
          <w:szCs w:val="18"/>
          <w:color w:val="auto"/>
        </w:rPr>
      </w:pPr>
    </w:p>
    <w:p>
      <w:pPr>
        <w:jc w:val="both"/>
        <w:ind w:left="660" w:right="300" w:hanging="409"/>
        <w:spacing w:after="0" w:line="266" w:lineRule="auto"/>
        <w:tabs>
          <w:tab w:leader="none" w:pos="6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impact to net income (loss) attributable to non-controlling interests as if PWP’s increased ownership in PWP OpCo as a result of the January 2022 Offering, and the related acquisition described in (jj) above, was reflected for the full three months ended March 31, 2022. The related pro forma impact to Income tax benefit (expense) is not material.</w:t>
      </w:r>
    </w:p>
    <w:p>
      <w:pPr>
        <w:spacing w:after="0" w:line="121" w:lineRule="exact"/>
        <w:rPr>
          <w:rFonts w:ascii="Times New Roman" w:cs="Times New Roman" w:eastAsia="Times New Roman" w:hAnsi="Times New Roman"/>
          <w:sz w:val="18"/>
          <w:szCs w:val="18"/>
          <w:color w:val="auto"/>
        </w:rPr>
      </w:pPr>
    </w:p>
    <w:p>
      <w:pPr>
        <w:ind w:left="660" w:right="280" w:hanging="409"/>
        <w:spacing w:after="0" w:line="282" w:lineRule="auto"/>
        <w:tabs>
          <w:tab w:leader="none" w:pos="6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adjustment to eliminate the change in fair value of warrant liabilities assuming all Warrants were exchanged for Class A Common Stock pursuant to the Offer on January 1, 2021.</w:t>
      </w:r>
    </w:p>
    <w:p>
      <w:pPr>
        <w:spacing w:after="0" w:line="107" w:lineRule="exact"/>
        <w:rPr>
          <w:rFonts w:ascii="Times New Roman" w:cs="Times New Roman" w:eastAsia="Times New Roman" w:hAnsi="Times New Roman"/>
          <w:sz w:val="18"/>
          <w:szCs w:val="18"/>
          <w:color w:val="auto"/>
        </w:rPr>
      </w:pPr>
    </w:p>
    <w:p>
      <w:pPr>
        <w:ind w:left="660" w:right="340" w:hanging="409"/>
        <w:spacing w:after="0" w:line="312" w:lineRule="auto"/>
        <w:tabs>
          <w:tab w:leader="none" w:pos="64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pro forma impact to net income (loss) attributable to non-controlling interests as a result of adjustment (pp), as well as PWP’s increased ownership in PWP OpCo as described in (mm) above. The related pro forma impact to Income tax benefit (expense) is not material.</w:t>
      </w:r>
    </w:p>
    <w:p>
      <w:pPr>
        <w:spacing w:after="0" w:line="85" w:lineRule="exact"/>
        <w:rPr>
          <w:rFonts w:ascii="Times New Roman" w:cs="Times New Roman" w:eastAsia="Times New Roman" w:hAnsi="Times New Roman"/>
          <w:sz w:val="17"/>
          <w:szCs w:val="17"/>
          <w:color w:val="auto"/>
        </w:rPr>
      </w:pPr>
    </w:p>
    <w:p>
      <w:pPr>
        <w:ind w:left="660" w:right="60" w:hanging="409"/>
        <w:spacing w:after="0" w:line="258"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share of Class A Common Stock represents net income (loss) attributable to the Company divided by the weighted average number of shares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Class A partnership units may be exchanged for the Company’s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weighted average number of Class A Common Stock outstanding Basic and Diluted for the three months ended March 31, 2022 as reported in PWP’s historical unaudited condensed consolidated financial statements are adjusted to assume 1,573,995 shares related to the Offer,</w:t>
      </w:r>
    </w:p>
    <w:p>
      <w:pPr>
        <w:ind w:right="40"/>
        <w:spacing w:after="0" w:line="260" w:lineRule="auto"/>
        <w:rPr>
          <w:sz w:val="20"/>
          <w:szCs w:val="20"/>
          <w:color w:val="auto"/>
        </w:rPr>
      </w:pPr>
      <w:r>
        <w:rPr>
          <w:rFonts w:ascii="Times New Roman" w:cs="Times New Roman" w:eastAsia="Times New Roman" w:hAnsi="Times New Roman"/>
          <w:sz w:val="18"/>
          <w:szCs w:val="18"/>
          <w:color w:val="auto"/>
        </w:rPr>
        <w:t>3,502,033 shares related to the January 2022 Offering and 2,132,788 additional shares related to Transaction RSUs subject to a time-based vesting schedule were outstanding for the whole period presented.</w:t>
      </w:r>
    </w:p>
    <w:p>
      <w:pPr>
        <w:spacing w:after="0" w:line="1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numerators and denominators used to compute pro forma diluted net income (loss) per share of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 of Class A Common Stock for the three months ended March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assumed exchange of PWP OpCo Class A partnership units for Class A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w:t>
            </w: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Estimated tax benefit (expense) of assumed exchange of PWP OpCo Class A partnership units for Class A</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50,402,947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PWP OpCo Class A partnership units for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46,535,945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of Class A Common Stock outstanding—Diluted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96,938,892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share of Class B Common Stock has not been presented as the shares have de minimis economic and participating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0"/>
          </w:cols>
          <w:pgMar w:left="980" w:top="1440" w:right="359" w:bottom="1440" w:gutter="0" w:footer="0" w:header="0"/>
        </w:sectPr>
      </w:pPr>
    </w:p>
    <w:bookmarkStart w:id="42" w:name="page43"/>
    <w:bookmarkEnd w:id="4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unaudited pro forma per share information of the Company (i) for the year ended December 31, 2021 after giving effect to the Business Combination, the January 2022 Offering, and the exchange of all Warrants for Class A Common Stock pursuant to the Offer as if they had occurred on January 1, 2021, (ii) for the three months ended March 31, 2022 after giving effect to the January Offering and the exchange of all Warrants for Class A Common Stock pursuant to the Offer as if they had occurred on January 1, 2021, and (iii) as of March 31, 2022 after giving effect to the exchange of all Warrants for Class A Common Stock pursuant to the Offer as if it had occurred on March 31, 2022.</w:t>
      </w:r>
    </w:p>
    <w:p>
      <w:pPr>
        <w:spacing w:after="0" w:line="1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historical information should be read in conjunction with the section entitled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and the audited and unaudited historical financial statements and the related notes of PWP, included in the 2021 Annual Report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Prospectus/Offer to Exchange. The unaudited pro forma condensed combined net income per share information below does not purport to represent our consolidated results of operations after giving effect to the Business Combination, the January 2022 Offering, and the Offer nor to project our results of operations for any future date or period. The unaudited pro forma book value per share below does not purport to represent our actual book value after giving effect to the Offer nor the book value per share for any future date or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PWP</w:t>
            </w:r>
          </w:p>
        </w:tc>
        <w:tc>
          <w:tcPr>
            <w:tcW w:w="280" w:type="dxa"/>
            <w:vAlign w:val="bottom"/>
          </w:tcPr>
          <w:p>
            <w:pPr>
              <w:spacing w:after="0"/>
              <w:rPr>
                <w:sz w:val="13"/>
                <w:szCs w:val="13"/>
                <w:color w:val="auto"/>
              </w:rPr>
            </w:pP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80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Book value per share, March 31, 2022</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March 31, 2022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March 31,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March 31, 2022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50,402,947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March 31, 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96,938,892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of Class A Common Stock, December 31, 2021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of Class A Common Stock, December 31, 2021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outstanding—basic, December 31, 2021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48,473,439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outstanding—diluted, December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92,749,911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95,129,438</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share equals total equity divided by weighted average shares of Class A Common Stock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right="2060" w:firstLine="2121"/>
        <w:spacing w:after="0" w:line="440" w:lineRule="auto"/>
        <w:rPr>
          <w:sz w:val="20"/>
          <w:szCs w:val="20"/>
          <w:color w:val="auto"/>
        </w:rPr>
      </w:pPr>
      <w:r>
        <w:rPr>
          <w:rFonts w:ascii="Times New Roman" w:cs="Times New Roman" w:eastAsia="Times New Roman" w:hAnsi="Times New Roman"/>
          <w:sz w:val="18"/>
          <w:szCs w:val="18"/>
          <w:b w:val="1"/>
          <w:bCs w:val="1"/>
          <w:color w:val="auto"/>
        </w:rPr>
        <w:t>MARKET INFORMATION, DIVIDENDS AND RELATED STOCKHOLDER MATTERS Market Information of Common Stock and Warrants</w:t>
      </w:r>
    </w:p>
    <w:p>
      <w:pPr>
        <w:spacing w:after="0" w:line="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Class A Common Stock and Warrants are currently listed on the Nasdaq under the symbols “PWP” and “PWPPW,” respectively. The closing price of our Class A Common Stock and Warrants on July 19, 2022 was $6.34 and $0.72, respectively. Our Class B Common Stock (as defined below) is not listed or quoted on any exchange and is not transferable by the holders, subject to certain limited exceptions.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July 19, 2022, there were 40,842,188 shares of Class A Common Stock and 7,869,975 Warrants, consisting of 7,666,642 Public Warrants and 203,333 Private Placement Warrants, outstanding. As of July 19, 2022, there were 50 holders of record of our Class A Common Stock, 1 holder of record of our Class B-1 Common Stock (as defined below), 2 holders of record of our Class B-2 Common Stock (as defined below) and 10 holders of record of our Warrants. This does not include the number of shareholders that hold shares in “street name” through banks or broker-dealers.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declare and pay dividends subject to the determination by the Board that (i) such dividends are permitted by applicable law and (ii) we and our subsidiaries, on a consolidated basis, have a sufficient amount of unrestricted cash to make such dividend payments and still satisfy our respective existing liabilities and have sufficient reserves for future contingencies or future needs of our business and that of our subsidiaries. We have paid quarterly dividends to our stockholders of $0.07 per share of Class A Common Stock on each of September 21, 2021, December 17, 2021, March 17, 2022 and June 2, 2022. We are a holding company without any direct operations and our only material assets are our partnership interests in PWP OpCo and our equity interest in the general partner of PWP OpCo, PWP GP. Accordingly, our ability to pay dividends depends upon the financial condition, liquidity and results of operations of, and our receipt of dividends, loans or other funds from, our subsidiaries. Our subsidiaries are separate and distinct legal entities and have no obligation to make funds available to us. In addition, there are various statutory, regulatory and contractual limitations and business considerations on the extent, if any, to which our subsidiaries may pay dividends, make loans or otherwise provide funds to us. For example, the ability of our subsidiaries to make distributions, loans and other payments to us for the purposes described above and for any other purpose may be limited by the terms of the agreements governing our outstanding indebtedness. The declaration and payment of dividends is also at the discretion of the Board and depends on various factors including our results of operations, financial condition, cash requirements, prospects and other factors deemed relevant by the Board. We cannot assure you that we will not reduce or eliminate dividends in the future.</w:t>
      </w:r>
    </w:p>
    <w:p>
      <w:pPr>
        <w:spacing w:after="0" w:line="13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addition, under Delaware law, the Board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and Amount of Funds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this transaction is an offer to Warrant Holders to exchange their existing Warrants for shares of our Class A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transactions contemplated by the Offer and Consent Solicitation and the payment of cash in lieu of fractional shares will be approximately $1.6 million. We expect to have sufficient funds to complete the transactions contemplated by the Offer and Consent Solicitation and to pay fees, expenses, and other related amounts from our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80"/>
          </w:cols>
          <w:pgMar w:left="320" w:top="1440" w:right="39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American Stock Transfer &amp; Trust Company, LLC has been appointed the exchange agent for the Offer and Consent Solicitation. The Letter of Transmittal and Consent and all correspondence in connection with the Offer should be sent or delivered by each Warrant Holder,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Agent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D.F. King &amp; Co., Inc. has been appointed as the information agent for the Offer and Consent Solicitation.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 We will pay the information agent reasonable and customary fees for its services and will reimburse it for its reasonable out-of-pocket expenses in connection therewith.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 Manager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retained Citigroup Global Markets Inc. to act as dealer manager in connection with the Offer and Consent Solicitation and will pay the dealer manager a reasonable and customary fee as compensation for its services and will reimburse it for its reasonable out-of-pocket expenses in connection therewith.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In the ordinary course of its business, the dealer manager or its affiliates may at any time hold long or short positions, and may trade for their own accounts or the accounts of customers, in securities of the Company, including Warrants, and, to the extent that the dealer manager or its affiliates own Warrants during the Offer and Consent Solicitation, they may tender such Warrants under the terms of the Offer and Consent Solicitation.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expenses of soliciting tenders of the Warrants and the Consent Solicitation will be borne by us. The principal solicitations are being made by mail; however, additional solicitations may be made by facsimile, electronic communication, personally or by telephone or in person by the dealer manager and the information agent, as well as by our officers and other employees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Agreements Concerning Our Securities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Other than as set forth below, in the section of this Prospectus/Offer to Exchange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in the section of the 2021 Annual Report (which is incorporated by reference herein) entitled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in the notes to the consolidated financial statements included in the 2021 Annual Report and as set forth in our Restated Certificate of Incorporation, there are no agreements, arrangements or understandings between the Company, or any of our directors or executive officers, and any other person with respect to the Warrants.</w:t>
      </w:r>
    </w:p>
    <w:p>
      <w:pPr>
        <w:spacing w:after="0" w:line="13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directors, executive officers or controlling persons, or any executive officers, directors, managers or partners of any of our controlling persons, has engaged in any transactions in the Warrants in the last 60 days.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 and Support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21, 2022, we entered into a Tender and Support Agreement (the “Tender and Support Agreement”) with each of the persons listed on Schedule A thereto (each a “Supporting Stockholder”), a copy of which is filed as an exhibit to the registration statement on Form S-4 of which this Prospectus/Offer to Exchange is a part. Pursuant to the Tender and Support Agreement, the Supporting Stockholders, which collectively own approximately 45.9% of the Public Warrants, agreed to tender their Warrants in the Offer and consent to the Warrant Amendment in the Consent Solicitation.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Under the Exchange Act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Warrants currently are registered under the Exchange Act. This registration may be terminated upon application by us to the SEC if there are fewer than 300 record holders of the Warrants. We currently do not intend to terminate the registration of the Warrants, if any, that remain outstanding after completion of the Offer and Consent Solicitation. Notwithstanding any termination of the registration of our Warrants, we will continue to be subject to the reporting requirements under the Exchange Act as a result of the continuing registration of our Class A Common Stock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to account for the exchange of Warrants as a Class A Common Stock issuance and removal of the applicable portion of the warrant liabilities (at fair market value prior to the exchange). The par value of each share of Class A Common Stock issued in the Offer will be recorded as a credit to Class A Common Stock, the associated warrant liabilities will be debited and the remainder will be credited to additional paid-in capital. Any cash paid in lieu of fractional shares will be recorded as a credit to cash and a debit to additional paid-in capital. The Offer will not modify the current accounting treatment for the un-exchanged Warrants.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Appraisal or Dissenters’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appraisal or dissenters’ rights under applicable law available to Warrant Holders in connection with the Offer and Consent Solicitation.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receipt of shares of Class A Common Stock in exchange for the Warrants pursuant to the Offer or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terms of the Warrant Amendment, the deemed exchange of Warrants not exchanged for shares of Class A Common Stock in the Offer for “new” warrants as a result of the Warrant Amendment, and the ownership and disposition of shares of Class A Common Stock. This discussion applies only to Warrants and, upon the exchange of the Warrants, shares of Class A Common Stock held as capital assets within the meaning of the Code (generally, property held for investment) and does not describe all of the tax consequences that may be relevant to holders in light of their particular circumstances or to holders subject to special rules, such as:</w:t>
      </w:r>
    </w:p>
    <w:p>
      <w:pPr>
        <w:spacing w:after="0" w:line="12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or traders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passive foreign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tax accounting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shares of Class A Common Stock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or receive the Warrants or shares of Class A Common Stock as part of a straddle, constructive sale, hedge, conversion or other integrated or similar transaction;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Warrants or shares of Common Stock being taken into account in an “applicable financial statement,”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not pertaining to U.S. federal income taxation (such as estate or gift taxes), the alternative minimum tax or the Medicare tax on investment income, nor does it address any aspects of U.S. state or local or non-U.S. taxation.</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IRS will not assert positions contrary to those discussed herein or that any such positions would not be sustained by a court.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Warrants, and, upon the exchange of the Warrants, shares of Class A Common Stock, that is, for U.S. federal income tax purposes: (i) an individual who is a citizen or resident of the United States, (ii) a corporation (or other entity that is treated as a corporation for U.S. federal income tax purposes) created or organized in or under the laws of the U.S. or any state thereof (including the District of Columbia), (iii) an estate whose income is subject to U.S. federal income tax regardless of its source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1440" w:right="479" w:bottom="1440" w:gutter="0" w:footer="0" w:header="0"/>
        </w:sectPr>
      </w:pPr>
    </w:p>
    <w:bookmarkStart w:id="47" w:name="page48"/>
    <w:bookmarkEnd w:id="47"/>
    <w:p>
      <w:pPr>
        <w:spacing w:after="0" w:line="140" w:lineRule="exact"/>
        <w:rPr>
          <w:sz w:val="20"/>
          <w:szCs w:val="20"/>
          <w:color w:val="auto"/>
        </w:rPr>
      </w:pPr>
    </w:p>
    <w:p>
      <w:pPr>
        <w:ind w:right="280" w:firstLine="8"/>
        <w:spacing w:after="0" w:line="282" w:lineRule="auto"/>
        <w:tabs>
          <w:tab w:leader="none" w:pos="3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are authorized to control all substantial decisions of the trust; or (B) the trust has a valid election in effect under applicable Treasury regulations to be treated as a U.S. person.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Warrants, and, upon the exchange of the Warrants, shares of Class A Common Stock, that is neither a U.S. Holder nor a partnership (or any entity or arrangement so characterized for U.S. federal income tax purposes).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 partnership (or any entity or arrangement so characterized for U.S. federal income tax purposes) holds Warrants, the tax treatment of such partnership and a person treated as a partner of such partnership will generally depend on the status of the partner and the activities of the partner and the partnership. Partnerships holding any Warrants and persons that are treated as partners of such partnerships should consult their tax advisors as to the particular U.S. federal income tax considerations applicable to them.</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WARRANT HOLDERS SHOULD CONSULT THEIR TAX ADVISORS WITH RESPECT TO THE APPLICATION OF THE U.S. FEDERAL INCOME TAX LAWS TO THEIR PARTICULAR SITUATIONS AS WELL AS ANY TAX CONSEQUENCES OF THE OFFER, CONSENT SOLICITATION AND THE ACQUISITION, OWNERSHIP AND DISPOSITION OF SHARES OF CLASS A COMMON STOCK ARISING UNDER THE U.S. FEDERAL ESTATE OR GIFT TAX LAWS OR UNDER THE LAWS OF ANY STATE, LOCAL OR NON-U.S. TAXING JURISDICTION OR UNDER ANY APPLICABLE INCOME TAX TREATY.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Warrants for Shares of Class A Common Stock</w:t>
      </w:r>
    </w:p>
    <w:p>
      <w:pPr>
        <w:spacing w:after="0" w:line="1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For those U.S. Holders of Warrants participating in the Offer and for any holders of Warrants subsequently exchanged for shares of Class A Common Stock pursuant to the terms of the Warrant Amendment, we intend to treat your exchange of Warrants for shares of Class A Common Stock as a “recapitalization” within the meaning of Section 368(a)(1)(E) of the Code, pursuant to which (i) you should not recognize any gain or loss on the exchange of Warrants for shares of Class A Common Stock (other than with respect to any cash received in lieu of a fractional share of Class A Common Stock), (ii) your aggregate tax basis in the shares of Class A Common Stock received in the exchange should equal your aggregate tax basis in your Warrants surrendered in the exchange (except to the extent of any tax basis allocated to a fractional share for which a cash payment is received in connection with the exchange), and</w:t>
      </w:r>
    </w:p>
    <w:p>
      <w:pPr>
        <w:spacing w:after="0" w:line="5" w:lineRule="exact"/>
        <w:rPr>
          <w:sz w:val="20"/>
          <w:szCs w:val="20"/>
          <w:color w:val="auto"/>
        </w:rPr>
      </w:pPr>
    </w:p>
    <w:p>
      <w:pPr>
        <w:ind w:firstLine="8"/>
        <w:spacing w:after="0" w:line="255"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holding period for the shares of Class A Common Stock received in the exchange should include your holding period for the surrendered Warrants. Special tax basis and holding period rules apply to U.S. Holders that acquired different blocks of Warrants at different prices or at different times. You should consult your tax advisor as to the applicability of these special rules to your particular circumstances.</w:t>
      </w:r>
    </w:p>
    <w:p>
      <w:pPr>
        <w:spacing w:after="0" w:line="13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Any cash you receive in lieu of a fractional share of Class A Common Stock pursuant to the Offer or a subsequent exchange pursuant to the terms of the Warrant Amendment should generally result in gain or loss to you equal to the difference between the cash received and your tax basis in the fractional share.</w:t>
      </w:r>
    </w:p>
    <w:p>
      <w:pPr>
        <w:spacing w:after="0" w:line="12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However, alternative characterizations of your exchange of Warrants for shares of Class A Common Stock by the IRS or a court are possible, including ones that would require U.S. Holders to recognize taxable income on the exchange of Warrants for shares of Class A Common Stock. If the exchange of Warrants for shares of Class A Common Stock were not treated as a recapitalization for U.S. federal income tax purposes, exchanging U.S. Holders may recognize taxable gain or loss in an amount equal to the difference between (1) the amount realized upon such exchange (which would generally equal the value of the Class A Common Stock you receive) and (2) the U.S. Holder’s tax basis in the Warrant. Such gain or loss would generally be treated as long-term capital gain or loss if the Warrant has been held by the U.S. Holder for more than one year at the time of such exchange. The deductibility of capital losses is subject to certain limitations.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are a U.S. Holder and exchange Warrants for shares of Class A Common Stock pursuant to the Offer or a subsequent exchange pursuant to the terms of the Warrant Amendment, and if you hold five percent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of Class A Common Stock prior to the exchange, or if you hold Warrants and other securities of ours prior to the exchange with a tax basis of $1.0 million or more, you will be required to file with your U.S. federal income tax return for the year in which the exchange occurs a statement setting forth certain information relating to the exchange (including the fair market value, prior to the exchange, of the Warrants transferred in the exchange and your tax basis, prior to the exchange, in shares of Class A Common Stock or securities), and to maintain permanent records containing such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not Exchanged for Shares of Class A Common Stock</w:t>
      </w:r>
    </w:p>
    <w:p>
      <w:pPr>
        <w:spacing w:after="0" w:line="17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intend to treat all Warrants not exchanged for shares of Class A Common Stock in the Offer as having been exchanged for “new” warrants pursuant to the Warrant Amendment and to treat such deemed exchange as a “recapitalization” within the meaning of Section 368(a)(1)(E) of the Code, pursuant to which (i) you should not recognize any gain or loss on the deemed exchange of Warrants for “new” warrants, (ii) your aggregate tax basis in the “new” warrants deemed to be received in the exchange should equal your aggregate tax basis in your existing Warrants deemed surrendered in the exchange, and</w:t>
      </w:r>
    </w:p>
    <w:p>
      <w:pPr>
        <w:spacing w:after="0" w:line="3" w:lineRule="exact"/>
        <w:rPr>
          <w:sz w:val="20"/>
          <w:szCs w:val="20"/>
          <w:color w:val="auto"/>
        </w:rPr>
      </w:pPr>
    </w:p>
    <w:p>
      <w:pPr>
        <w:ind w:right="220" w:firstLine="8"/>
        <w:spacing w:after="0" w:line="255"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holding period for the “new” warrants deemed to be received in the exchange should include your holding period for the Warrants deemed surrendered. Special tax basis and holding period rules apply to holders that acquired different blocks of Warrants at different prices or at different times. You should consult your tax advisor as to the applicability of these special rules to your particular circumstances.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However, alternative characterizations of your exchange of Warrants for shares of Class A Common Stock by the IRS or a court are possible, including ones that would require U.S. Holders to recognize taxable income. If our treatment of the deemed exchange of Warrants for “new” warrants pursuant to the Warrant Amendment were successfully challenged by the IRS and such exchange were not treated as a recapitalization for U.S. federal income tax purposes, U.S. Holders that are deemed to have exchanged their Warrants may recognize taxable gain or loss in an amount equal to the difference between</w:t>
      </w:r>
    </w:p>
    <w:p>
      <w:pPr>
        <w:spacing w:after="0" w:line="3" w:lineRule="exact"/>
        <w:rPr>
          <w:sz w:val="20"/>
          <w:szCs w:val="20"/>
          <w:color w:val="auto"/>
        </w:rPr>
      </w:pPr>
    </w:p>
    <w:p>
      <w:pPr>
        <w:ind w:right="80" w:firstLine="8"/>
        <w:spacing w:after="0" w:line="25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realized upon such deemed exchange (which would generally equal the value of the Class A Common Stock you receive) and (2) the U.S. Holder’s tax basis in the Warrants. Such gain or loss would generally be treated as long-term capital gain or loss if the Warrants have been held by the U.S. Holder for more than one year at the time of such deemed exchange. The deductibility of capital losses is subject to certain limitations.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Warrants for Shares of Class A Common Stock and Deemed Exchange of Warrants</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 Non-U.S. Holder’s exchange of Warrants for shares of Class A Common Stock pursuant to the Offer or the terms of the Warrant Amendment, and the deemed exchange of Warrants not exchanged for shares of Class A Common Stock in the Offer for “new” warrants pursuant to the Warrant Amendment, should generally have the same tax consequences as described above for U.S. Holders. Any cash you receive in lieu of a fractional share of Class A Common Stock pursuant to the Offer should generally be treated as gain from the sale or other taxable disposition of Class A Common Stock, which will be treated as set forth below under “</w:t>
      </w:r>
      <w:r>
        <w:rPr>
          <w:rFonts w:ascii="Times New Roman" w:cs="Times New Roman" w:eastAsia="Times New Roman" w:hAnsi="Times New Roman"/>
          <w:sz w:val="18"/>
          <w:szCs w:val="18"/>
          <w:i w:val="1"/>
          <w:iCs w:val="1"/>
          <w:color w:val="auto"/>
        </w:rPr>
        <w:t>Non-U.S. Holders-Sale, Taxable Exchange or Other Taxable Disposition of Shares of Class A Common Stock.</w:t>
      </w:r>
      <w:r>
        <w:rPr>
          <w:rFonts w:ascii="Times New Roman" w:cs="Times New Roman" w:eastAsia="Times New Roman" w:hAnsi="Times New Roman"/>
          <w:sz w:val="18"/>
          <w:szCs w:val="18"/>
          <w:color w:val="auto"/>
        </w:rPr>
        <w:t>” You should not be required to make any U.S. federal income tax filings solely on account of the exchange of Warrants for shares of Class A Common Stock or the receipt of cash in lieu of fractional shares of Class 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Shares of Class A Common Stock</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(typically on an IRS Form W-8BEN or W-8BEN-E, as applicable). In the case of any constructive dividend, it is possible that this tax would be withheld from any amount owed to a Non-U.S. Holder by the applicable withholding agent, including cash distributions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Holders-Sale, Taxable Exchange or Other Taxable Disposition of Shares of Class A Common Stock</w:t>
      </w:r>
      <w:r>
        <w:rPr>
          <w:rFonts w:ascii="Times New Roman" w:cs="Times New Roman" w:eastAsia="Times New Roman" w:hAnsi="Times New Roman"/>
          <w:sz w:val="18"/>
          <w:szCs w:val="18"/>
          <w:color w:val="auto"/>
        </w:rPr>
        <w:t>” below. In addition, if we determine that we are classified as a “United States real property holding corporation” (see “</w:t>
      </w:r>
      <w:r>
        <w:rPr>
          <w:rFonts w:ascii="Times New Roman" w:cs="Times New Roman" w:eastAsia="Times New Roman" w:hAnsi="Times New Roman"/>
          <w:sz w:val="18"/>
          <w:szCs w:val="18"/>
          <w:i w:val="1"/>
          <w:iCs w:val="1"/>
          <w:color w:val="auto"/>
        </w:rPr>
        <w:t>Non-U.S. Holders-Sale,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Shares of Class A Common Stock</w:t>
      </w:r>
      <w:r>
        <w:rPr>
          <w:rFonts w:ascii="Times New Roman" w:cs="Times New Roman" w:eastAsia="Times New Roman" w:hAnsi="Times New Roman"/>
          <w:sz w:val="18"/>
          <w:szCs w:val="18"/>
          <w:color w:val="auto"/>
        </w:rPr>
        <w:t>” below), we will withhold 15% of any distribution that exceeds our current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earnings and profits.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United States persons. If the Non-U.S. Holder is a corporation, dividends that are effectively connected income may also be subject to a “branch profits tax” at a rate of 30% (or such lower rate as may be specified by an applicable income tax treaty).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Taxable Exchange or Other Taxable Disposition of Shares of Class A Common Stock</w:t>
      </w:r>
    </w:p>
    <w:p>
      <w:pPr>
        <w:spacing w:after="0" w:line="17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in respect of gain recognized on a sale, taxable exchange or other taxable disposition of our Class A Common Stock unless:</w:t>
      </w:r>
    </w:p>
    <w:p>
      <w:pPr>
        <w:spacing w:after="0" w:line="108" w:lineRule="exact"/>
        <w:rPr>
          <w:sz w:val="20"/>
          <w:szCs w:val="20"/>
          <w:color w:val="auto"/>
        </w:rPr>
      </w:pPr>
    </w:p>
    <w:p>
      <w:pPr>
        <w:ind w:left="660" w:right="4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during a specified period and certain other requirements are met. We do not expect to be a “United States real property holding corporation” for U.S. federal income tax purposes now or in the future, but there can be no assurance in that regard.</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the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 If the third bullet point above applies gain recognized by a Non-U.S. Holder on the sale, exchange or other disposition of our Class A Common Stock will be subject to tax at the generally applicable U.S. federal income tax rates, and certain withholding requirements may apply. Non-U.S. Holders are urged to consult their tax advisors regarding the application of these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Foreign Account Tax Compliance Act,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our Class A Common Stock is held will affect the determination of whether such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is required. Similarly, dividends in respect of shares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Secretary of the Treasury. An intergovernmental agreement between the United States and an applicable foreign country, or future Treasury regulations or other guidance, may modify these requirements. We will not pay any additional amounts to investors in respect of any amounts withheld. Non-U.S. investors are encouraged to consult their tax advisors regarding the possible implications of the legislation on their investment in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and exchange agent for the Offer and Consent Solicitation is: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Reorganization Department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Amendments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 In making the Offer and Consent Solicitation, we will comply with the requirements of Rule 13e-4(f)(8) promulgated under the Exchange Act. In any U.S. state where the securities or blue sky laws require the Offer to be made by a licensed broker or dealer, the Offer shall be deemed to be made on our behalf by one or more registered brokers or dealers licensed under the laws of such U.S. state.</w:t>
      </w:r>
    </w:p>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Board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If you have any questions regarding the Offer and Consent Solicitation or need assistance, you should contact the information agent for the Offer and Consent Solicitation. You may request additional copies of this document,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Letter of Transmittal and Consent or the Notice of Guaranteed Delivery from the information agent. All such questions or requests should be directed to:</w:t>
      </w:r>
    </w:p>
    <w:p>
      <w:pPr>
        <w:spacing w:after="0" w:line="1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Call Toll-Free: (866) 342-4881</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153"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320" w:top="1440" w:right="579" w:bottom="1440" w:gutter="0" w:footer="0" w:header="0"/>
        </w:sectPr>
      </w:pPr>
    </w:p>
    <w:bookmarkStart w:id="52" w:name="page53"/>
    <w:bookmarkEnd w:id="5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description of our securities and certain provisions of our Restated Certificate of Incorporation, Amended and Restated Bylaws and certain provisions of applicable law. The following is only a summary and is qualified by applicable law and by the provisions of our Restated Certificate of Incorporation and Amended and Restated Bylaws, copies of which are included as exhibits to the registration statement on Form S-4 of which this Prospectus/Offer to Exchange forms a part. We are incorporated in the State of Delaware. The rights of our security holders are generally covered by Delaware law and our Restated Certificate of Incorporation and Amended and Restated Bylaws. The terms of our securities are therefore subject to Delaware law, including the Delaware General Corporation Law (“DGCL”).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consisting of (a) 2,100,000,000 shares of common stock including (i) 1,500,000,000 shares of Class A Common Stock, (ii) 300,000,000 shares of Class B-1 Common Stock, and (iii) 300,000,000 shares of Class B-2 Common Stock, and (b) 100,000,000 shares of preferred stock, par value $0.0001 per share. Unless the Board determines otherwise, we will issue all shares of our capital stock in uncertificated form.</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July 19, 2022, our issued and outstanding share capital consisted of: (i) 40,842,188 shares of Class A Common Stock, (ii)43,725,944 shares of Class B-1 Common Stock, (iii) 1,964,044 shares of Class B-2 Common Stock, (iv) no shares of preferred stock and (v) 7,869,975 Warrants, consisting of 7,666,642 Public Warrants and 203,333 Private Placement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3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will be entitled to receive ratably, in proportion to the number of shares held by them, dividends and other distributions in cash, stock or property when, as and if declared by the Board out of our assets or funds legally available therefor.</w:t>
      </w:r>
    </w:p>
    <w:p>
      <w:pPr>
        <w:spacing w:after="0" w:line="10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or subscription rights.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Upon the terms and subject to the conditions of the PWP OpCo LPA, holders of PWP OpCo Class A partnership units (other than us) may redeem such PWP OpCo Class A partnership units for shares of Class A Common Stock on a one-for-one basis or cash equal to the value of such shares, with the form of consideration determined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Sponsor Share Surrender and Share Restriction Agreement, as amended, the Sponsor, concurrently with the Closing,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26" w:lineRule="exact"/>
        <w:rPr>
          <w:sz w:val="20"/>
          <w:szCs w:val="20"/>
          <w:color w:val="auto"/>
        </w:rPr>
      </w:pPr>
    </w:p>
    <w:p>
      <w:pPr>
        <w:ind w:left="660" w:right="2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85" w:lineRule="exact"/>
        <w:rPr>
          <w:rFonts w:ascii="Times New Roman" w:cs="Times New Roman" w:eastAsia="Times New Roman" w:hAnsi="Times New Roman"/>
          <w:sz w:val="17"/>
          <w:szCs w:val="17"/>
          <w:color w:val="auto"/>
        </w:rPr>
      </w:pPr>
    </w:p>
    <w:p>
      <w:pPr>
        <w:jc w:val="both"/>
        <w:ind w:left="660" w:right="1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distributed 5,456,667 shares of Class A Common Stock to its members, after which the Sponsor owns 1,000,000 shares of our Class A Common Stock.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the filing of our second amended and restated certificate of incorporation with the Secretary of State of the State of Delaware in connection with the closing of the Business Combination, each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so long as the Class B Condition is satisfied,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80"/>
          </w:cols>
          <w:pgMar w:left="320" w:top="1440" w:right="399" w:bottom="1440" w:gutter="0" w:footer="0" w:header="0"/>
        </w:sectPr>
      </w:pPr>
    </w:p>
    <w:bookmarkStart w:id="54" w:name="page55"/>
    <w:bookmarkEnd w:id="54"/>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Certificate of Incorporation that increase or decrease the par value of the shares of such class, or alter or change the powers, preferences or special rights of the shares of such class so as to affect them adversely, as compared to another class of common stock.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the Board out of our assets or funds legally available therefor.</w:t>
      </w:r>
    </w:p>
    <w:p>
      <w:pPr>
        <w:spacing w:after="0" w:line="12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B Common Stock do not have preemptive or subscription rights.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are not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authorizes the Board to establish one or more classes or series of preferred stock (including convertible preferred stock). Unless required by law or by any stock exchange, the authorized shares of preferred stock will be available for issuance without further action by our stockholders. The Board may determine, with respect to any class or series of preferred stock, the terms and rights of such class or series, including without limitation:</w:t>
      </w:r>
    </w:p>
    <w:p>
      <w:pPr>
        <w:spacing w:after="0" w:line="12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full or limited, or no voting powers of such class or series;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preferences and relative, participating, optional or other special rights and such qualifications, limitations or restrictions thereof,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such class or series;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related dividend rates, conditions and times for payment and preferences of such class or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class or series upon our dissolution or upon any distribution of our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440" w:right="379" w:bottom="1440" w:gutter="0" w:footer="0" w:header="0"/>
        </w:sectPr>
      </w:pPr>
    </w:p>
    <w:bookmarkStart w:id="55" w:name="page56"/>
    <w:bookmarkEnd w:id="55"/>
    <w:p>
      <w:pPr>
        <w:spacing w:after="0" w:line="140" w:lineRule="exact"/>
        <w:rPr>
          <w:sz w:val="20"/>
          <w:szCs w:val="20"/>
          <w:color w:val="auto"/>
        </w:rPr>
      </w:pPr>
    </w:p>
    <w:p>
      <w:pPr>
        <w:ind w:left="660" w:right="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the Warrant Agreement.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was 30 days after the Closing, except that, among other limited exceptions, made to our officers and directors and other persons or entities affiliated with or related to our sponsor, each of which will be subject to the same transfer restrictions.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Class A Common Stock or preferred stock may be to enable the Board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Our Restated Certificate of Incorporation and the Stockholders Agreement</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the Board. These provisions include the following:</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Board will be divided into three classes that will be, as nearly as may be possible, of equal size. The initial term of the Class I directors expired at the 2022 annual meeting of our stockholders, at which the Class I directors were renominated and reelected to serve a three-year term. The initial terms of the Class II 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Closing, we entered into a stockholders agreement with Professional Partners. Under this agreement, Professional Partners has the right to designate a number of designees to the Board equal to a majority of the board of directors for so long as the Class B Condition is satisfied. For so long as the Class B Condition is no longer satisfied and the Secondary Class B Condition satisfied, Professional Partners will have the right to designate a number of directors (rounded up to the nearest whole number) equal to one third of the Board.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the Board and in the policies formulated by the Board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spacing w:after="0" w:line="1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Class A Common Stock or Warrants for at least six months would be entitled to sell their securities provided that (1) such person is not deemed to have been an affiliate of us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Persons who have beneficially owned restricted shares of Class A Common Stock or Warrants for at least six months but who are affiliates of us at the time of, or at any time during the three months preceding, a sale,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subject to additional restrictions, by which such person would be entitled to sell within any three-month period only a number of securities that does not exceed the greater of:</w:t>
      </w:r>
    </w:p>
    <w:p>
      <w:pPr>
        <w:spacing w:after="0" w:line="10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common stock then outstanding; or</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Class A Common Stock during the four calendar weeks preceding the filing of a notice on Form 144 with respect to the sale.</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0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The conditions set forth in the exceptions listed above were satisfied and Rule 144 became available for the resale of the above noted restricted securities on June 30, 2022, one year after we filed our Form 10 information with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for our Class A Common Stock and warrant agent for the Public Warrants and Private Placement Warrants is American Stock Transfer &amp; Trust Company, LLC.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traded on the Nasdaq under the symbols “PWP” and “PWPPW,”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validity of our Class A Common Stock covered by this Prospectus/Offer to Exchange and certain tax matters have been passed upon for us by Skadden, Arps, Slate, Meagher &amp; Flom LLP. Certain legal matters relating to the securities offered hereby will be passed upon for the dealer manager by Davis Polk &amp; Wardwell LLP.</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filed a registration statement on Form S-4 of which this Prospectus/Offer to Exchange is a part with the SEC in connection with the Offer and the Consent Solicitation. We may also file amendments to such registration statement. In addition, on the date of the initial filing of the registration statement on Form S-4 of which this Prospectus/Offer to Exchange is a part, we filed a Tender Offer Statement on Schedule TO with the SEC, together with exhibits, to furnish certain information about the Offer and Consent Solicitation. We may file amendments to the Schedule TO. As allowed by SEC rules, this Prospectus/Offer to Exchange does not contain all of the information in the registration statement or the Schedule TO or the exhibits to the registration statement or the Schedule TO. You may obtain copies of the registration statement on Form S-4 and Schedule TO (and any amendments to those documents) by contacting the information agent as directed elsewhere in this Prospectus/Offer to Exchange. Our SEC filings are available to the public on the internet at a website maintained by the SEC located at http://www.sec.gov.</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PROSPECTUS/OFFER TO EXCHANGE INCORPORATES DOCUMENTS BY REFERENCE WHICH ARE NOT PRESENTED IN OR DELIVERED WITH THIS PROSPECTUS/OFFER TO EXCHANGE. WE HAVE NOT AUTHORIZED ANYONE TO PROVIDE YOU WITH INFORMATION THAT IS DIFFERENT FROM OR IN ADDITION TO THE INFORMATION CONTAINED IN THIS PROSPECTUS/OFFER TO EXCHANGE AND IN THE DOCUMENTS THAT WE HAVE INCORPORATED BY REFERENCE IN THIS PROSPECTUS/OFFER TO EXCHANGE. WE AND THE DEALER MANAGER TAKE NO RESPONSIBILITY FOR, AND CAN PROVIDE NO ASSURANCE AS TO THE RELIABILITY OF, ANY OTHER INFORMATION THAT OTHERS MAY GIVE YOU.</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incorporate information into this Prospectus/Offer to Exchange by reference, which means that we disclose important information to you by referring you to another document filed separately with the SEC. The information incorporated by reference is deemed to be part of this Prospectus/Offer to Exchange, except to the extent superseded by information contained in this Prospectus/Offer to Exchange or by information contained in documents filed with the SEC after the date of this Prospectus/Offer to Exchange. This Prospectus/Offer to Exchange incorporates by reference the documents set forth below that have been previously filed with the SEC; provided, however, that we are not incorporating any documents or information deemed to have been furnished rather than filed in accordance with SEC rules. These documents contain important information about us and our financial condition.</w:t>
      </w:r>
    </w:p>
    <w:p>
      <w:pPr>
        <w:spacing w:after="0" w:line="13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our Annual Report on Form </w:t>
      </w:r>
      <w:hyperlink r:id="rId22">
        <w:r>
          <w:rPr>
            <w:rFonts w:ascii="Times New Roman" w:cs="Times New Roman" w:eastAsia="Times New Roman" w:hAnsi="Times New Roman"/>
            <w:sz w:val="18"/>
            <w:szCs w:val="18"/>
            <w:u w:val="single" w:color="auto"/>
            <w:color w:val="0000FF"/>
          </w:rPr>
          <w:t>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on July 7,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w:t>
      </w:r>
      <w:hyperlink r:id="rId23">
        <w:r>
          <w:rPr>
            <w:rFonts w:ascii="Times New Roman" w:cs="Times New Roman" w:eastAsia="Times New Roman" w:hAnsi="Times New Roman"/>
            <w:sz w:val="18"/>
            <w:szCs w:val="18"/>
            <w:u w:val="single" w:color="auto"/>
            <w:color w:val="0000FF"/>
          </w:rPr>
          <w:t>10-Q</w:t>
        </w:r>
      </w:hyperlink>
      <w:r>
        <w:rPr>
          <w:rFonts w:ascii="Times New Roman" w:cs="Times New Roman" w:eastAsia="Times New Roman" w:hAnsi="Times New Roman"/>
          <w:sz w:val="18"/>
          <w:szCs w:val="18"/>
          <w:color w:val="auto"/>
        </w:rPr>
        <w:t>, for the quarterly period ended March 31, 2022, filed on May 5, 2022;</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24">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w:t>
      </w:r>
      <w:hyperlink r:id="rId25">
        <w:r>
          <w:rPr>
            <w:rFonts w:ascii="Times New Roman" w:cs="Times New Roman" w:eastAsia="Times New Roman" w:hAnsi="Times New Roman"/>
            <w:sz w:val="18"/>
            <w:szCs w:val="18"/>
            <w:u w:val="single" w:color="auto"/>
            <w:color w:val="0000FF"/>
          </w:rPr>
          <w:t>May 25, 2022</w:t>
        </w:r>
      </w:hyperlink>
      <w:r>
        <w:rPr>
          <w:rFonts w:ascii="Times New Roman" w:cs="Times New Roman" w:eastAsia="Times New Roman" w:hAnsi="Times New Roman"/>
          <w:sz w:val="18"/>
          <w:szCs w:val="18"/>
          <w:color w:val="auto"/>
        </w:rPr>
        <w:t xml:space="preserve">, and </w:t>
      </w:r>
      <w:hyperlink r:id="rId26">
        <w:r>
          <w:rPr>
            <w:rFonts w:ascii="Times New Roman" w:cs="Times New Roman" w:eastAsia="Times New Roman" w:hAnsi="Times New Roman"/>
            <w:sz w:val="18"/>
            <w:szCs w:val="18"/>
            <w:u w:val="single" w:color="auto"/>
            <w:color w:val="0000FF"/>
          </w:rPr>
          <w:t>June 2, 2022</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relating to our 2022 Annual Meeting of Stockholders specifically incorporated by reference into the 2021 Annual Report, filed on </w:t>
      </w:r>
      <w:hyperlink r:id="rId27">
        <w:r>
          <w:rPr>
            <w:rFonts w:ascii="Times New Roman" w:cs="Times New Roman" w:eastAsia="Times New Roman" w:hAnsi="Times New Roman"/>
            <w:sz w:val="18"/>
            <w:szCs w:val="18"/>
            <w:u w:val="single" w:color="auto"/>
            <w:color w:val="0000FF"/>
          </w:rPr>
          <w:t>April 12, 2022</w:t>
        </w:r>
      </w:hyperlink>
      <w:r>
        <w:rPr>
          <w:rFonts w:ascii="Times New Roman" w:cs="Times New Roman" w:eastAsia="Times New Roman" w:hAnsi="Times New Roman"/>
          <w:sz w:val="18"/>
          <w:szCs w:val="18"/>
          <w:color w:val="auto"/>
        </w:rPr>
        <w:t xml:space="preserve">, as amended by Amendment No. 1 filed with the SEC on </w:t>
      </w:r>
      <w:hyperlink r:id="rId28">
        <w:r>
          <w:rPr>
            <w:rFonts w:ascii="Times New Roman" w:cs="Times New Roman" w:eastAsia="Times New Roman" w:hAnsi="Times New Roman"/>
            <w:sz w:val="18"/>
            <w:szCs w:val="18"/>
            <w:u w:val="single" w:color="auto"/>
            <w:color w:val="0000FF"/>
          </w:rPr>
          <w:t>April 13, 2022</w:t>
        </w:r>
      </w:hyperlink>
      <w:r>
        <w:rPr>
          <w:rFonts w:ascii="Times New Roman" w:cs="Times New Roman" w:eastAsia="Times New Roman" w:hAnsi="Times New Roman"/>
          <w:sz w:val="18"/>
          <w:szCs w:val="18"/>
          <w:color w:val="auto"/>
        </w:rPr>
        <w:t>;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29">
        <w:r>
          <w:rPr>
            <w:rFonts w:ascii="Times New Roman" w:cs="Times New Roman" w:eastAsia="Times New Roman" w:hAnsi="Times New Roman"/>
            <w:sz w:val="18"/>
            <w:szCs w:val="18"/>
            <w:u w:val="single" w:color="auto"/>
            <w:color w:val="0000FF"/>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2021 Annual Report, including any amendments or reports filed for the purpose of updating such description.</w:t>
      </w:r>
    </w:p>
    <w:p>
      <w:pPr>
        <w:spacing w:after="0" w:line="108"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all filings we make after the date of the initial registration statement and prior to effectiveness of the registration statement and any future filings that we may make with the SEC under Sections 13(a), 13(c), 14 or 15(d) of the Exchange Act after the date of this Prospectus/Offer to Exchange until the date the exchange offer is consummated or otherwise terminated, with the exception of any information furnished under Item 2.02 and Item 7.01 of Form 8-K, which is not deemed filed and which is not incorporated by reference in this Prospectus/Offer to Exchange. Any such filings shall be deemed to be incorporated by reference and to be a part of this Prospectus/Offer to Exchange from the respective dates of filing of those documents.</w:t>
      </w:r>
    </w:p>
    <w:p>
      <w:pPr>
        <w:spacing w:after="0" w:line="133" w:lineRule="exact"/>
        <w:rPr>
          <w:rFonts w:ascii="Times New Roman" w:cs="Times New Roman" w:eastAsia="Times New Roman" w:hAnsi="Times New Roman"/>
          <w:sz w:val="18"/>
          <w:szCs w:val="18"/>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to each person, including any beneficial owner, to whom a prospectus is delivered, a copy of any and all of the documents which are incorporated by reference in this Prospectus/Offer to Exchange but not delivered with this Prospectus/Offer to Exchange (other than exhibits unless such exhibits are specifically incorporated by reference in such documents). You may request a copy of these documents by writing or telephoning us at:</w:t>
      </w:r>
    </w:p>
    <w:p>
      <w:pPr>
        <w:spacing w:after="0" w:line="12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10153</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287-3200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WARRANT AGREEMENT</w:t>
      </w:r>
    </w:p>
    <w:p>
      <w:pPr>
        <w:spacing w:after="0" w:line="171"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 ] by and between Perella Weinberg Partners,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(f/k/a FinTech Acquisition Corp. IV (“</w:t>
      </w:r>
      <w:r>
        <w:rPr>
          <w:rFonts w:ascii="Times New Roman" w:cs="Times New Roman" w:eastAsia="Times New Roman" w:hAnsi="Times New Roman"/>
          <w:sz w:val="18"/>
          <w:szCs w:val="18"/>
          <w:b w:val="1"/>
          <w:bCs w:val="1"/>
          <w:i w:val="1"/>
          <w:iCs w:val="1"/>
          <w:color w:val="auto"/>
        </w:rPr>
        <w:t>FTIV</w:t>
      </w:r>
      <w:r>
        <w:rPr>
          <w:rFonts w:ascii="Times New Roman" w:cs="Times New Roman" w:eastAsia="Times New Roman" w:hAnsi="Times New Roman"/>
          <w:sz w:val="18"/>
          <w:szCs w:val="18"/>
          <w:color w:val="auto"/>
        </w:rPr>
        <w:t>”)), and American Stock Transfer &amp; Trust Company, LLC,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constitutes an amendment to that certain Warrant Agreement, dated as of September 24, 2020, by and between the Company and Continental Stock Transfer &amp; Trust Company, as amended by Amendment No. 1 to Warrant Agreement, dated as of November 10, 2021, by and among the Company, Continental Stock Transfer &amp; Trust Company and the Warrant Agent (the “</w:t>
      </w:r>
      <w:r>
        <w:rPr>
          <w:rFonts w:ascii="Times New Roman" w:cs="Times New Roman" w:eastAsia="Times New Roman" w:hAnsi="Times New Roman"/>
          <w:sz w:val="18"/>
          <w:szCs w:val="18"/>
          <w:b w:val="1"/>
          <w:bCs w:val="1"/>
          <w:i w:val="1"/>
          <w:iCs w:val="1"/>
          <w:color w:val="auto"/>
        </w:rPr>
        <w:t>Existing Warrant Agreement</w:t>
      </w:r>
      <w:r>
        <w:rPr>
          <w:rFonts w:ascii="Times New Roman" w:cs="Times New Roman" w:eastAsia="Times New Roman" w:hAnsi="Times New Roman"/>
          <w:sz w:val="18"/>
          <w:szCs w:val="18"/>
          <w:color w:val="auto"/>
        </w:rPr>
        <w:t>”). Capitalized terms used but not otherwise defined in this Amendment shall have the meanings given to such terms in the Existing Warrant Agreement.</w:t>
      </w:r>
    </w:p>
    <w:p>
      <w:pPr>
        <w:spacing w:after="0" w:line="13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WHEREAS, on June 24, 2021, the Company consummated the business combination pursuant to that certain Business Combination Agreement, dated as of December 29, 2020, by and among FTIV, FinTech Investor Holdings IV, LLC, a Delaware limited liability company, FinTech Masala Advisors, LLC, a Delaware limited liability company, PWP Holdings LP, a Delaware limited partnership, PWP GP LLC, a Delaware limited liability company and the general partner of PWP OpCo, PWP Professional Partners LP, a Delaware limited partnership and a limited partner of PWP OpCo, and Perella Weinberg Partners LLC, a Delaware limited liability company and the general partner of Professional Partners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and in connection therewith the Company was renamed “Perella Weinberg Partners”;</w:t>
      </w:r>
    </w:p>
    <w:p>
      <w:pPr>
        <w:spacing w:after="0" w:line="13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WHEREAS, in accordance with Section 4.4 of the Existing Warrant Agreement, upon effectiveness of the Business Combination, the holders of the Warrants thereafter had the right to purchase and receive, upon the basis and upon the terms and conditions specified in the Warrants and in lieu of the shares of the Class A common stock of FTIV immediately theretofore purchasable and receivable upon the exercise of the rights represented thereby, an Alternative Issuance in shares of Class A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then outstanding Public Warrants;</w:t>
      </w:r>
    </w:p>
    <w:p>
      <w:pPr>
        <w:spacing w:after="0" w:line="12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amend the Existing Warrant Agreement to provide the Company with the right to require the holders of the Warrants to exchange all of the outstanding Warrants for shares of Common Stock, on the terms and subject to the conditions set forth herein; and</w:t>
      </w:r>
    </w:p>
    <w:p>
      <w:pPr>
        <w:spacing w:after="0" w:line="1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in the exchange offer and consent solicitation undertaken by the Company pursuant to the Registration Statement on Form S-4 filed with the U.S. Securities and Exchange Commission, the Registered Holders of more than 65% of the then outstanding Public Warrants consented to and approved this Amendment.</w:t>
      </w:r>
    </w:p>
    <w:p>
      <w:pPr>
        <w:spacing w:after="0" w:line="12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22" w:lineRule="exact"/>
        <w:rPr>
          <w:sz w:val="20"/>
          <w:szCs w:val="20"/>
          <w:color w:val="auto"/>
        </w:rPr>
      </w:pPr>
    </w:p>
    <w:p>
      <w:pPr>
        <w:ind w:right="2060" w:firstLine="656"/>
        <w:spacing w:after="0" w:line="438" w:lineRule="auto"/>
        <w:tabs>
          <w:tab w:leader="none" w:pos="12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Existing Warrant Agreement</w:t>
      </w:r>
      <w:r>
        <w:rPr>
          <w:rFonts w:ascii="Times New Roman" w:cs="Times New Roman" w:eastAsia="Times New Roman" w:hAnsi="Times New Roman"/>
          <w:sz w:val="18"/>
          <w:szCs w:val="18"/>
          <w:color w:val="auto"/>
        </w:rPr>
        <w:t xml:space="preserve">. The Existing Warrant Agreement is hereby amended by adding: the new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thereto: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6A Mandatory Exchange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6A.1 Company Election to Exchange</w:t>
      </w:r>
      <w:r>
        <w:rPr>
          <w:rFonts w:ascii="Times New Roman" w:cs="Times New Roman" w:eastAsia="Times New Roman" w:hAnsi="Times New Roman"/>
          <w:sz w:val="18"/>
          <w:szCs w:val="18"/>
          <w:color w:val="auto"/>
        </w:rPr>
        <w:t>. Notwithstanding any other provision in this Agreement to the contrary, all (and not less than all) of the outstanding Warrants (including outstanding Placement Warrants) may be exchanged, at the option of the Company, at any time while they are exercisable and prior to their expiration, at the office of the Warrant Agent, upon notice to the Registered Holders of the then outstanding Warrants, as described in Section 6A.2 below, for Common Stock (or any Alternative Issuance pursuant to Section 4.4), at the exchange rate of 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shares of Common Stock (or any Alternative Issuance pursuant to Section 4.4) for each Warrant held by the holder thereof (the “</w:t>
      </w:r>
      <w:r>
        <w:rPr>
          <w:rFonts w:ascii="Times New Roman" w:cs="Times New Roman" w:eastAsia="Times New Roman" w:hAnsi="Times New Roman"/>
          <w:sz w:val="17"/>
          <w:szCs w:val="17"/>
          <w:b w:val="1"/>
          <w:bCs w:val="1"/>
          <w:i w:val="1"/>
          <w:iCs w:val="1"/>
          <w:color w:val="auto"/>
        </w:rPr>
        <w:t>Consideration</w:t>
      </w:r>
      <w:r>
        <w:rPr>
          <w:rFonts w:ascii="Times New Roman" w:cs="Times New Roman" w:eastAsia="Times New Roman" w:hAnsi="Times New Roman"/>
          <w:sz w:val="17"/>
          <w:szCs w:val="17"/>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w:t>
      </w:r>
    </w:p>
    <w:tbl>
      <w:tblPr>
        <w:tblLayout w:type="fixed"/>
        <w:tblInd w:w="0" w:type="dxa"/>
        <w:tblCellMar>
          <w:top w:w="0" w:type="dxa"/>
          <w:left w:w="0" w:type="dxa"/>
          <w:bottom w:w="0" w:type="dxa"/>
          <w:right w:w="0" w:type="dxa"/>
        </w:tblCellMar>
      </w:tblPr>
      <w:tr>
        <w:trPr>
          <w:trHeight w:val="30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 share multiplied by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p>
        </w:tc>
      </w:tr>
    </w:tbl>
    <w:p>
      <w:pPr>
        <w:spacing w:after="0" w:line="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6A.2 </w:t>
      </w:r>
      <w:r>
        <w:rPr>
          <w:rFonts w:ascii="Times New Roman" w:cs="Times New Roman" w:eastAsia="Times New Roman" w:hAnsi="Times New Roman"/>
          <w:sz w:val="18"/>
          <w:szCs w:val="18"/>
          <w:u w:val="single" w:color="auto"/>
          <w:color w:val="auto"/>
        </w:rPr>
        <w:t>Date Fixed for, and Notice of, Exchange.</w:t>
      </w:r>
      <w:r>
        <w:rPr>
          <w:rFonts w:ascii="Times New Roman" w:cs="Times New Roman" w:eastAsia="Times New Roman" w:hAnsi="Times New Roman"/>
          <w:sz w:val="18"/>
          <w:szCs w:val="18"/>
          <w:color w:val="auto"/>
        </w:rPr>
        <w:t xml:space="preserve"> In the event that the Company elects to exchange all of the Warrants, the Company shall fix a date for the exchange (the “</w:t>
      </w:r>
      <w:r>
        <w:rPr>
          <w:rFonts w:ascii="Times New Roman" w:cs="Times New Roman" w:eastAsia="Times New Roman" w:hAnsi="Times New Roman"/>
          <w:sz w:val="18"/>
          <w:szCs w:val="18"/>
          <w:b w:val="1"/>
          <w:bCs w:val="1"/>
          <w:i w:val="1"/>
          <w:iCs w:val="1"/>
          <w:color w:val="auto"/>
        </w:rPr>
        <w:t>Exchange Date</w:t>
      </w:r>
      <w:r>
        <w:rPr>
          <w:rFonts w:ascii="Times New Roman" w:cs="Times New Roman" w:eastAsia="Times New Roman" w:hAnsi="Times New Roman"/>
          <w:sz w:val="18"/>
          <w:szCs w:val="18"/>
          <w:color w:val="auto"/>
        </w:rPr>
        <w:t>”). Notice of exchange shall be mailed by first class mail, postage prepaid, by the Company not less than fifteen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6A.3 </w:t>
      </w:r>
      <w:r>
        <w:rPr>
          <w:rFonts w:ascii="Times New Roman" w:cs="Times New Roman" w:eastAsia="Times New Roman" w:hAnsi="Times New Roman"/>
          <w:sz w:val="18"/>
          <w:szCs w:val="18"/>
          <w:u w:val="single" w:color="auto"/>
          <w:color w:val="auto"/>
        </w:rPr>
        <w:t>Exercise After Notice of Exchange</w:t>
      </w:r>
      <w:r>
        <w:rPr>
          <w:rFonts w:ascii="Times New Roman" w:cs="Times New Roman" w:eastAsia="Times New Roman" w:hAnsi="Times New Roman"/>
          <w:sz w:val="18"/>
          <w:szCs w:val="18"/>
          <w:color w:val="auto"/>
        </w:rPr>
        <w:t xml:space="preserve">. The Warrants may be exercised, for cash (or on a “cashless basis” in accordance with </w:t>
      </w:r>
      <w:r>
        <w:rPr>
          <w:rFonts w:ascii="Times New Roman" w:cs="Times New Roman" w:eastAsia="Times New Roman" w:hAnsi="Times New Roman"/>
          <w:sz w:val="18"/>
          <w:szCs w:val="18"/>
          <w:u w:val="single" w:color="auto"/>
          <w:color w:val="auto"/>
        </w:rPr>
        <w:t>subsection 3.3.1(b)</w:t>
      </w:r>
      <w:r>
        <w:rPr>
          <w:rFonts w:ascii="Times New Roman" w:cs="Times New Roman" w:eastAsia="Times New Roman" w:hAnsi="Times New Roman"/>
          <w:sz w:val="18"/>
          <w:szCs w:val="18"/>
          <w:color w:val="auto"/>
        </w:rPr>
        <w:t xml:space="preserve"> of this Agreement, with an adjustment to the definition of “Fair Market Value” to substitute the date on which the notice of exchange is sent for the date on which the nature of redemption is sent) at any time after notice of exchange shall have been given by the Company pursuant to </w:t>
      </w:r>
      <w:r>
        <w:rPr>
          <w:rFonts w:ascii="Times New Roman" w:cs="Times New Roman" w:eastAsia="Times New Roman" w:hAnsi="Times New Roman"/>
          <w:sz w:val="18"/>
          <w:szCs w:val="18"/>
          <w:u w:val="single" w:color="auto"/>
          <w:color w:val="auto"/>
        </w:rPr>
        <w:t>Section 6A.2</w:t>
      </w:r>
      <w:r>
        <w:rPr>
          <w:rFonts w:ascii="Times New Roman" w:cs="Times New Roman" w:eastAsia="Times New Roman" w:hAnsi="Times New Roman"/>
          <w:sz w:val="18"/>
          <w:szCs w:val="18"/>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2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Amendment and of the Warrants shall be governed in all respects by the laws of the State of New York, without giving effect to conflicts of law principles that would result in the application of the substantive laws of another jurisdiction. Each of the parties hereto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hereto hereby waives any objection to such exclusive jurisdiction and that such courts represent an inconvenient forum.</w:t>
      </w:r>
    </w:p>
    <w:p>
      <w:pPr>
        <w:spacing w:after="0" w:line="1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7" w:lineRule="exact"/>
        <w:rPr>
          <w:sz w:val="20"/>
          <w:szCs w:val="20"/>
          <w:color w:val="auto"/>
        </w:rPr>
      </w:pPr>
    </w:p>
    <w:p>
      <w:pPr>
        <w:ind w:right="320" w:firstLine="8"/>
        <w:spacing w:after="0" w:line="302" w:lineRule="auto"/>
        <w:tabs>
          <w:tab w:leader="none" w:pos="83"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will be the last sale price of the Company’s Common Stock on the Nasdaq Global Select Market on the last trading day of the Offer Period (as defined in the Registration Statement on Form S-4 filed with the SEC on July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Amendment and shall not affect the interpretation thereof.</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40"/>
          </w:cols>
          <w:pgMar w:left="320" w:top="1440" w:right="439" w:bottom="1440" w:gutter="0" w:footer="0" w:header="0"/>
        </w:sectPr>
      </w:pPr>
    </w:p>
    <w:bookmarkStart w:id="67" w:name="page68"/>
    <w:bookmarkEnd w:id="6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parties has caused this Amendment to be duly executed as of the date first above written.</w:t>
      </w:r>
    </w:p>
    <w:p>
      <w:pPr>
        <w:spacing w:after="0" w:line="20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265"/>
        </w:trPr>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61"/>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6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AMERICAN STOCK TRANSFER &amp; TRUST COMPANY, LLC</w:t>
      </w:r>
      <w:r>
        <w:rPr>
          <w:rFonts w:ascii="Times New Roman" w:cs="Times New Roman" w:eastAsia="Times New Roman" w:hAnsi="Times New Roman"/>
          <w:sz w:val="18"/>
          <w:szCs w:val="18"/>
          <w:color w:val="auto"/>
        </w:rPr>
        <w:t>, as</w:t>
      </w:r>
    </w:p>
    <w:p>
      <w:pPr>
        <w:spacing w:after="0" w:line="2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Warrant Agent</w:t>
      </w:r>
    </w:p>
    <w:p>
      <w:pPr>
        <w:spacing w:after="0" w:line="30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34290</wp:posOffset>
            </wp:positionV>
            <wp:extent cx="29400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1014730</wp:posOffset>
            </wp:positionV>
            <wp:extent cx="149161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PERELLA WEINBERG PARTNERS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Exchange Agent for the Offer and the Consent Solicitation 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Stock Transfer &amp; Trust Company, LLC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By Mail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Reorganization Department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153"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and Consent Solicitation 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(866) 342-4881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Dealer Manager for the Offer and the Consent Solicitation 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 Trading, Fourth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Cristian Gonzalez</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723-7914</w:t>
      </w:r>
    </w:p>
    <w:p>
      <w:pPr>
        <w:sectPr>
          <w:pgSz w:w="11900" w:h="16838" w:orient="portrait"/>
          <w:cols w:equalWidth="0" w:num="1">
            <w:col w:w="11220"/>
          </w:cols>
          <w:pgMar w:left="340" w:top="1440" w:right="339" w:bottom="1440" w:gutter="0" w:footer="0" w:header="0"/>
        </w:sectPr>
      </w:pPr>
    </w:p>
    <w:bookmarkStart w:id="69" w:name="page70"/>
    <w:bookmarkEnd w:id="69"/>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145 of the DGCL,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provides that our officers and directors are indemnified by us to the fullest extent authorized by Delaware law, as it now exists or may in the future be amended. In addition, our Restated Certificate of Incorporation provides that our directors will not be personally liable for monetary damages to us or our stockholders for breaches of their fiduciary duty as directors, except to the extent such exemption from liability or limitation thereof is not permitted under the DGCL as the same exists or may hereafter be amended.</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permit us to secure insurance on behalf of any officer, director, employee or agent of the Company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addition, 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21.</w:t>
        <w:tab/>
        <w:t>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registration statement on Form S-4: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gridSpan w:val="9"/>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2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60" w:type="dxa"/>
            <w:vAlign w:val="bottom"/>
            <w:tcBorders>
              <w:top w:val="single" w:sz="8" w:color="auto"/>
            </w:tcBorders>
            <w:gridSpan w:val="13"/>
          </w:tcPr>
          <w:p>
            <w:pPr>
              <w:spacing w:after="0" w:line="188"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Business Combination Agreement, dated as of December 29, 2020, by and among FinTech Acquisition Corp. IV, FinTech Investor</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Holdings IV, LLC, FinTech Masala Advisors, LLC, PWP Holdings LP, PWP GP LLC, PWP Professional Partners LP and Perella</w:t>
              </w:r>
            </w:hyperlink>
          </w:p>
        </w:tc>
        <w:tc>
          <w:tcPr>
            <w:tcW w:w="6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13"/>
          </w:tcPr>
          <w:p>
            <w:pPr>
              <w:spacing w:after="0" w:line="169"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Weinberg Partners LLC (incorporated by reference to Exhibit 2.1 to FinTech Acquisition Corp. IV’s Current Report on Form 8-K/A, filed</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with the SEC on December 31, 2020).</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1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6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highlight w:val="white"/>
                <w:w w:val="99"/>
              </w:rPr>
            </w:pPr>
            <w:hyperlink r:id="rId36">
              <w:r>
                <w:rPr>
                  <w:rFonts w:ascii="Times New Roman" w:cs="Times New Roman" w:eastAsia="Times New Roman" w:hAnsi="Times New Roman"/>
                  <w:sz w:val="18"/>
                  <w:szCs w:val="18"/>
                  <w:color w:val="0000FF"/>
                  <w:highlight w:val="white"/>
                  <w:w w:val="99"/>
                </w:rPr>
                <w:t>Company’s Registration Statement on Form S-1 (File No. 333-261785), filed with the SEC on January 13, 2022).</w:t>
              </w:r>
            </w:hyperlink>
          </w:p>
        </w:tc>
        <w:tc>
          <w:tcPr>
            <w:tcW w:w="20" w:type="dxa"/>
            <w:vAlign w:val="bottom"/>
          </w:tcPr>
          <w:p>
            <w:pPr>
              <w:spacing w:after="0"/>
              <w:rPr>
                <w:sz w:val="13"/>
                <w:szCs w:val="13"/>
                <w:color w:val="auto"/>
              </w:rPr>
            </w:pPr>
          </w:p>
        </w:tc>
        <w:tc>
          <w:tcPr>
            <w:tcW w:w="15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3"/>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 Report on</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highlight w:val="white"/>
                <w:w w:val="99"/>
              </w:rPr>
            </w:pPr>
            <w:hyperlink r:id="rId37">
              <w:r>
                <w:rPr>
                  <w:rFonts w:ascii="Times New Roman" w:cs="Times New Roman" w:eastAsia="Times New Roman" w:hAnsi="Times New Roman"/>
                  <w:sz w:val="18"/>
                  <w:szCs w:val="18"/>
                  <w:color w:val="0000FF"/>
                  <w:highlight w:val="white"/>
                  <w:w w:val="99"/>
                </w:rPr>
                <w:t>Form 8-K, filed with the SEC on June 30, 2021).</w:t>
              </w:r>
            </w:hyperlink>
          </w:p>
        </w:tc>
        <w:tc>
          <w:tcPr>
            <w:tcW w:w="20" w:type="dxa"/>
            <w:vAlign w:val="bottom"/>
          </w:tcPr>
          <w:p>
            <w:pPr>
              <w:spacing w:after="0"/>
              <w:rPr>
                <w:sz w:val="13"/>
                <w:szCs w:val="13"/>
                <w:color w:val="auto"/>
              </w:rPr>
            </w:pPr>
          </w:p>
        </w:tc>
        <w:tc>
          <w:tcPr>
            <w:tcW w:w="6200" w:type="dxa"/>
            <w:vAlign w:val="bottom"/>
            <w:tcBorders>
              <w:top w:val="single" w:sz="8" w:color="0000FF"/>
            </w:tcBorders>
            <w:gridSpan w:val="5"/>
          </w:tcPr>
          <w:p>
            <w:pPr>
              <w:spacing w:after="0"/>
              <w:rPr>
                <w:sz w:val="13"/>
                <w:szCs w:val="13"/>
                <w:color w:val="auto"/>
              </w:rPr>
            </w:pPr>
          </w:p>
        </w:tc>
        <w:tc>
          <w:tcPr>
            <w:tcW w:w="2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3"/>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Specimen Class A Common Stock Certificate (incorporated by reference to Exhibit 4.1 to the Company’s Current Report on Form 8-K,</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highlight w:val="white"/>
                <w:w w:val="98"/>
              </w:rPr>
            </w:pPr>
            <w:hyperlink r:id="rId38">
              <w:r>
                <w:rPr>
                  <w:rFonts w:ascii="Times New Roman" w:cs="Times New Roman" w:eastAsia="Times New Roman" w:hAnsi="Times New Roman"/>
                  <w:sz w:val="18"/>
                  <w:szCs w:val="18"/>
                  <w:color w:val="0000FF"/>
                  <w:highlight w:val="white"/>
                  <w:w w:val="98"/>
                </w:rPr>
                <w:t>filed with the SEC on June 30, 2021).</w:t>
              </w:r>
            </w:hyperlink>
          </w:p>
        </w:tc>
        <w:tc>
          <w:tcPr>
            <w:tcW w:w="40" w:type="dxa"/>
            <w:vAlign w:val="bottom"/>
          </w:tcPr>
          <w:p>
            <w:pPr>
              <w:spacing w:after="0"/>
              <w:rPr>
                <w:sz w:val="13"/>
                <w:szCs w:val="13"/>
                <w:color w:val="auto"/>
              </w:rPr>
            </w:pPr>
          </w:p>
        </w:tc>
        <w:tc>
          <w:tcPr>
            <w:tcW w:w="7000" w:type="dxa"/>
            <w:vAlign w:val="bottom"/>
            <w:tcBorders>
              <w:top w:val="single" w:sz="8" w:color="0000FF"/>
            </w:tcBorders>
            <w:gridSpan w:val="7"/>
          </w:tcPr>
          <w:p>
            <w:pPr>
              <w:spacing w:after="0"/>
              <w:rPr>
                <w:sz w:val="13"/>
                <w:szCs w:val="13"/>
                <w:color w:val="auto"/>
              </w:rPr>
            </w:pPr>
          </w:p>
        </w:tc>
        <w:tc>
          <w:tcPr>
            <w:tcW w:w="2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13"/>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Warrant Agreement, dated September 24, 2020, by and between FinTech Acquisition Corp. IV and Continental Stock Transfer &amp; Trust</w:t>
              </w:r>
            </w:hyperlink>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gridSpan w:val="13"/>
          </w:tcPr>
          <w:p>
            <w:pPr>
              <w:spacing w:after="0" w:line="189" w:lineRule="exact"/>
              <w:rPr>
                <w:rFonts w:ascii="Times New Roman" w:cs="Times New Roman" w:eastAsia="Times New Roman" w:hAnsi="Times New Roman"/>
                <w:sz w:val="18"/>
                <w:szCs w:val="18"/>
                <w:color w:val="0000FF"/>
                <w:highlight w:val="white"/>
              </w:rPr>
            </w:pPr>
            <w:hyperlink r:id="rId39">
              <w:r>
                <w:rPr>
                  <w:rFonts w:ascii="Times New Roman" w:cs="Times New Roman" w:eastAsia="Times New Roman" w:hAnsi="Times New Roman"/>
                  <w:sz w:val="18"/>
                  <w:szCs w:val="18"/>
                  <w:color w:val="0000FF"/>
                  <w:highlight w:val="white"/>
                </w:rPr>
                <w:t>Company (incorporated by reference to Exhibit 4.1 to FinTech Acquisition Corp. IV’s Current Report on Form 8-K, filed with the SEC 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80"/>
        <w:spacing w:after="0"/>
        <w:rPr>
          <w:rFonts w:ascii="Times New Roman" w:cs="Times New Roman" w:eastAsia="Times New Roman" w:hAnsi="Times New Roman"/>
          <w:sz w:val="18"/>
          <w:szCs w:val="18"/>
          <w:u w:val="single" w:color="auto"/>
          <w:color w:val="0000FF"/>
          <w:highlight w:val="white"/>
        </w:rPr>
      </w:pPr>
      <w:hyperlink r:id="rId39">
        <w:r>
          <w:rPr>
            <w:rFonts w:ascii="Times New Roman" w:cs="Times New Roman" w:eastAsia="Times New Roman" w:hAnsi="Times New Roman"/>
            <w:sz w:val="18"/>
            <w:szCs w:val="18"/>
            <w:u w:val="single" w:color="auto"/>
            <w:color w:val="0000FF"/>
            <w:highlight w:val="white"/>
          </w:rPr>
          <w:t>September 30,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Amendment to Warrant Agreement, dated November 10, 2021, by and among Perella Weinberg Partners, Continental Stock Transfer &amp;</w:t>
              </w:r>
            </w:hyperlink>
          </w:p>
        </w:tc>
      </w:tr>
      <w:tr>
        <w:trPr>
          <w:trHeight w:val="155"/>
        </w:trPr>
        <w:tc>
          <w:tcPr>
            <w:tcW w:w="1180" w:type="dxa"/>
            <w:vAlign w:val="bottom"/>
          </w:tcPr>
          <w:p>
            <w:pPr>
              <w:spacing w:after="0"/>
              <w:rPr>
                <w:sz w:val="13"/>
                <w:szCs w:val="13"/>
                <w:color w:val="auto"/>
              </w:rPr>
            </w:pPr>
          </w:p>
        </w:tc>
        <w:tc>
          <w:tcPr>
            <w:tcW w:w="97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Trust Company and American Stock Transfer &amp; Trust Company, LLC (incorporated by reference to Exhibit 4.3 to the Company’s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93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Registration Statement on Form S-1 (File No. 333-261785) filed with the SEC on December 21, 2021).</w:t>
              </w:r>
            </w:hyperlink>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4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Opinion of Skadden, Arps, Slate, Meagher &amp; Flom LLP.</w:t>
            </w:r>
          </w:p>
        </w:tc>
        <w:tc>
          <w:tcPr>
            <w:tcW w:w="2660" w:type="dxa"/>
            <w:vAlign w:val="bottom"/>
            <w:gridSpan w:val="28"/>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Tax Opinion of Skadden, Arps, Slate, Meagher &amp; Flom LLP.</w:t>
            </w:r>
          </w:p>
        </w:tc>
        <w:tc>
          <w:tcPr>
            <w:tcW w:w="5700" w:type="dxa"/>
            <w:vAlign w:val="bottom"/>
            <w:gridSpan w:val="39"/>
          </w:tcPr>
          <w:p>
            <w:pPr>
              <w:spacing w:after="0"/>
              <w:rPr>
                <w:sz w:val="18"/>
                <w:szCs w:val="18"/>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Employment Agreement, dated as of August 11, 2021, by and between Perella Weinberg Partners, PWP Employer LP and Peter A.</w:t>
              </w:r>
            </w:hyperlink>
          </w:p>
        </w:tc>
        <w:tc>
          <w:tcPr>
            <w:tcW w:w="660" w:type="dxa"/>
            <w:vAlign w:val="bottom"/>
            <w:gridSpan w:val="23"/>
          </w:tcPr>
          <w:p>
            <w:pPr>
              <w:spacing w:after="0"/>
              <w:rPr>
                <w:sz w:val="18"/>
                <w:szCs w:val="18"/>
                <w:color w:val="auto"/>
              </w:rPr>
            </w:pPr>
          </w:p>
        </w:tc>
      </w:tr>
      <w:tr>
        <w:trPr>
          <w:trHeight w:val="155"/>
        </w:trPr>
        <w:tc>
          <w:tcPr>
            <w:tcW w:w="1180" w:type="dxa"/>
            <w:vAlign w:val="bottom"/>
          </w:tcPr>
          <w:p>
            <w:pPr>
              <w:spacing w:after="0"/>
              <w:rPr>
                <w:sz w:val="13"/>
                <w:szCs w:val="13"/>
                <w:color w:val="auto"/>
              </w:rPr>
            </w:pPr>
          </w:p>
        </w:tc>
        <w:tc>
          <w:tcPr>
            <w:tcW w:w="10060" w:type="dxa"/>
            <w:vAlign w:val="bottom"/>
            <w:gridSpan w:val="48"/>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Weinberg (incorporated by reference to Exhibit 10.1 of the Company's Quarterly Report on Form 10-Q filed with the SEC on November 5,</w:t>
              </w:r>
            </w:hyperlink>
          </w:p>
        </w:tc>
      </w:tr>
      <w:tr>
        <w:trPr>
          <w:trHeight w:val="169"/>
        </w:trPr>
        <w:tc>
          <w:tcPr>
            <w:tcW w:w="118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0"/>
              </w:rPr>
            </w:pPr>
            <w:hyperlink r:id="rId41">
              <w:r>
                <w:rPr>
                  <w:rFonts w:ascii="Times New Roman" w:cs="Times New Roman" w:eastAsia="Times New Roman" w:hAnsi="Times New Roman"/>
                  <w:sz w:val="18"/>
                  <w:szCs w:val="18"/>
                  <w:color w:val="0000FF"/>
                  <w:w w:val="90"/>
                </w:rPr>
                <w:t>2021).</w:t>
              </w:r>
            </w:hyperlink>
          </w:p>
        </w:tc>
        <w:tc>
          <w:tcPr>
            <w:tcW w:w="8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Employment Agreement, dated as of August 11, 2021, by and between Perella Weinberg Partners, PWP Employer LP and Andrew Bednar</w:t>
              </w:r>
            </w:hyperlink>
          </w:p>
        </w:tc>
      </w:tr>
      <w:tr>
        <w:trPr>
          <w:trHeight w:val="156"/>
        </w:trPr>
        <w:tc>
          <w:tcPr>
            <w:tcW w:w="1180" w:type="dxa"/>
            <w:vAlign w:val="bottom"/>
          </w:tcPr>
          <w:p>
            <w:pPr>
              <w:spacing w:after="0"/>
              <w:rPr>
                <w:sz w:val="13"/>
                <w:szCs w:val="13"/>
                <w:color w:val="auto"/>
              </w:rPr>
            </w:pPr>
          </w:p>
        </w:tc>
        <w:tc>
          <w:tcPr>
            <w:tcW w:w="9760" w:type="dxa"/>
            <w:vAlign w:val="bottom"/>
            <w:gridSpan w:val="32"/>
          </w:tcPr>
          <w:p>
            <w:pPr>
              <w:spacing w:after="0" w:line="156" w:lineRule="exact"/>
              <w:rPr>
                <w:rFonts w:ascii="Times New Roman" w:cs="Times New Roman" w:eastAsia="Times New Roman" w:hAnsi="Times New Roman"/>
                <w:sz w:val="18"/>
                <w:szCs w:val="18"/>
                <w:color w:val="0000FF"/>
                <w:highlight w:val="white"/>
                <w:w w:val="99"/>
              </w:rPr>
            </w:pPr>
            <w:hyperlink r:id="rId42">
              <w:r>
                <w:rPr>
                  <w:rFonts w:ascii="Times New Roman" w:cs="Times New Roman" w:eastAsia="Times New Roman" w:hAnsi="Times New Roman"/>
                  <w:sz w:val="18"/>
                  <w:szCs w:val="18"/>
                  <w:color w:val="0000FF"/>
                  <w:highlight w:val="white"/>
                  <w:w w:val="99"/>
                </w:rPr>
                <w:t>(incorporated by reference to Exhibit 10.2 of the Company's Quarterly Report on Form 10-Q filed with the SEC on November 5, 2021).</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Employment Agreement, dated as of August 11, 2021, by and between Perella Weinberg Partners, PWP Employer LP and Dietrich Becker</w:t>
              </w:r>
            </w:hyperlink>
          </w:p>
        </w:tc>
      </w:tr>
      <w:tr>
        <w:trPr>
          <w:trHeight w:val="156"/>
        </w:trPr>
        <w:tc>
          <w:tcPr>
            <w:tcW w:w="1180" w:type="dxa"/>
            <w:vAlign w:val="bottom"/>
          </w:tcPr>
          <w:p>
            <w:pPr>
              <w:spacing w:after="0"/>
              <w:rPr>
                <w:sz w:val="13"/>
                <w:szCs w:val="13"/>
                <w:color w:val="auto"/>
              </w:rPr>
            </w:pPr>
          </w:p>
        </w:tc>
        <w:tc>
          <w:tcPr>
            <w:tcW w:w="99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(incorporated by reference to Exhibit 10.3 of the Company's Quarterly Report on Form 10-Q filed with the SEC on November 5,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Form of Director Restricted Stock Unit Award Agreement (One-Time Award) (incorporated by reference to Exhibit 10.4 of the Company's</w:t>
              </w:r>
            </w:hyperlink>
          </w:p>
        </w:tc>
      </w:tr>
      <w:tr>
        <w:trPr>
          <w:trHeight w:val="156"/>
        </w:trPr>
        <w:tc>
          <w:tcPr>
            <w:tcW w:w="1180" w:type="dxa"/>
            <w:vAlign w:val="bottom"/>
          </w:tcPr>
          <w:p>
            <w:pPr>
              <w:spacing w:after="0"/>
              <w:rPr>
                <w:sz w:val="13"/>
                <w:szCs w:val="13"/>
                <w:color w:val="auto"/>
              </w:rPr>
            </w:pPr>
          </w:p>
        </w:tc>
        <w:tc>
          <w:tcPr>
            <w:tcW w:w="5400" w:type="dxa"/>
            <w:vAlign w:val="bottom"/>
            <w:gridSpan w:val="12"/>
          </w:tcPr>
          <w:p>
            <w:pPr>
              <w:spacing w:after="0" w:line="156" w:lineRule="exact"/>
              <w:rPr>
                <w:rFonts w:ascii="Times New Roman" w:cs="Times New Roman" w:eastAsia="Times New Roman" w:hAnsi="Times New Roman"/>
                <w:sz w:val="18"/>
                <w:szCs w:val="18"/>
                <w:color w:val="0000FF"/>
                <w:highlight w:val="white"/>
                <w:w w:val="99"/>
              </w:rPr>
            </w:pPr>
            <w:hyperlink r:id="rId44">
              <w:r>
                <w:rPr>
                  <w:rFonts w:ascii="Times New Roman" w:cs="Times New Roman" w:eastAsia="Times New Roman" w:hAnsi="Times New Roman"/>
                  <w:sz w:val="18"/>
                  <w:szCs w:val="18"/>
                  <w:color w:val="0000FF"/>
                  <w:highlight w:val="white"/>
                  <w:w w:val="99"/>
                </w:rPr>
                <w:t>Quarterly Report on Form 10-Q filed with the SEC on November 5, 2021).</w:t>
              </w:r>
            </w:hyperlink>
          </w:p>
        </w:tc>
        <w:tc>
          <w:tcPr>
            <w:tcW w:w="3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of Director Restricted Stock Unit Award Agreement (Annual Base Retainer Award) (incorporated by reference to Exhibit 10.5 of the</w:t>
              </w:r>
            </w:hyperlink>
          </w:p>
        </w:tc>
      </w:tr>
      <w:tr>
        <w:trPr>
          <w:trHeight w:val="155"/>
        </w:trPr>
        <w:tc>
          <w:tcPr>
            <w:tcW w:w="118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Company's Quarterly Report on Form 10-Q filed with the SEC on November 5, 2021).</w:t>
              </w:r>
            </w:hyperlink>
          </w:p>
        </w:tc>
        <w:tc>
          <w:tcPr>
            <w:tcW w:w="37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Registration Rights Agreement, dated June 24, 2021, by and among the Company, FinTech Investor Holdings IV,</w:t>
              </w:r>
            </w:hyperlink>
          </w:p>
        </w:tc>
      </w:tr>
      <w:tr>
        <w:trPr>
          <w:trHeight w:val="156"/>
        </w:trPr>
        <w:tc>
          <w:tcPr>
            <w:tcW w:w="1180" w:type="dxa"/>
            <w:vAlign w:val="bottom"/>
          </w:tcPr>
          <w:p>
            <w:pPr>
              <w:spacing w:after="0"/>
              <w:rPr>
                <w:sz w:val="13"/>
                <w:szCs w:val="13"/>
                <w:color w:val="auto"/>
              </w:rPr>
            </w:pPr>
          </w:p>
        </w:tc>
        <w:tc>
          <w:tcPr>
            <w:tcW w:w="9620" w:type="dxa"/>
            <w:vAlign w:val="bottom"/>
            <w:gridSpan w:val="26"/>
          </w:tcPr>
          <w:p>
            <w:pPr>
              <w:spacing w:after="0" w:line="156" w:lineRule="exact"/>
              <w:rPr>
                <w:rFonts w:ascii="Times New Roman" w:cs="Times New Roman" w:eastAsia="Times New Roman" w:hAnsi="Times New Roman"/>
                <w:sz w:val="18"/>
                <w:szCs w:val="18"/>
                <w:color w:val="0000FF"/>
                <w:highlight w:val="white"/>
                <w:w w:val="99"/>
              </w:rPr>
            </w:pPr>
            <w:hyperlink r:id="rId46">
              <w:r>
                <w:rPr>
                  <w:rFonts w:ascii="Times New Roman" w:cs="Times New Roman" w:eastAsia="Times New Roman" w:hAnsi="Times New Roman"/>
                  <w:sz w:val="18"/>
                  <w:szCs w:val="18"/>
                  <w:color w:val="0000FF"/>
                  <w:highlight w:val="white"/>
                  <w:w w:val="99"/>
                </w:rPr>
                <w:t>LLC, FinTech Masala Advisors, LLC and the other Holders party thereto (incorporated by reference to Exhibit 10.1 to the Company’s</w:t>
              </w:r>
            </w:hyperlink>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96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highlight w:val="white"/>
              </w:rPr>
            </w:pPr>
            <w:hyperlink r:id="rId46">
              <w:r>
                <w:rPr>
                  <w:rFonts w:ascii="Times New Roman" w:cs="Times New Roman" w:eastAsia="Times New Roman" w:hAnsi="Times New Roman"/>
                  <w:sz w:val="18"/>
                  <w:szCs w:val="18"/>
                  <w:color w:val="0000FF"/>
                  <w:highlight w:val="white"/>
                </w:rPr>
                <w:t>Current Report on Form 8-K, filed with the SEC on June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Form of Subscription Agreement (incorporated by reference to Exhibit 10.1 to FinTech Acquisition Corp. IV's Current Report on Form 8-</w:t>
              </w:r>
            </w:hyperlink>
          </w:p>
        </w:tc>
      </w:tr>
      <w:tr>
        <w:trPr>
          <w:trHeight w:val="155"/>
        </w:trPr>
        <w:tc>
          <w:tcPr>
            <w:tcW w:w="1180" w:type="dxa"/>
            <w:vAlign w:val="bottom"/>
          </w:tcPr>
          <w:p>
            <w:pPr>
              <w:spacing w:after="0"/>
              <w:rPr>
                <w:sz w:val="13"/>
                <w:szCs w:val="13"/>
                <w:color w:val="auto"/>
              </w:rPr>
            </w:pPr>
          </w:p>
        </w:tc>
        <w:tc>
          <w:tcPr>
            <w:tcW w:w="3520" w:type="dxa"/>
            <w:vAlign w:val="bottom"/>
            <w:gridSpan w:val="7"/>
          </w:tcPr>
          <w:p>
            <w:pPr>
              <w:spacing w:after="0" w:line="156" w:lineRule="exact"/>
              <w:rPr>
                <w:rFonts w:ascii="Times New Roman" w:cs="Times New Roman" w:eastAsia="Times New Roman" w:hAnsi="Times New Roman"/>
                <w:sz w:val="18"/>
                <w:szCs w:val="18"/>
                <w:color w:val="0000FF"/>
                <w:highlight w:val="white"/>
                <w:w w:val="99"/>
              </w:rPr>
            </w:pPr>
            <w:hyperlink r:id="rId47">
              <w:r>
                <w:rPr>
                  <w:rFonts w:ascii="Times New Roman" w:cs="Times New Roman" w:eastAsia="Times New Roman" w:hAnsi="Times New Roman"/>
                  <w:sz w:val="18"/>
                  <w:szCs w:val="18"/>
                  <w:color w:val="0000FF"/>
                  <w:highlight w:val="white"/>
                  <w:w w:val="99"/>
                </w:rPr>
                <w:t>K/A, filed with the SEC on December 31, 2020).</w:t>
              </w:r>
            </w:hyperlink>
          </w:p>
        </w:tc>
        <w:tc>
          <w:tcPr>
            <w:tcW w:w="2180" w:type="dxa"/>
            <w:vAlign w:val="bottom"/>
            <w:tcBorders>
              <w:top w:val="single" w:sz="8" w:color="0000FF"/>
            </w:tcBorders>
            <w:gridSpan w:val="6"/>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5"/>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60" w:type="dxa"/>
            <w:vAlign w:val="bottom"/>
            <w:gridSpan w:val="48"/>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Stockholders Agreement, dated June 24, 2021, by and between the Company and PWP Professional Partners LP (incorporated by reference</w:t>
              </w:r>
            </w:hyperlink>
          </w:p>
        </w:tc>
      </w:tr>
      <w:tr>
        <w:trPr>
          <w:trHeight w:val="156"/>
        </w:trPr>
        <w:tc>
          <w:tcPr>
            <w:tcW w:w="1180" w:type="dxa"/>
            <w:vAlign w:val="bottom"/>
          </w:tcPr>
          <w:p>
            <w:pPr>
              <w:spacing w:after="0"/>
              <w:rPr>
                <w:sz w:val="13"/>
                <w:szCs w:val="13"/>
                <w:color w:val="auto"/>
              </w:rPr>
            </w:pPr>
          </w:p>
        </w:tc>
        <w:tc>
          <w:tcPr>
            <w:tcW w:w="7300" w:type="dxa"/>
            <w:vAlign w:val="bottom"/>
            <w:gridSpan w:val="19"/>
          </w:tcPr>
          <w:p>
            <w:pPr>
              <w:spacing w:after="0" w:line="156" w:lineRule="exact"/>
              <w:rPr>
                <w:rFonts w:ascii="Times New Roman" w:cs="Times New Roman" w:eastAsia="Times New Roman" w:hAnsi="Times New Roman"/>
                <w:sz w:val="18"/>
                <w:szCs w:val="18"/>
                <w:color w:val="0000FF"/>
                <w:highlight w:val="white"/>
                <w:w w:val="99"/>
              </w:rPr>
            </w:pPr>
            <w:hyperlink r:id="rId48">
              <w:r>
                <w:rPr>
                  <w:rFonts w:ascii="Times New Roman" w:cs="Times New Roman" w:eastAsia="Times New Roman" w:hAnsi="Times New Roman"/>
                  <w:sz w:val="18"/>
                  <w:szCs w:val="18"/>
                  <w:color w:val="0000FF"/>
                  <w:highlight w:val="white"/>
                  <w:w w:val="99"/>
                </w:rPr>
                <w:t>to Exhibit 10.3 to the Company’s Current Report on Form 8-K, filed with the SEC on June 30, 2021).</w:t>
              </w:r>
            </w:hyperlink>
          </w:p>
        </w:tc>
        <w:tc>
          <w:tcPr>
            <w:tcW w:w="180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5"/>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5"/>
          </w:tcPr>
          <w:p>
            <w:pPr>
              <w:spacing w:after="0"/>
              <w:rPr>
                <w:sz w:val="13"/>
                <w:szCs w:val="13"/>
                <w:color w:val="auto"/>
              </w:rPr>
            </w:pPr>
          </w:p>
        </w:tc>
        <w:tc>
          <w:tcPr>
            <w:tcW w:w="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Tax Receivable Agreement, dated June 24, 2021, by and between the Company, PWP Holdings LP, PWP Professional Partners LP and</w:t>
              </w:r>
            </w:hyperlink>
          </w:p>
        </w:tc>
      </w:tr>
      <w:tr>
        <w:trPr>
          <w:trHeight w:val="189"/>
        </w:trPr>
        <w:tc>
          <w:tcPr>
            <w:tcW w:w="1180" w:type="dxa"/>
            <w:vAlign w:val="bottom"/>
          </w:tcPr>
          <w:p>
            <w:pPr>
              <w:spacing w:after="0"/>
              <w:rPr>
                <w:sz w:val="16"/>
                <w:szCs w:val="16"/>
                <w:color w:val="auto"/>
              </w:rPr>
            </w:pPr>
          </w:p>
        </w:tc>
        <w:tc>
          <w:tcPr>
            <w:tcW w:w="10060" w:type="dxa"/>
            <w:vAlign w:val="bottom"/>
            <w:gridSpan w:val="48"/>
          </w:tcPr>
          <w:p>
            <w:pPr>
              <w:spacing w:after="0" w:line="189" w:lineRule="exact"/>
              <w:rPr>
                <w:rFonts w:ascii="Times New Roman" w:cs="Times New Roman" w:eastAsia="Times New Roman" w:hAnsi="Times New Roman"/>
                <w:sz w:val="18"/>
                <w:szCs w:val="18"/>
                <w:color w:val="0000FF"/>
                <w:highlight w:val="white"/>
              </w:rPr>
            </w:pPr>
            <w:hyperlink r:id="rId49">
              <w:r>
                <w:rPr>
                  <w:rFonts w:ascii="Times New Roman" w:cs="Times New Roman" w:eastAsia="Times New Roman" w:hAnsi="Times New Roman"/>
                  <w:sz w:val="18"/>
                  <w:szCs w:val="18"/>
                  <w:color w:val="0000FF"/>
                  <w:highlight w:val="white"/>
                </w:rPr>
                <w:t>certain partners party thereto (incorporated by reference to Exhibit 10.2 to the Company's Current Report on Form 8-K, filed with the SEC</w:t>
              </w:r>
            </w:hyperlink>
          </w:p>
        </w:tc>
      </w:tr>
      <w:tr>
        <w:trPr>
          <w:trHeight w:val="169"/>
        </w:trPr>
        <w:tc>
          <w:tcPr>
            <w:tcW w:w="1180" w:type="dxa"/>
            <w:vAlign w:val="bottom"/>
          </w:tcPr>
          <w:p>
            <w:pPr>
              <w:spacing w:after="0"/>
              <w:rPr>
                <w:sz w:val="14"/>
                <w:szCs w:val="14"/>
                <w:color w:val="auto"/>
              </w:rPr>
            </w:pPr>
          </w:p>
        </w:tc>
        <w:tc>
          <w:tcPr>
            <w:tcW w:w="10000" w:type="dxa"/>
            <w:vAlign w:val="bottom"/>
            <w:tcBorders>
              <w:top w:val="single" w:sz="8" w:color="0000FF"/>
            </w:tcBorders>
            <w:gridSpan w:val="44"/>
          </w:tcPr>
          <w:p>
            <w:pPr>
              <w:spacing w:after="0" w:line="169" w:lineRule="exact"/>
              <w:rPr>
                <w:rFonts w:ascii="Times New Roman" w:cs="Times New Roman" w:eastAsia="Times New Roman" w:hAnsi="Times New Roman"/>
                <w:sz w:val="18"/>
                <w:szCs w:val="18"/>
                <w:color w:val="0000FF"/>
                <w:highlight w:val="white"/>
              </w:rPr>
            </w:pPr>
            <w:hyperlink r:id="rId49">
              <w:r>
                <w:rPr>
                  <w:rFonts w:ascii="Times New Roman" w:cs="Times New Roman" w:eastAsia="Times New Roman" w:hAnsi="Times New Roman"/>
                  <w:sz w:val="18"/>
                  <w:szCs w:val="18"/>
                  <w:color w:val="0000FF"/>
                  <w:highlight w:val="white"/>
                </w:rPr>
                <w:t>on June 30, 2021).</w:t>
              </w:r>
            </w:hyperlink>
          </w:p>
        </w:tc>
        <w:tc>
          <w:tcPr>
            <w:tcW w:w="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Sponsor Share Surrender and Share Restriction Agreement, dated as of December 29, 2020, by and among PWP Holdings LP, FinTech</w:t>
              </w:r>
            </w:hyperlink>
          </w:p>
        </w:tc>
        <w:tc>
          <w:tcPr>
            <w:tcW w:w="380" w:type="dxa"/>
            <w:vAlign w:val="bottom"/>
            <w:gridSpan w:val="19"/>
          </w:tcPr>
          <w:p>
            <w:pPr>
              <w:spacing w:after="0"/>
              <w:rPr>
                <w:sz w:val="18"/>
                <w:szCs w:val="18"/>
                <w:color w:val="auto"/>
              </w:rPr>
            </w:pPr>
          </w:p>
        </w:tc>
      </w:tr>
      <w:tr>
        <w:trPr>
          <w:trHeight w:val="155"/>
        </w:trPr>
        <w:tc>
          <w:tcPr>
            <w:tcW w:w="1180" w:type="dxa"/>
            <w:vAlign w:val="bottom"/>
          </w:tcPr>
          <w:p>
            <w:pPr>
              <w:spacing w:after="0"/>
              <w:rPr>
                <w:sz w:val="13"/>
                <w:szCs w:val="13"/>
                <w:color w:val="auto"/>
              </w:rPr>
            </w:pPr>
          </w:p>
        </w:tc>
        <w:tc>
          <w:tcPr>
            <w:tcW w:w="10060" w:type="dxa"/>
            <w:vAlign w:val="bottom"/>
            <w:gridSpan w:val="48"/>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Acquisition Corp. IV, FinTech Investor Holdings IV, LLC, FinTech Masala Advisors, LLC and the other parties thereto (incorporated by</w:t>
              </w:r>
            </w:hyperlink>
          </w:p>
        </w:tc>
      </w:tr>
      <w:tr>
        <w:trPr>
          <w:trHeight w:val="169"/>
        </w:trPr>
        <w:tc>
          <w:tcPr>
            <w:tcW w:w="118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34"/>
          </w:tcPr>
          <w:p>
            <w:pPr>
              <w:spacing w:after="0" w:line="169"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reference to Exhibit 10.5 to FinTech Acquisition Corp. IV's Current Report on Form 8-K/A, filed with the SEC on December 31, 2020).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Amendment to Sponsor Share Surrender and Share Restriction Agreement, dated as of May 4, 2021, by and among PWP Holdings LP,</w:t>
              </w:r>
            </w:hyperlink>
          </w:p>
        </w:tc>
      </w:tr>
      <w:tr>
        <w:trPr>
          <w:trHeight w:val="155"/>
        </w:trPr>
        <w:tc>
          <w:tcPr>
            <w:tcW w:w="1180" w:type="dxa"/>
            <w:vAlign w:val="bottom"/>
          </w:tcPr>
          <w:p>
            <w:pPr>
              <w:spacing w:after="0"/>
              <w:rPr>
                <w:sz w:val="13"/>
                <w:szCs w:val="13"/>
                <w:color w:val="auto"/>
              </w:rPr>
            </w:pPr>
          </w:p>
        </w:tc>
        <w:tc>
          <w:tcPr>
            <w:tcW w:w="9200" w:type="dxa"/>
            <w:vAlign w:val="bottom"/>
            <w:gridSpan w:val="23"/>
          </w:tcPr>
          <w:p>
            <w:pPr>
              <w:spacing w:after="0" w:line="156" w:lineRule="exact"/>
              <w:rPr>
                <w:rFonts w:ascii="Times New Roman" w:cs="Times New Roman" w:eastAsia="Times New Roman" w:hAnsi="Times New Roman"/>
                <w:sz w:val="18"/>
                <w:szCs w:val="18"/>
                <w:color w:val="0000FF"/>
                <w:highlight w:val="white"/>
                <w:w w:val="98"/>
              </w:rPr>
            </w:pPr>
            <w:hyperlink r:id="rId51">
              <w:r>
                <w:rPr>
                  <w:rFonts w:ascii="Times New Roman" w:cs="Times New Roman" w:eastAsia="Times New Roman" w:hAnsi="Times New Roman"/>
                  <w:sz w:val="18"/>
                  <w:szCs w:val="18"/>
                  <w:color w:val="0000FF"/>
                  <w:highlight w:val="white"/>
                  <w:w w:val="98"/>
                </w:rPr>
                <w:t>FinTech Acquisition Corp. IV, FinTech Investor Holdings IV, LLC, FinTech Masala Advisors, LLC and the other parties thereto</w:t>
              </w:r>
            </w:hyperlink>
          </w:p>
        </w:tc>
        <w:tc>
          <w:tcPr>
            <w:tcW w:w="460" w:type="dxa"/>
            <w:vAlign w:val="bottom"/>
            <w:tcBorders>
              <w:top w:val="single" w:sz="8" w:color="0000FF"/>
            </w:tcBorders>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91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highlight w:val="white"/>
              </w:rPr>
            </w:pPr>
            <w:hyperlink r:id="rId51">
              <w:r>
                <w:rPr>
                  <w:rFonts w:ascii="Times New Roman" w:cs="Times New Roman" w:eastAsia="Times New Roman" w:hAnsi="Times New Roman"/>
                  <w:sz w:val="18"/>
                  <w:szCs w:val="18"/>
                  <w:color w:val="0000FF"/>
                  <w:highlight w:val="white"/>
                </w:rPr>
                <w:t>(incorporated by reference to FinTech Acquisition Corp. IV's definitive proxy statement, filed with the SEC on May 27, 2021).</w:t>
              </w:r>
            </w:hyperlink>
          </w:p>
        </w:tc>
        <w:tc>
          <w:tcPr>
            <w:tcW w:w="60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Agreement of Limited Partnership of PWP Holdings LP, dated as of June 24, 2021, by and among PWP GP LLC,</w:t>
              </w:r>
            </w:hyperlink>
          </w:p>
        </w:tc>
      </w:tr>
      <w:tr>
        <w:trPr>
          <w:trHeight w:val="155"/>
        </w:trPr>
        <w:tc>
          <w:tcPr>
            <w:tcW w:w="118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the Company, PWP Professional Partners LP, and the other limited partners party thereto (incorporated by reference to Exhibit 10.4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570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Company's Current Report on Form 8-K, filed with the SEC on June 30, 2021).</w:t>
              </w:r>
            </w:hyperlink>
          </w:p>
        </w:tc>
        <w:tc>
          <w:tcPr>
            <w:tcW w:w="4200" w:type="dxa"/>
            <w:vAlign w:val="bottom"/>
            <w:gridSpan w:val="26"/>
          </w:tcPr>
          <w:p>
            <w:pPr>
              <w:spacing w:after="0"/>
              <w:rPr>
                <w:sz w:val="14"/>
                <w:szCs w:val="14"/>
                <w:color w:val="auto"/>
              </w:rPr>
            </w:pPr>
          </w:p>
        </w:tc>
        <w:tc>
          <w:tcPr>
            <w:tcW w:w="1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60" w:type="dxa"/>
            <w:vAlign w:val="bottom"/>
            <w:gridSpan w:val="48"/>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Amended and Restated Limited Liability Company Agreement of PWP GP LLC, dated June 24, 2021 (incorporated by reference to Exhibit</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47"/>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to the Company's Current Report on Form 8-K, filed with the SEC on June 30, 2021).</w:t>
              </w:r>
            </w:hyperlink>
          </w:p>
        </w:tc>
        <w:tc>
          <w:tcPr>
            <w:tcW w:w="20" w:type="dxa"/>
            <w:vAlign w:val="bottom"/>
          </w:tcPr>
          <w:p>
            <w:pPr>
              <w:spacing w:after="0"/>
              <w:rPr>
                <w:sz w:val="13"/>
                <w:szCs w:val="13"/>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tcBorders>
              <w:left w:val="single" w:sz="8" w:color="0000FF"/>
            </w:tcBorders>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8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Perella Weinberg Partners 2021 Omnibus Incentive Plan (incorporated by reference to Exhibit 10.6 to the Company's Current Report on</w:t>
              </w:r>
            </w:hyperlink>
          </w:p>
        </w:tc>
      </w:tr>
      <w:tr>
        <w:trPr>
          <w:trHeight w:val="155"/>
        </w:trPr>
        <w:tc>
          <w:tcPr>
            <w:tcW w:w="1180" w:type="dxa"/>
            <w:vAlign w:val="bottom"/>
          </w:tcPr>
          <w:p>
            <w:pPr>
              <w:spacing w:after="0"/>
              <w:rPr>
                <w:sz w:val="13"/>
                <w:szCs w:val="13"/>
                <w:color w:val="auto"/>
              </w:rPr>
            </w:pPr>
          </w:p>
        </w:tc>
        <w:tc>
          <w:tcPr>
            <w:tcW w:w="3460" w:type="dxa"/>
            <w:vAlign w:val="bottom"/>
            <w:gridSpan w:val="6"/>
          </w:tcPr>
          <w:p>
            <w:pPr>
              <w:spacing w:after="0" w:line="156" w:lineRule="exact"/>
              <w:rPr>
                <w:rFonts w:ascii="Times New Roman" w:cs="Times New Roman" w:eastAsia="Times New Roman" w:hAnsi="Times New Roman"/>
                <w:sz w:val="18"/>
                <w:szCs w:val="18"/>
                <w:color w:val="0000FF"/>
                <w:highlight w:val="white"/>
                <w:w w:val="98"/>
              </w:rPr>
            </w:pPr>
            <w:hyperlink r:id="rId54">
              <w:r>
                <w:rPr>
                  <w:rFonts w:ascii="Times New Roman" w:cs="Times New Roman" w:eastAsia="Times New Roman" w:hAnsi="Times New Roman"/>
                  <w:sz w:val="18"/>
                  <w:szCs w:val="18"/>
                  <w:color w:val="0000FF"/>
                  <w:highlight w:val="white"/>
                  <w:w w:val="98"/>
                </w:rPr>
                <w:t>Form 8-K, filed with the SEC on June 30, 2021)</w:t>
              </w:r>
            </w:hyperlink>
          </w:p>
        </w:tc>
        <w:tc>
          <w:tcPr>
            <w:tcW w:w="2500" w:type="dxa"/>
            <w:vAlign w:val="bottom"/>
            <w:tcBorders>
              <w:top w:val="single" w:sz="8" w:color="0000FF"/>
            </w:tcBorders>
            <w:gridSpan w:val="8"/>
          </w:tcPr>
          <w:p>
            <w:pPr>
              <w:jc w:val="right"/>
              <w:ind w:right="2460"/>
              <w:spacing w:after="0"/>
              <w:rPr>
                <w:rFonts w:ascii="Times New Roman" w:cs="Times New Roman" w:eastAsia="Times New Roman" w:hAnsi="Times New Roman"/>
                <w:sz w:val="11"/>
                <w:szCs w:val="11"/>
                <w:color w:val="auto"/>
                <w:w w:val="70"/>
              </w:rPr>
            </w:pPr>
            <w:hyperlink r:id="rId54">
              <w:r>
                <w:rPr>
                  <w:rFonts w:ascii="Times New Roman" w:cs="Times New Roman" w:eastAsia="Times New Roman" w:hAnsi="Times New Roman"/>
                  <w:sz w:val="11"/>
                  <w:szCs w:val="11"/>
                  <w:color w:val="auto"/>
                  <w:w w:val="70"/>
                </w:rPr>
                <w:t>.</w:t>
              </w:r>
            </w:hyperlink>
          </w:p>
        </w:tc>
        <w:tc>
          <w:tcPr>
            <w:tcW w:w="20" w:type="dxa"/>
            <w:vAlign w:val="bottom"/>
            <w:tcBorders>
              <w:top w:val="single" w:sz="8" w:color="0000FF"/>
            </w:tcBorders>
          </w:tcPr>
          <w:p>
            <w:pPr>
              <w:spacing w:after="0"/>
              <w:rPr>
                <w:sz w:val="13"/>
                <w:szCs w:val="13"/>
                <w:color w:val="auto"/>
              </w:rPr>
            </w:pPr>
          </w:p>
        </w:tc>
        <w:tc>
          <w:tcPr>
            <w:tcW w:w="380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10"/>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French Sub-Plan Under the Perella Weinberg Partners 2021 Omnibus Equity Incentive Plan (incorporated by reference to Exhibit 10.7 to</w:t>
              </w:r>
            </w:hyperlink>
          </w:p>
        </w:tc>
      </w:tr>
      <w:tr>
        <w:trPr>
          <w:trHeight w:val="155"/>
        </w:trPr>
        <w:tc>
          <w:tcPr>
            <w:tcW w:w="1180" w:type="dxa"/>
            <w:vAlign w:val="bottom"/>
          </w:tcPr>
          <w:p>
            <w:pPr>
              <w:spacing w:after="0"/>
              <w:rPr>
                <w:sz w:val="13"/>
                <w:szCs w:val="13"/>
                <w:color w:val="auto"/>
              </w:rPr>
            </w:pPr>
          </w:p>
        </w:tc>
        <w:tc>
          <w:tcPr>
            <w:tcW w:w="5980" w:type="dxa"/>
            <w:vAlign w:val="bottom"/>
            <w:gridSpan w:val="15"/>
          </w:tcPr>
          <w:p>
            <w:pPr>
              <w:spacing w:after="0" w:line="156" w:lineRule="exact"/>
              <w:rPr>
                <w:rFonts w:ascii="Times New Roman" w:cs="Times New Roman" w:eastAsia="Times New Roman" w:hAnsi="Times New Roman"/>
                <w:sz w:val="18"/>
                <w:szCs w:val="18"/>
                <w:color w:val="0000FF"/>
                <w:highlight w:val="white"/>
                <w:w w:val="99"/>
              </w:rPr>
            </w:pPr>
            <w:hyperlink r:id="rId55">
              <w:r>
                <w:rPr>
                  <w:rFonts w:ascii="Times New Roman" w:cs="Times New Roman" w:eastAsia="Times New Roman" w:hAnsi="Times New Roman"/>
                  <w:sz w:val="18"/>
                  <w:szCs w:val="18"/>
                  <w:color w:val="0000FF"/>
                  <w:highlight w:val="white"/>
                  <w:w w:val="99"/>
                </w:rPr>
                <w:t>the Company's Current Report on Form 8-K, filed with the SEC on June 30, 2021).</w:t>
              </w:r>
            </w:hyperlink>
          </w:p>
        </w:tc>
        <w:tc>
          <w:tcPr>
            <w:tcW w:w="384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10"/>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10"/>
            <w:shd w:val="clear" w:color="auto" w:fill="0000FF"/>
          </w:tcPr>
          <w:p>
            <w:pPr>
              <w:spacing w:after="0" w:line="20" w:lineRule="exact"/>
              <w:rPr>
                <w:sz w:val="1"/>
                <w:szCs w:val="1"/>
                <w:color w:val="auto"/>
              </w:rPr>
            </w:pPr>
          </w:p>
        </w:tc>
        <w:tc>
          <w:tcPr>
            <w:tcW w:w="3920" w:type="dxa"/>
            <w:vAlign w:val="bottom"/>
            <w:gridSpan w:val="24"/>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gridSpan w:val="4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Indemnification Agreement (incorporated by reference to Exhibit 10.8 to the Company's Current Report on Form 8-K, filed with</w:t>
              </w:r>
            </w:hyperlink>
          </w:p>
        </w:tc>
      </w:tr>
      <w:tr>
        <w:trPr>
          <w:trHeight w:val="155"/>
        </w:trPr>
        <w:tc>
          <w:tcPr>
            <w:tcW w:w="1180" w:type="dxa"/>
            <w:vAlign w:val="bottom"/>
          </w:tcPr>
          <w:p>
            <w:pPr>
              <w:spacing w:after="0"/>
              <w:rPr>
                <w:sz w:val="13"/>
                <w:szCs w:val="13"/>
                <w:color w:val="auto"/>
              </w:rPr>
            </w:pPr>
          </w:p>
        </w:tc>
        <w:tc>
          <w:tcPr>
            <w:tcW w:w="1960" w:type="dxa"/>
            <w:vAlign w:val="bottom"/>
            <w:gridSpan w:val="4"/>
          </w:tcPr>
          <w:p>
            <w:pPr>
              <w:spacing w:after="0" w:line="156" w:lineRule="exact"/>
              <w:rPr>
                <w:rFonts w:ascii="Times New Roman" w:cs="Times New Roman" w:eastAsia="Times New Roman" w:hAnsi="Times New Roman"/>
                <w:sz w:val="18"/>
                <w:szCs w:val="18"/>
                <w:color w:val="0000FF"/>
                <w:highlight w:val="white"/>
                <w:w w:val="98"/>
              </w:rPr>
            </w:pPr>
            <w:hyperlink r:id="rId56">
              <w:r>
                <w:rPr>
                  <w:rFonts w:ascii="Times New Roman" w:cs="Times New Roman" w:eastAsia="Times New Roman" w:hAnsi="Times New Roman"/>
                  <w:sz w:val="18"/>
                  <w:szCs w:val="18"/>
                  <w:color w:val="0000FF"/>
                  <w:highlight w:val="white"/>
                  <w:w w:val="98"/>
                </w:rPr>
                <w:t>the SEC on June 30, 2021).</w:t>
              </w:r>
            </w:hyperlink>
          </w:p>
        </w:tc>
        <w:tc>
          <w:tcPr>
            <w:tcW w:w="7920" w:type="dxa"/>
            <w:vAlign w:val="bottom"/>
            <w:tcBorders>
              <w:top w:val="single" w:sz="8" w:color="0000FF"/>
            </w:tcBorders>
            <w:gridSpan w:val="34"/>
          </w:tcPr>
          <w:p>
            <w:pPr>
              <w:spacing w:after="0"/>
              <w:rPr>
                <w:sz w:val="13"/>
                <w:szCs w:val="13"/>
                <w:color w:val="auto"/>
              </w:rPr>
            </w:pPr>
          </w:p>
        </w:tc>
        <w:tc>
          <w:tcPr>
            <w:tcW w:w="180" w:type="dxa"/>
            <w:vAlign w:val="bottom"/>
            <w:gridSpan w:val="10"/>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-650875</wp:posOffset>
            </wp:positionV>
            <wp:extent cx="2540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40" w:top="1440" w:right="359" w:bottom="1440" w:gutter="0" w:footer="0" w:header="0"/>
        </w:sectPr>
      </w:pPr>
    </w:p>
    <w:bookmarkStart w:id="71" w:name="page72"/>
    <w:bookmarkEnd w:id="71"/>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40" w:type="dxa"/>
            <w:vAlign w:val="bottom"/>
            <w:gridSpan w:val="18"/>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Amendment Agreement, dated as of June 15, 2021, by and among Perella Weinberg Partners Group LP, as Borrower, PWP Holdings LP,</w:t>
              </w:r>
            </w:hyperlink>
          </w:p>
        </w:tc>
      </w:tr>
      <w:tr>
        <w:trPr>
          <w:trHeight w:val="156"/>
        </w:trPr>
        <w:tc>
          <w:tcPr>
            <w:tcW w:w="116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the subsidiary guarantors party thereto, each Lender under the Credit Agreement and Cadence Bank, N.A., as administrative agent</w:t>
              </w:r>
            </w:hyperlink>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924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(incorporated by reference to Exhibit 10.9 to the Company's Current Report on Form 8-K, filed with the SEC on June 30, 2021).</w:t>
              </w:r>
            </w:hyperlink>
          </w:p>
        </w:tc>
        <w:tc>
          <w:tcPr>
            <w:tcW w:w="14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Form of Dealer Manager Agreement.</w:t>
            </w:r>
          </w:p>
        </w:tc>
        <w:tc>
          <w:tcPr>
            <w:tcW w:w="7160" w:type="dxa"/>
            <w:vAlign w:val="bottom"/>
            <w:gridSpan w:val="15"/>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Tender and Support Agreement, dated as of </w:t>
            </w:r>
            <w:r>
              <w:rPr>
                <w:rFonts w:ascii="Times New Roman" w:cs="Times New Roman" w:eastAsia="Times New Roman" w:hAnsi="Times New Roman"/>
                <w:sz w:val="18"/>
                <w:szCs w:val="18"/>
                <w:color w:val="000000"/>
              </w:rPr>
              <w:t>July 21, 2022</w:t>
            </w:r>
            <w:r>
              <w:rPr>
                <w:rFonts w:ascii="Times New Roman" w:cs="Times New Roman" w:eastAsia="Times New Roman" w:hAnsi="Times New Roman"/>
                <w:sz w:val="18"/>
                <w:szCs w:val="18"/>
                <w:color w:val="0000FF"/>
              </w:rPr>
              <w:t>, by and between the Company and Supporting Stockholders.</w:t>
            </w:r>
          </w:p>
        </w:tc>
      </w:tr>
      <w:tr>
        <w:trPr>
          <w:trHeight w:val="20"/>
        </w:trPr>
        <w:tc>
          <w:tcPr>
            <w:tcW w:w="11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40" w:type="dxa"/>
            <w:vAlign w:val="bottom"/>
            <w:gridSpan w:val="18"/>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Subsidiaries of the Registrant (incorporated by reference to Exhibit 21.1 to the Company’s Annual Report on Form 10-K, filed with the</w:t>
              </w:r>
            </w:hyperlink>
          </w:p>
        </w:tc>
      </w:tr>
      <w:tr>
        <w:trPr>
          <w:trHeight w:val="156"/>
        </w:trPr>
        <w:tc>
          <w:tcPr>
            <w:tcW w:w="11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SEC on March 11, 2022).</w:t>
              </w:r>
            </w:hyperlink>
          </w:p>
        </w:tc>
        <w:tc>
          <w:tcPr>
            <w:tcW w:w="7900" w:type="dxa"/>
            <w:vAlign w:val="bottom"/>
            <w:tcBorders>
              <w:top w:val="single" w:sz="8" w:color="0000FF"/>
            </w:tcBorders>
            <w:gridSpan w:val="14"/>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accounting firm.</w:t>
            </w:r>
          </w:p>
        </w:tc>
      </w:tr>
      <w:tr>
        <w:trPr>
          <w:trHeight w:val="20"/>
        </w:trPr>
        <w:tc>
          <w:tcPr>
            <w:tcW w:w="11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Skadden, Arps, Slate, Meagher &amp; Flom LLP (included in Exhibit 5.1).</w:t>
            </w:r>
          </w:p>
        </w:tc>
        <w:tc>
          <w:tcPr>
            <w:tcW w:w="3940" w:type="dxa"/>
            <w:vAlign w:val="bottom"/>
            <w:gridSpan w:val="8"/>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Skadden Arps, Slate, Meagher &amp; Flom LLP (included in Exhibit 8.1).</w:t>
            </w:r>
          </w:p>
        </w:tc>
        <w:tc>
          <w:tcPr>
            <w:tcW w:w="3980" w:type="dxa"/>
            <w:vAlign w:val="bottom"/>
            <w:gridSpan w:val="9"/>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w:t>
            </w: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5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Form of Letter of Transmittal and Consent.</w:t>
            </w:r>
          </w:p>
        </w:tc>
        <w:tc>
          <w:tcPr>
            <w:tcW w:w="6300" w:type="dxa"/>
            <w:vAlign w:val="bottom"/>
            <w:gridSpan w:val="12"/>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8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Form of Notice of Guaranteed Delivery.</w:t>
            </w:r>
          </w:p>
        </w:tc>
        <w:tc>
          <w:tcPr>
            <w:tcW w:w="280" w:type="dxa"/>
            <w:vAlign w:val="bottom"/>
            <w:tcBorders>
              <w:top w:val="single" w:sz="8" w:color="0000FF"/>
            </w:tcBorders>
          </w:tcPr>
          <w:p>
            <w:pPr>
              <w:spacing w:after="0"/>
              <w:rPr>
                <w:sz w:val="18"/>
                <w:szCs w:val="18"/>
                <w:color w:val="auto"/>
              </w:rPr>
            </w:pPr>
          </w:p>
        </w:tc>
        <w:tc>
          <w:tcPr>
            <w:tcW w:w="6680" w:type="dxa"/>
            <w:vAlign w:val="bottom"/>
            <w:gridSpan w:val="13"/>
          </w:tcPr>
          <w:p>
            <w:pPr>
              <w:spacing w:after="0"/>
              <w:rPr>
                <w:sz w:val="18"/>
                <w:szCs w:val="18"/>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98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Form of Letter to Brokers, Dealers, Commercial Banks, Trust Companies and Other Nominees.</w:t>
            </w:r>
          </w:p>
        </w:tc>
      </w:tr>
      <w:tr>
        <w:trPr>
          <w:trHeight w:val="20"/>
        </w:trPr>
        <w:tc>
          <w:tcPr>
            <w:tcW w:w="11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40" w:type="dxa"/>
            <w:vAlign w:val="bottom"/>
            <w:gridSpan w:val="10"/>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7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Letter to Clients of Brokers, Dealers, Commercial Banks, Trust Companies and Other Nominees.</w:t>
            </w:r>
          </w:p>
        </w:tc>
        <w:tc>
          <w:tcPr>
            <w:tcW w:w="2220" w:type="dxa"/>
            <w:vAlign w:val="bottom"/>
            <w:gridSpan w:val="6"/>
          </w:tcPr>
          <w:p>
            <w:pPr>
              <w:spacing w:after="0"/>
              <w:rPr>
                <w:sz w:val="18"/>
                <w:szCs w:val="18"/>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620" w:type="dxa"/>
            <w:vAlign w:val="bottom"/>
            <w:gridSpan w:val="17"/>
          </w:tcPr>
          <w:p>
            <w:pPr>
              <w:spacing w:after="0"/>
              <w:rPr>
                <w:sz w:val="18"/>
                <w:szCs w:val="18"/>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ind w:left="340" w:hanging="332"/>
        <w:spacing w:after="0" w:line="278" w:lineRule="auto"/>
        <w:tabs>
          <w:tab w:leader="none" w:pos="24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70" w:lineRule="exact"/>
        <w:rPr>
          <w:sz w:val="20"/>
          <w:szCs w:val="20"/>
          <w:color w:val="auto"/>
        </w:rPr>
      </w:pPr>
    </w:p>
    <w:p>
      <w:pPr>
        <w:ind w:right="8140" w:firstLine="8"/>
        <w:spacing w:after="0" w:line="463" w:lineRule="auto"/>
        <w:tabs>
          <w:tab w:leader="none" w:pos="32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or compensatory plan.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80"/>
          </w:cols>
          <w:pgMar w:left="320" w:top="1440" w:right="399" w:bottom="1440" w:gutter="0" w:footer="0" w:header="0"/>
        </w:sectPr>
      </w:pPr>
    </w:p>
    <w:bookmarkStart w:id="72" w:name="page73"/>
    <w:bookmarkEnd w:id="72"/>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22.</w:t>
        <w:tab/>
        <w:t>Undertakings.</w:t>
      </w:r>
    </w:p>
    <w:p>
      <w:pPr>
        <w:spacing w:after="0" w:line="17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during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Prospectus/Offer to Exchange required by section 10(a)(3) of the Securities Act of 1933;</w:t>
      </w:r>
    </w:p>
    <w:p>
      <w:pPr>
        <w:spacing w:after="0" w:line="171" w:lineRule="exact"/>
        <w:rPr>
          <w:rFonts w:ascii="Times New Roman" w:cs="Times New Roman" w:eastAsia="Times New Roman" w:hAnsi="Times New Roman"/>
          <w:sz w:val="18"/>
          <w:szCs w:val="18"/>
          <w:color w:val="auto"/>
        </w:rPr>
      </w:pPr>
    </w:p>
    <w:p>
      <w:pPr>
        <w:ind w:left="1960" w:hanging="656"/>
        <w:spacing w:after="0" w:line="254" w:lineRule="auto"/>
        <w:tabs>
          <w:tab w:leader="none" w:pos="19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Prospectus/Offer to Exchange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Prospectus/Offer to Exchange filed with the SEC pursuant to Rule 424(b)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137" w:lineRule="exact"/>
        <w:rPr>
          <w:rFonts w:ascii="Times New Roman" w:cs="Times New Roman" w:eastAsia="Times New Roman" w:hAnsi="Times New Roman"/>
          <w:sz w:val="18"/>
          <w:szCs w:val="18"/>
          <w:color w:val="auto"/>
        </w:rPr>
      </w:pPr>
    </w:p>
    <w:p>
      <w:pPr>
        <w:ind w:left="1960" w:right="120" w:hanging="656"/>
        <w:spacing w:after="0" w:line="282" w:lineRule="auto"/>
        <w:tabs>
          <w:tab w:leader="none" w:pos="195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jc w:val="both"/>
        <w:ind w:left="1300" w:right="18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1300" w:right="120" w:hanging="644"/>
        <w:spacing w:after="0" w:line="254"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7"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9" w:lineRule="exact"/>
        <w:rPr>
          <w:rFonts w:ascii="Times New Roman" w:cs="Times New Roman" w:eastAsia="Times New Roman" w:hAnsi="Times New Roman"/>
          <w:sz w:val="18"/>
          <w:szCs w:val="18"/>
          <w:color w:val="auto"/>
        </w:rPr>
      </w:pPr>
    </w:p>
    <w:p>
      <w:pPr>
        <w:ind w:left="1960" w:right="240" w:hanging="656"/>
        <w:spacing w:after="0" w:line="282" w:lineRule="auto"/>
        <w:tabs>
          <w:tab w:leader="none" w:pos="1954"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left="1628" w:right="80" w:hanging="656"/>
        <w:spacing w:after="0" w:line="282" w:lineRule="auto"/>
        <w:tabs>
          <w:tab w:leader="none" w:pos="161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1628" w:right="140" w:hanging="656"/>
        <w:spacing w:after="0" w:line="282" w:lineRule="auto"/>
        <w:tabs>
          <w:tab w:leader="none" w:pos="1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1608" w:hanging="636"/>
        <w:spacing w:after="0"/>
        <w:tabs>
          <w:tab w:leader="none" w:pos="16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328" w:hanging="328"/>
        <w:spacing w:after="0" w:line="254" w:lineRule="auto"/>
        <w:tabs>
          <w:tab w:leader="none" w:pos="3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7" w:lineRule="exact"/>
        <w:rPr>
          <w:rFonts w:ascii="Times New Roman" w:cs="Times New Roman" w:eastAsia="Times New Roman" w:hAnsi="Times New Roman"/>
          <w:sz w:val="18"/>
          <w:szCs w:val="18"/>
          <w:color w:val="auto"/>
        </w:rPr>
      </w:pPr>
    </w:p>
    <w:p>
      <w:pPr>
        <w:ind w:left="328" w:right="20" w:hanging="328"/>
        <w:spacing w:after="0" w:line="261" w:lineRule="auto"/>
        <w:tabs>
          <w:tab w:leader="none" w:pos="3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25" w:lineRule="exact"/>
        <w:rPr>
          <w:rFonts w:ascii="Times New Roman" w:cs="Times New Roman" w:eastAsia="Times New Roman" w:hAnsi="Times New Roman"/>
          <w:sz w:val="18"/>
          <w:szCs w:val="18"/>
          <w:color w:val="auto"/>
        </w:rPr>
      </w:pPr>
    </w:p>
    <w:p>
      <w:pPr>
        <w:ind w:left="328" w:right="40" w:hanging="328"/>
        <w:spacing w:after="0" w:line="282" w:lineRule="auto"/>
        <w:tabs>
          <w:tab w:leader="none" w:pos="3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848"/>
          </w:cols>
          <w:pgMar w:left="652" w:top="1440" w:right="3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S-4 to be signed on its behalf by the undersigned, thereunto duly authorized, in New York, New York, on July 22, 2022.</w:t>
      </w:r>
    </w:p>
    <w:p>
      <w:pPr>
        <w:spacing w:after="0" w:line="14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29" w:lineRule="exact"/>
        <w:rPr>
          <w:sz w:val="20"/>
          <w:szCs w:val="20"/>
          <w:color w:val="auto"/>
        </w:rPr>
      </w:pPr>
    </w:p>
    <w:tbl>
      <w:tblPr>
        <w:tblLayout w:type="fixed"/>
        <w:tblInd w:w="68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Weinberg</w:t>
            </w:r>
          </w:p>
        </w:tc>
      </w:t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Weinberg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Peter A. Weinberg, Gary S. Barancik and Vladimir Shendelman and each or any one of them, his true and lawful attorney-in-fact and agent, with full power of substitution and resubstitution, for him and in his name, place and stead, in any and all capacities, to sign any and all amendments to this registration statement on Form S-4,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S-4 has been signed by the following persons in the capacities and on the dates indicated.</w:t>
      </w:r>
    </w:p>
    <w:p>
      <w:pPr>
        <w:sectPr>
          <w:pgSz w:w="11900" w:h="16838" w:orient="portrait"/>
          <w:cols w:equalWidth="0" w:num="1">
            <w:col w:w="11240"/>
          </w:cols>
          <w:pgMar w:left="320" w:top="1251" w:right="339" w:bottom="1440" w:gutter="0" w:footer="0" w:header="0"/>
        </w:sectPr>
      </w:pPr>
    </w:p>
    <w:p>
      <w:pPr>
        <w:spacing w:after="0" w:line="1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682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Peter A. Weinberg</w:t>
      </w:r>
    </w:p>
    <w:p>
      <w:pPr>
        <w:spacing w:after="0" w:line="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Gary S. Barancik</w:t>
      </w:r>
    </w:p>
    <w:p>
      <w:pPr>
        <w:spacing w:after="0" w:line="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Alexandra Gottschalk</w:t>
      </w:r>
    </w:p>
    <w:p>
      <w:pPr>
        <w:spacing w:after="0" w:line="7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 Joseph R. Perella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Joseph R. Perella</w:t>
      </w:r>
    </w:p>
    <w:p>
      <w:pPr>
        <w:spacing w:after="0" w:line="7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Robert K. Steel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Robert K. Steel</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Dietrich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Dietrich Becker</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Andrew Bednar</w:t>
      </w:r>
    </w:p>
    <w:p>
      <w:pPr>
        <w:spacing w:after="0" w:line="7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Daniel G. Cohen</w:t>
      </w:r>
    </w:p>
    <w:p>
      <w:pPr>
        <w:spacing w:after="0" w:line="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 Elizabeth C. Fascitelli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682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Elizabeth C. Fascitelli</w:t>
      </w:r>
    </w:p>
    <w:p>
      <w:pPr>
        <w:spacing w:after="0" w:line="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Kristin W. Mugford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Kristin W. Mugford</w:t>
      </w:r>
    </w:p>
    <w:p>
      <w:pPr>
        <w:spacing w:after="0" w:line="7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 Jorma Ollila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Jorma Ollila</w:t>
      </w:r>
    </w:p>
    <w:p>
      <w:pPr>
        <w:spacing w:after="0" w:line="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Ivan G.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Ivan G. Seidenberg</w:t>
      </w:r>
    </w:p>
    <w:p>
      <w:pPr>
        <w:spacing w:after="0" w:line="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Jane C. Sherburne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28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Jane C. Sherburne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33655</wp:posOffset>
            </wp:positionV>
            <wp:extent cx="2691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0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Chairman and Chief Executive Officer</w:t>
      </w:r>
    </w:p>
    <w:p>
      <w:pPr>
        <w:jc w:val="center"/>
        <w:ind w:right="9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9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1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9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Chairman Emeritus</w:t>
      </w:r>
    </w:p>
    <w:p>
      <w:pPr>
        <w:spacing w:after="0" w:line="3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Vice Chairman</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32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33655</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w:t>
      </w:r>
    </w:p>
    <w:p>
      <w:pPr>
        <w:spacing w:after="0" w:line="416" w:lineRule="exact"/>
        <w:rPr>
          <w:sz w:val="20"/>
          <w:szCs w:val="20"/>
          <w:color w:val="auto"/>
        </w:rPr>
      </w:pPr>
    </w:p>
    <w:p>
      <w:pPr>
        <w:sectPr>
          <w:pgSz w:w="11900" w:h="16838" w:orient="portrait"/>
          <w:cols w:equalWidth="0" w:num="3">
            <w:col w:w="4340" w:space="720"/>
            <w:col w:w="3680" w:space="720"/>
            <w:col w:w="1780"/>
          </w:cols>
          <w:pgMar w:left="320" w:top="12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251" w:right="339" w:bottom="1440" w:gutter="0" w:footer="0" w:header="0"/>
          <w:type w:val="continuous"/>
        </w:sectPr>
      </w:pPr>
    </w:p>
    <w:bookmarkStart w:id="75" w:name="page76"/>
    <w:bookmarkEnd w:id="75"/>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Calculation of Filing Fee Tables</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S-4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Type)</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Perella Weinberg Partners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Table 1—Newly Registered and Carry Forward Securities</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540"/>
        </w:trPr>
        <w:tc>
          <w:tcPr>
            <w:tcW w:w="1100" w:type="dxa"/>
            <w:vAlign w:val="bottom"/>
            <w:tcBorders>
              <w:top w:val="single" w:sz="8" w:color="auto"/>
              <w:left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Filing Fee</w:t>
            </w:r>
          </w:p>
        </w:tc>
        <w:tc>
          <w:tcPr>
            <w:tcW w:w="0" w:type="dxa"/>
            <w:vAlign w:val="bottom"/>
          </w:tcPr>
          <w:p>
            <w:pPr>
              <w:spacing w:after="0"/>
              <w:rPr>
                <w:sz w:val="1"/>
                <w:szCs w:val="1"/>
                <w:color w:val="auto"/>
              </w:rPr>
            </w:pPr>
          </w:p>
        </w:tc>
      </w:tr>
      <w:tr>
        <w:trPr>
          <w:trHeight w:val="102"/>
        </w:trPr>
        <w:tc>
          <w:tcPr>
            <w:tcW w:w="110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w w:val="97"/>
              </w:rPr>
              <w:t>Previously</w:t>
            </w:r>
          </w:p>
        </w:tc>
        <w:tc>
          <w:tcPr>
            <w:tcW w:w="0" w:type="dxa"/>
            <w:vAlign w:val="bottom"/>
          </w:tcPr>
          <w:p>
            <w:pPr>
              <w:spacing w:after="0"/>
              <w:rPr>
                <w:sz w:val="1"/>
                <w:szCs w:val="1"/>
                <w:color w:val="auto"/>
              </w:rPr>
            </w:pPr>
          </w:p>
        </w:tc>
      </w:tr>
      <w:tr>
        <w:trPr>
          <w:trHeight w:val="100"/>
        </w:trPr>
        <w:tc>
          <w:tcPr>
            <w:tcW w:w="110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5"/>
              </w:rPr>
              <w:t>Paid In</w:t>
            </w:r>
          </w:p>
        </w:tc>
        <w:tc>
          <w:tcPr>
            <w:tcW w:w="0" w:type="dxa"/>
            <w:vAlign w:val="bottom"/>
          </w:tcPr>
          <w:p>
            <w:pPr>
              <w:spacing w:after="0"/>
              <w:rPr>
                <w:sz w:val="1"/>
                <w:szCs w:val="1"/>
                <w:color w:val="auto"/>
              </w:rPr>
            </w:pPr>
          </w:p>
        </w:tc>
      </w:tr>
      <w:tr>
        <w:trPr>
          <w:trHeight w:val="94"/>
        </w:trPr>
        <w:tc>
          <w:tcPr>
            <w:tcW w:w="110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Fee</w:t>
            </w:r>
          </w:p>
        </w:tc>
        <w:tc>
          <w:tcPr>
            <w:tcW w:w="10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Proposed</w:t>
            </w: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Carry</w:t>
            </w:r>
          </w:p>
        </w:tc>
        <w:tc>
          <w:tcPr>
            <w:tcW w:w="8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w w:val="99"/>
              </w:rPr>
              <w:t>Connection with</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w w:val="99"/>
              </w:rPr>
              <w:t>Unsold</w:t>
            </w: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Calculation</w:t>
            </w:r>
          </w:p>
        </w:tc>
        <w:tc>
          <w:tcPr>
            <w:tcW w:w="10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ind w:left="80"/>
              <w:spacing w:after="0" w:line="108" w:lineRule="exact"/>
              <w:rPr>
                <w:sz w:val="20"/>
                <w:szCs w:val="20"/>
                <w:color w:val="auto"/>
              </w:rPr>
            </w:pPr>
            <w:r>
              <w:rPr>
                <w:rFonts w:ascii="Times New Roman" w:cs="Times New Roman" w:eastAsia="Times New Roman" w:hAnsi="Times New Roman"/>
                <w:sz w:val="10"/>
                <w:szCs w:val="10"/>
                <w:b w:val="1"/>
                <w:bCs w:val="1"/>
                <w:color w:val="auto"/>
              </w:rPr>
              <w:t>Maximum</w:t>
            </w:r>
          </w:p>
        </w:tc>
        <w:tc>
          <w:tcPr>
            <w:tcW w:w="132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right w:val="single" w:sz="8" w:color="auto"/>
            </w:tcBorders>
            <w:vMerge w:val="restart"/>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600" w:type="dxa"/>
            <w:vAlign w:val="bottom"/>
            <w:tcBorders>
              <w:right w:val="single" w:sz="8" w:color="auto"/>
            </w:tcBorders>
          </w:tcPr>
          <w:p>
            <w:pPr>
              <w:jc w:val="center"/>
              <w:ind w:right="11"/>
              <w:spacing w:after="0" w:line="108" w:lineRule="exact"/>
              <w:rPr>
                <w:sz w:val="20"/>
                <w:szCs w:val="20"/>
                <w:color w:val="auto"/>
              </w:rPr>
            </w:pPr>
            <w:r>
              <w:rPr>
                <w:rFonts w:ascii="Times New Roman" w:cs="Times New Roman" w:eastAsia="Times New Roman" w:hAnsi="Times New Roman"/>
                <w:sz w:val="10"/>
                <w:szCs w:val="10"/>
                <w:b w:val="1"/>
                <w:bCs w:val="1"/>
                <w:color w:val="auto"/>
                <w:w w:val="99"/>
              </w:rPr>
              <w:t>Carry</w:t>
            </w:r>
          </w:p>
        </w:tc>
        <w:tc>
          <w:tcPr>
            <w:tcW w:w="560" w:type="dxa"/>
            <w:vAlign w:val="bottom"/>
            <w:tcBorders>
              <w:right w:val="single" w:sz="8" w:color="auto"/>
            </w:tcBorders>
          </w:tcPr>
          <w:p>
            <w:pPr>
              <w:jc w:val="center"/>
              <w:ind w:right="11"/>
              <w:spacing w:after="0" w:line="108" w:lineRule="exact"/>
              <w:rPr>
                <w:sz w:val="20"/>
                <w:szCs w:val="20"/>
                <w:color w:val="auto"/>
              </w:rPr>
            </w:pPr>
            <w:r>
              <w:rPr>
                <w:rFonts w:ascii="Times New Roman" w:cs="Times New Roman" w:eastAsia="Times New Roman" w:hAnsi="Times New Roman"/>
                <w:sz w:val="10"/>
                <w:szCs w:val="10"/>
                <w:b w:val="1"/>
                <w:bCs w:val="1"/>
                <w:color w:val="auto"/>
                <w:w w:val="99"/>
              </w:rPr>
              <w:t>Carry</w:t>
            </w:r>
          </w:p>
        </w:tc>
        <w:tc>
          <w:tcPr>
            <w:tcW w:w="700" w:type="dxa"/>
            <w:vAlign w:val="bottom"/>
            <w:tcBorders>
              <w:right w:val="single" w:sz="8" w:color="auto"/>
            </w:tcBorders>
          </w:tcPr>
          <w:p>
            <w:pPr>
              <w:ind w:left="80"/>
              <w:spacing w:after="0" w:line="108" w:lineRule="exact"/>
              <w:rPr>
                <w:sz w:val="20"/>
                <w:szCs w:val="20"/>
                <w:color w:val="auto"/>
              </w:rPr>
            </w:pPr>
            <w:r>
              <w:rPr>
                <w:rFonts w:ascii="Times New Roman" w:cs="Times New Roman" w:eastAsia="Times New Roman" w:hAnsi="Times New Roman"/>
                <w:sz w:val="10"/>
                <w:szCs w:val="10"/>
                <w:b w:val="1"/>
                <w:bCs w:val="1"/>
                <w:color w:val="auto"/>
              </w:rPr>
              <w:t>Forward</w:t>
            </w:r>
          </w:p>
        </w:tc>
        <w:tc>
          <w:tcPr>
            <w:tcW w:w="88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Security</w:t>
            </w:r>
          </w:p>
        </w:tc>
        <w:tc>
          <w:tcPr>
            <w:tcW w:w="122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w w:val="99"/>
              </w:rPr>
              <w:t>or Carry</w:t>
            </w:r>
          </w:p>
        </w:tc>
        <w:tc>
          <w:tcPr>
            <w:tcW w:w="1040" w:type="dxa"/>
            <w:vAlign w:val="bottom"/>
            <w:tcBorders>
              <w:right w:val="single" w:sz="8" w:color="auto"/>
            </w:tcBorders>
            <w:vMerge w:val="restart"/>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0" w:type="dxa"/>
            <w:vAlign w:val="bottom"/>
            <w:tcBorders>
              <w:right w:val="single" w:sz="8" w:color="auto"/>
            </w:tcBorders>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Maximum Aggregate</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Fee</w:t>
            </w:r>
          </w:p>
        </w:tc>
        <w:tc>
          <w:tcPr>
            <w:tcW w:w="80" w:type="dxa"/>
            <w:vAlign w:val="bottom"/>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Forward</w:t>
            </w:r>
          </w:p>
        </w:tc>
        <w:tc>
          <w:tcPr>
            <w:tcW w:w="56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Forward</w:t>
            </w:r>
          </w:p>
        </w:tc>
        <w:tc>
          <w:tcPr>
            <w:tcW w:w="700" w:type="dxa"/>
            <w:vAlign w:val="bottom"/>
            <w:tcBorders>
              <w:right w:val="single" w:sz="8" w:color="auto"/>
            </w:tcBorders>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Initial</w:t>
            </w:r>
          </w:p>
        </w:tc>
        <w:tc>
          <w:tcPr>
            <w:tcW w:w="8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to be</w:t>
            </w:r>
          </w:p>
        </w:tc>
        <w:tc>
          <w:tcPr>
            <w:tcW w:w="0" w:type="dxa"/>
            <w:vAlign w:val="bottom"/>
          </w:tcPr>
          <w:p>
            <w:pPr>
              <w:spacing w:after="0"/>
              <w:rPr>
                <w:sz w:val="1"/>
                <w:szCs w:val="1"/>
                <w:color w:val="auto"/>
              </w:rPr>
            </w:pPr>
          </w:p>
        </w:tc>
      </w:tr>
      <w:tr>
        <w:trPr>
          <w:trHeight w:val="101"/>
        </w:trPr>
        <w:tc>
          <w:tcPr>
            <w:tcW w:w="1100" w:type="dxa"/>
            <w:vAlign w:val="bottom"/>
            <w:tcBorders>
              <w:left w:val="single" w:sz="8" w:color="auto"/>
              <w:right w:val="single" w:sz="8" w:color="auto"/>
            </w:tcBorders>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Security Class Title</w:t>
            </w:r>
          </w:p>
        </w:tc>
        <w:tc>
          <w:tcPr>
            <w:tcW w:w="7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Forward</w:t>
            </w:r>
          </w:p>
        </w:tc>
        <w:tc>
          <w:tcPr>
            <w:tcW w:w="104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ind w:left="80"/>
              <w:spacing w:after="0" w:line="101" w:lineRule="exact"/>
              <w:rPr>
                <w:sz w:val="20"/>
                <w:szCs w:val="20"/>
                <w:color w:val="auto"/>
              </w:rPr>
            </w:pPr>
            <w:r>
              <w:rPr>
                <w:rFonts w:ascii="Times New Roman" w:cs="Times New Roman" w:eastAsia="Times New Roman" w:hAnsi="Times New Roman"/>
                <w:sz w:val="10"/>
                <w:szCs w:val="10"/>
                <w:b w:val="1"/>
                <w:bCs w:val="1"/>
                <w:color w:val="auto"/>
              </w:rPr>
              <w:t>Price Per</w:t>
            </w:r>
          </w:p>
        </w:tc>
        <w:tc>
          <w:tcPr>
            <w:tcW w:w="132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right w:val="single" w:sz="8" w:color="auto"/>
            </w:tcBorders>
          </w:tcPr>
          <w:p>
            <w:pPr>
              <w:jc w:val="center"/>
              <w:ind w:right="64"/>
              <w:spacing w:after="0" w:line="101" w:lineRule="exact"/>
              <w:rPr>
                <w:sz w:val="20"/>
                <w:szCs w:val="20"/>
                <w:color w:val="auto"/>
              </w:rPr>
            </w:pPr>
            <w:r>
              <w:rPr>
                <w:rFonts w:ascii="Times New Roman" w:cs="Times New Roman" w:eastAsia="Times New Roman" w:hAnsi="Times New Roman"/>
                <w:sz w:val="10"/>
                <w:szCs w:val="10"/>
                <w:b w:val="1"/>
                <w:bCs w:val="1"/>
                <w:color w:val="auto"/>
                <w:w w:val="98"/>
              </w:rPr>
              <w:t>Registration</w:t>
            </w:r>
          </w:p>
        </w:tc>
        <w:tc>
          <w:tcPr>
            <w:tcW w:w="60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1"/>
              </w:rPr>
              <w:t>Form</w:t>
            </w:r>
          </w:p>
        </w:tc>
        <w:tc>
          <w:tcPr>
            <w:tcW w:w="56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9"/>
              </w:rPr>
              <w:t>File</w:t>
            </w:r>
          </w:p>
        </w:tc>
        <w:tc>
          <w:tcPr>
            <w:tcW w:w="700" w:type="dxa"/>
            <w:vAlign w:val="bottom"/>
            <w:tcBorders>
              <w:right w:val="single" w:sz="8" w:color="auto"/>
            </w:tcBorders>
          </w:tcPr>
          <w:p>
            <w:pPr>
              <w:ind w:left="80"/>
              <w:spacing w:after="0" w:line="101" w:lineRule="exact"/>
              <w:rPr>
                <w:sz w:val="20"/>
                <w:szCs w:val="20"/>
                <w:color w:val="auto"/>
              </w:rPr>
            </w:pPr>
            <w:r>
              <w:rPr>
                <w:rFonts w:ascii="Times New Roman" w:cs="Times New Roman" w:eastAsia="Times New Roman" w:hAnsi="Times New Roman"/>
                <w:sz w:val="10"/>
                <w:szCs w:val="10"/>
                <w:b w:val="1"/>
                <w:bCs w:val="1"/>
                <w:color w:val="auto"/>
              </w:rPr>
              <w:t>Effective</w:t>
            </w:r>
          </w:p>
        </w:tc>
        <w:tc>
          <w:tcPr>
            <w:tcW w:w="8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rPr>
              <w:t>Carried</w:t>
            </w:r>
          </w:p>
        </w:tc>
        <w:tc>
          <w:tcPr>
            <w:tcW w:w="0" w:type="dxa"/>
            <w:vAlign w:val="bottom"/>
          </w:tcPr>
          <w:p>
            <w:pPr>
              <w:spacing w:after="0"/>
              <w:rPr>
                <w:sz w:val="1"/>
                <w:szCs w:val="1"/>
                <w:color w:val="auto"/>
              </w:rPr>
            </w:pPr>
          </w:p>
        </w:tc>
      </w:tr>
      <w:tr>
        <w:trPr>
          <w:trHeight w:val="137"/>
        </w:trPr>
        <w:tc>
          <w:tcPr>
            <w:tcW w:w="1100" w:type="dxa"/>
            <w:vAlign w:val="bottom"/>
            <w:tcBorders>
              <w:left w:val="single" w:sz="8" w:color="auto"/>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2"/>
              </w:rPr>
              <w:t>Type</w:t>
            </w:r>
          </w:p>
        </w:tc>
        <w:tc>
          <w:tcPr>
            <w:tcW w:w="1220" w:type="dxa"/>
            <w:vAlign w:val="bottom"/>
            <w:tcBorders>
              <w:bottom w:val="single" w:sz="8" w:color="auto"/>
              <w:right w:val="single" w:sz="8" w:color="auto"/>
            </w:tcBorders>
            <w:vMerge w:val="continue"/>
          </w:tcPr>
          <w:p>
            <w:pPr>
              <w:spacing w:after="0"/>
              <w:rPr>
                <w:sz w:val="11"/>
                <w:szCs w:val="11"/>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Rule</w:t>
            </w:r>
          </w:p>
        </w:tc>
        <w:tc>
          <w:tcPr>
            <w:tcW w:w="1040" w:type="dxa"/>
            <w:vAlign w:val="bottom"/>
            <w:tcBorders>
              <w:bottom w:val="single" w:sz="8" w:color="auto"/>
              <w:right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Registered</w:t>
            </w:r>
          </w:p>
        </w:tc>
        <w:tc>
          <w:tcPr>
            <w:tcW w:w="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Unit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Offering Price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Rate</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3"/>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Type</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Time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Forward</w:t>
            </w:r>
          </w:p>
        </w:tc>
        <w:tc>
          <w:tcPr>
            <w:tcW w:w="0" w:type="dxa"/>
            <w:vAlign w:val="bottom"/>
          </w:tcPr>
          <w:p>
            <w:pPr>
              <w:spacing w:after="0"/>
              <w:rPr>
                <w:sz w:val="1"/>
                <w:szCs w:val="1"/>
                <w:color w:val="auto"/>
              </w:rPr>
            </w:pPr>
          </w:p>
        </w:tc>
      </w:tr>
      <w:tr>
        <w:trPr>
          <w:trHeight w:val="172"/>
        </w:trPr>
        <w:tc>
          <w:tcPr>
            <w:tcW w:w="1100" w:type="dxa"/>
            <w:vAlign w:val="bottom"/>
            <w:tcBorders>
              <w:lef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w w:val="99"/>
              </w:rPr>
              <w:t>Newly Registered Securities</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4"/>
              </w:rPr>
              <w:t>Fees to Be</w:t>
            </w:r>
          </w:p>
        </w:tc>
        <w:tc>
          <w:tcPr>
            <w:tcW w:w="5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Class A common</w:t>
            </w:r>
          </w:p>
        </w:tc>
        <w:tc>
          <w:tcPr>
            <w:tcW w:w="7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7"/>
              </w:rPr>
              <w:t>$92.70 per</w:t>
            </w:r>
          </w:p>
        </w:tc>
        <w:tc>
          <w:tcPr>
            <w:tcW w:w="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Paid</w:t>
            </w:r>
          </w:p>
        </w:tc>
        <w:tc>
          <w:tcPr>
            <w:tcW w:w="5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457(f)</w:t>
            </w:r>
          </w:p>
        </w:tc>
        <w:tc>
          <w:tcPr>
            <w:tcW w:w="1040" w:type="dxa"/>
            <w:vAlign w:val="bottom"/>
            <w:tcBorders>
              <w:right w:val="single" w:sz="8" w:color="auto"/>
            </w:tcBorders>
            <w:vMerge w:val="restart"/>
          </w:tcPr>
          <w:p>
            <w:pPr>
              <w:jc w:val="center"/>
              <w:ind w:right="122"/>
              <w:spacing w:after="0"/>
              <w:rPr>
                <w:sz w:val="20"/>
                <w:szCs w:val="20"/>
                <w:color w:val="auto"/>
              </w:rPr>
            </w:pPr>
            <w:r>
              <w:rPr>
                <w:rFonts w:ascii="Times New Roman" w:cs="Times New Roman" w:eastAsia="Times New Roman" w:hAnsi="Times New Roman"/>
                <w:sz w:val="13"/>
                <w:szCs w:val="13"/>
                <w:color w:val="auto"/>
              </w:rPr>
              <w:t>1,573,995</w:t>
            </w:r>
            <w:r>
              <w:rPr>
                <w:rFonts w:ascii="Times New Roman" w:cs="Times New Roman" w:eastAsia="Times New Roman" w:hAnsi="Times New Roman"/>
                <w:sz w:val="16"/>
                <w:szCs w:val="16"/>
                <w:color w:val="auto"/>
                <w:vertAlign w:val="superscript"/>
              </w:rPr>
              <w:t>(1)(2)</w:t>
            </w:r>
          </w:p>
        </w:tc>
        <w:tc>
          <w:tcPr>
            <w:tcW w:w="8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N/A</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3"/>
              </w:rPr>
              <w:t>$5,115,483.75</w:t>
            </w:r>
            <w:r>
              <w:rPr>
                <w:rFonts w:ascii="Times New Roman" w:cs="Times New Roman" w:eastAsia="Times New Roman" w:hAnsi="Times New Roman"/>
                <w:sz w:val="16"/>
                <w:szCs w:val="16"/>
                <w:color w:val="auto"/>
                <w:w w:val="93"/>
                <w:vertAlign w:val="superscript"/>
              </w:rPr>
              <w:t>(3)</w:t>
            </w:r>
          </w:p>
        </w:tc>
        <w:tc>
          <w:tcPr>
            <w:tcW w:w="880" w:type="dxa"/>
            <w:vAlign w:val="bottom"/>
            <w:tcBorders>
              <w:right w:val="single" w:sz="8" w:color="auto"/>
            </w:tcBorders>
            <w:vMerge w:val="restart"/>
          </w:tcPr>
          <w:p>
            <w:pPr>
              <w:jc w:val="right"/>
              <w:ind w:right="122"/>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44"/>
              <w:spacing w:after="0"/>
              <w:rPr>
                <w:sz w:val="20"/>
                <w:szCs w:val="20"/>
                <w:color w:val="auto"/>
              </w:rPr>
            </w:pPr>
            <w:r>
              <w:rPr>
                <w:rFonts w:ascii="Times New Roman" w:cs="Times New Roman" w:eastAsia="Times New Roman" w:hAnsi="Times New Roman"/>
                <w:sz w:val="13"/>
                <w:szCs w:val="13"/>
                <w:color w:val="auto"/>
                <w:w w:val="99"/>
              </w:rPr>
              <w:t>$474.21</w:t>
            </w:r>
          </w:p>
        </w:tc>
        <w:tc>
          <w:tcPr>
            <w:tcW w:w="600" w:type="dxa"/>
            <w:vAlign w:val="bottom"/>
            <w:tcBorders>
              <w:right w:val="single" w:sz="8" w:color="auto"/>
            </w:tcBorders>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100" w:type="dxa"/>
            <w:vAlign w:val="bottom"/>
            <w:tcBorders>
              <w:left w:val="single" w:sz="8" w:color="auto"/>
              <w:right w:val="single" w:sz="8" w:color="auto"/>
            </w:tcBorders>
            <w:vMerge w:val="continue"/>
          </w:tcPr>
          <w:p>
            <w:pPr>
              <w:spacing w:after="0"/>
              <w:rPr>
                <w:sz w:val="5"/>
                <w:szCs w:val="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Equity</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stock</w:t>
            </w:r>
          </w:p>
        </w:tc>
        <w:tc>
          <w:tcPr>
            <w:tcW w:w="78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100" w:type="dxa"/>
            <w:vAlign w:val="bottom"/>
            <w:tcBorders>
              <w:left w:val="single" w:sz="8" w:color="auto"/>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vMerge w:val="continue"/>
          </w:tcPr>
          <w:p>
            <w:pPr>
              <w:spacing w:after="0"/>
              <w:rPr>
                <w:sz w:val="10"/>
                <w:szCs w:val="10"/>
                <w:color w:val="auto"/>
              </w:rPr>
            </w:pPr>
          </w:p>
        </w:tc>
        <w:tc>
          <w:tcPr>
            <w:tcW w:w="78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right w:val="single" w:sz="8" w:color="auto"/>
            </w:tcBorders>
            <w:vMerge w:val="continue"/>
          </w:tcPr>
          <w:p>
            <w:pPr>
              <w:spacing w:after="0"/>
              <w:rPr>
                <w:sz w:val="10"/>
                <w:szCs w:val="10"/>
                <w:color w:val="auto"/>
              </w:rPr>
            </w:pPr>
          </w:p>
        </w:tc>
        <w:tc>
          <w:tcPr>
            <w:tcW w:w="80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4"/>
              </w:rPr>
              <w:t>Warrants to</w:t>
            </w:r>
          </w:p>
        </w:tc>
        <w:tc>
          <w:tcPr>
            <w:tcW w:w="7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purchase Class A</w:t>
            </w:r>
          </w:p>
        </w:tc>
        <w:tc>
          <w:tcPr>
            <w:tcW w:w="7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right w:val="single" w:sz="8" w:color="auto"/>
            </w:tcBorders>
          </w:tcPr>
          <w:p>
            <w:pPr>
              <w:spacing w:after="0"/>
              <w:rPr>
                <w:sz w:val="14"/>
                <w:szCs w:val="14"/>
                <w:color w:val="auto"/>
              </w:rPr>
            </w:pPr>
          </w:p>
        </w:tc>
        <w:tc>
          <w:tcPr>
            <w:tcW w:w="540" w:type="dxa"/>
            <w:vAlign w:val="bottom"/>
            <w:tcBorders>
              <w:right w:val="single" w:sz="8" w:color="auto"/>
            </w:tcBorders>
            <w:vMerge w:val="restart"/>
          </w:tcPr>
          <w:p>
            <w:pPr>
              <w:jc w:val="center"/>
              <w:ind w:right="4"/>
              <w:spacing w:after="0"/>
              <w:rPr>
                <w:sz w:val="20"/>
                <w:szCs w:val="20"/>
                <w:color w:val="auto"/>
              </w:rPr>
            </w:pPr>
            <w:r>
              <w:rPr>
                <w:rFonts w:ascii="Times New Roman" w:cs="Times New Roman" w:eastAsia="Times New Roman" w:hAnsi="Times New Roman"/>
                <w:sz w:val="13"/>
                <w:szCs w:val="13"/>
                <w:color w:val="auto"/>
                <w:w w:val="94"/>
              </w:rPr>
              <w:t>Other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w:t>
            </w:r>
          </w:p>
        </w:tc>
        <w:tc>
          <w:tcPr>
            <w:tcW w:w="78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right w:val="single" w:sz="8" w:color="auto"/>
            </w:tcBorders>
            <w:vMerge w:val="restart"/>
          </w:tcPr>
          <w:p>
            <w:pPr>
              <w:jc w:val="center"/>
              <w:ind w:right="162"/>
              <w:spacing w:after="0"/>
              <w:rPr>
                <w:sz w:val="20"/>
                <w:szCs w:val="20"/>
                <w:color w:val="auto"/>
              </w:rPr>
            </w:pPr>
            <w:r>
              <w:rPr>
                <w:rFonts w:ascii="Times New Roman" w:cs="Times New Roman" w:eastAsia="Times New Roman" w:hAnsi="Times New Roman"/>
                <w:sz w:val="13"/>
                <w:szCs w:val="13"/>
                <w:color w:val="auto"/>
              </w:rPr>
              <w:t>7,869,975</w:t>
            </w:r>
            <w:r>
              <w:rPr>
                <w:rFonts w:ascii="Times New Roman" w:cs="Times New Roman" w:eastAsia="Times New Roman" w:hAnsi="Times New Roman"/>
                <w:sz w:val="16"/>
                <w:szCs w:val="16"/>
                <w:color w:val="auto"/>
                <w:vertAlign w:val="superscript"/>
              </w:rPr>
              <w:t>(4)</w:t>
            </w:r>
          </w:p>
        </w:tc>
        <w:tc>
          <w:tcPr>
            <w:tcW w:w="800" w:type="dxa"/>
            <w:vAlign w:val="bottom"/>
            <w:tcBorders>
              <w:right w:val="single" w:sz="8" w:color="auto"/>
            </w:tcBorders>
            <w:vMerge w:val="restart"/>
          </w:tcPr>
          <w:p>
            <w:pPr>
              <w:ind w:left="640"/>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760" w:type="dxa"/>
            <w:vAlign w:val="bottom"/>
            <w:tcBorders>
              <w:right w:val="single" w:sz="8" w:color="auto"/>
            </w:tcBorders>
            <w:vMerge w:val="restart"/>
          </w:tcPr>
          <w:p>
            <w:pPr>
              <w:jc w:val="center"/>
              <w:ind w:right="64"/>
              <w:spacing w:after="0"/>
              <w:rPr>
                <w:sz w:val="20"/>
                <w:szCs w:val="20"/>
                <w:color w:val="auto"/>
              </w:rPr>
            </w:pPr>
            <w:r>
              <w:rPr>
                <w:rFonts w:ascii="Times New Roman" w:cs="Times New Roman" w:eastAsia="Times New Roman" w:hAnsi="Times New Roman"/>
                <w:sz w:val="25"/>
                <w:szCs w:val="25"/>
                <w:color w:val="auto"/>
                <w:w w:val="85"/>
                <w:vertAlign w:val="subscript"/>
              </w:rPr>
              <w:t>—</w:t>
            </w:r>
            <w:r>
              <w:rPr>
                <w:rFonts w:ascii="Times New Roman" w:cs="Times New Roman" w:eastAsia="Times New Roman" w:hAnsi="Times New Roman"/>
                <w:sz w:val="8"/>
                <w:szCs w:val="8"/>
                <w:color w:val="auto"/>
                <w:w w:val="85"/>
              </w:rPr>
              <w:t xml:space="preserve"> (5)</w:t>
            </w:r>
          </w:p>
        </w:tc>
        <w:tc>
          <w:tcPr>
            <w:tcW w:w="60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00" w:type="dxa"/>
            <w:vAlign w:val="bottom"/>
            <w:tcBorders>
              <w:left w:val="single" w:sz="8" w:color="auto"/>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vMerge w:val="continue"/>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1320" w:type="dxa"/>
            <w:vAlign w:val="bottom"/>
            <w:tcBorders>
              <w:bottom w:val="single" w:sz="8" w:color="auto"/>
              <w:right w:val="single" w:sz="8" w:color="auto"/>
            </w:tcBorders>
            <w:vMerge w:val="continue"/>
          </w:tcPr>
          <w:p>
            <w:pPr>
              <w:spacing w:after="0"/>
              <w:rPr>
                <w:sz w:val="14"/>
                <w:szCs w:val="14"/>
                <w:color w:val="auto"/>
              </w:rPr>
            </w:pPr>
          </w:p>
        </w:tc>
        <w:tc>
          <w:tcPr>
            <w:tcW w:w="88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vMerge w:val="continue"/>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Fees</w:t>
            </w:r>
          </w:p>
        </w:tc>
        <w:tc>
          <w:tcPr>
            <w:tcW w:w="5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Previously</w:t>
            </w:r>
          </w:p>
        </w:tc>
        <w:tc>
          <w:tcPr>
            <w:tcW w:w="5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Paid</w:t>
            </w:r>
          </w:p>
        </w:tc>
        <w:tc>
          <w:tcPr>
            <w:tcW w:w="54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Carry Forward Securities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00" w:type="dxa"/>
            <w:vAlign w:val="bottom"/>
            <w:tcBorders>
              <w:left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9"/>
              </w:rPr>
              <w:t>Forward</w:t>
            </w:r>
          </w:p>
        </w:tc>
        <w:tc>
          <w:tcPr>
            <w:tcW w:w="5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Securities</w:t>
            </w:r>
          </w:p>
        </w:tc>
        <w:tc>
          <w:tcPr>
            <w:tcW w:w="54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Borders>
              <w:right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Total Offering Amounts</w:t>
            </w:r>
          </w:p>
        </w:tc>
        <w:tc>
          <w:tcPr>
            <w:tcW w:w="8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$5,115,483.75</w:t>
            </w: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color w:val="auto"/>
                <w:w w:val="99"/>
              </w:rPr>
              <w:t>$474.21</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100" w:type="dxa"/>
            <w:vAlign w:val="bottom"/>
            <w:tcBorders>
              <w:left w:val="single" w:sz="8" w:color="auto"/>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Borders>
              <w:right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Total Fees Previously Paid</w:t>
            </w:r>
          </w:p>
        </w:tc>
        <w:tc>
          <w:tcPr>
            <w:tcW w:w="8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10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Total Fee Offsets</w:t>
            </w:r>
          </w:p>
        </w:tc>
        <w:tc>
          <w:tcPr>
            <w:tcW w:w="8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100" w:type="dxa"/>
            <w:vAlign w:val="bottom"/>
            <w:tcBorders>
              <w:left w:val="single" w:sz="8" w:color="auto"/>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Net Fee Due</w:t>
            </w:r>
          </w:p>
        </w:tc>
        <w:tc>
          <w:tcPr>
            <w:tcW w:w="8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right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color w:val="auto"/>
                <w:w w:val="99"/>
              </w:rPr>
              <w:t>$474.21</w:t>
            </w:r>
          </w:p>
        </w:tc>
        <w:tc>
          <w:tcPr>
            <w:tcW w:w="60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110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20" w:hanging="332"/>
        <w:spacing w:after="0" w:line="262" w:lineRule="auto"/>
        <w:tabs>
          <w:tab w:leader="none" w:pos="32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maximum number of shares of Class A common stock, par value $0.0001 per share (the “Class A Common Stock”), of Perella Weinberg Partners (the “Company”) that may be issued directly to (i) holders of warrants, each whole warrant exercisable for one share of Class A Common Stock at an exercise price of $11.50 per share (the “Warrants”), who tender their Warrants pursuant to the Offer (as defined in the Prospectus/Offer to Exchange) and (ii) holders of Warrants who do not tender their Warrants pursuant to the Offer and who, pursuant to the Warrant Amendment (as defined in the Prospectus/Offer to Exchange), if approved, may receive shares of Class A Common Stock in the event the Company exercises its right to convert the Warrants into shares of Class A Common Stock.</w:t>
      </w:r>
    </w:p>
    <w:p>
      <w:pPr>
        <w:spacing w:after="0" w:line="80" w:lineRule="exact"/>
        <w:rPr>
          <w:rFonts w:ascii="Times New Roman" w:cs="Times New Roman" w:eastAsia="Times New Roman" w:hAnsi="Times New Roman"/>
          <w:sz w:val="14"/>
          <w:szCs w:val="14"/>
          <w:color w:val="auto"/>
        </w:rPr>
      </w:pPr>
    </w:p>
    <w:p>
      <w:pPr>
        <w:ind w:left="340" w:right="60" w:hanging="332"/>
        <w:spacing w:after="0" w:line="282" w:lineRule="auto"/>
        <w:tabs>
          <w:tab w:leader="none" w:pos="32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 under the Securities Act of 1933, as amended (the “Securities Act”), the Company is also registering an indeterminate number of additional shares of Class A Common Stock issuable by reason of any stock dividend, stock split, recapitalization or other similar transaction.</w:t>
      </w:r>
    </w:p>
    <w:p>
      <w:pPr>
        <w:spacing w:after="0" w:line="67" w:lineRule="exact"/>
        <w:rPr>
          <w:rFonts w:ascii="Times New Roman" w:cs="Times New Roman" w:eastAsia="Times New Roman" w:hAnsi="Times New Roman"/>
          <w:sz w:val="14"/>
          <w:szCs w:val="14"/>
          <w:color w:val="auto"/>
        </w:rPr>
      </w:pPr>
    </w:p>
    <w:p>
      <w:pPr>
        <w:ind w:left="340" w:right="40" w:hanging="332"/>
        <w:spacing w:after="0" w:line="275" w:lineRule="auto"/>
        <w:tabs>
          <w:tab w:leader="none" w:pos="32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maximum aggregate offering price assumes the acquisition of 7,869,975 Warrants in exchange for shares of Class A Common Stock. This maximum aggregate offering price, estimated solely for the purpose of calculating the registration fee pursuant to Rule 457(f) and Rule 457(c) under the Securities Act, is based on the product of (i) $0.65, the average of the high and low prices of the Warrants on July 18, 2022, as reported on the Nasdaq Global Select Market, and (ii) 7,869,975, the maximum number of Warrants to be acquired in the Offer based on the exchange ratio of 0.20 in effect following the close of trading on the Nasdaq Global Select Market on July 21, 2022, the last trading day prior to commencement of the Offer.</w:t>
      </w:r>
    </w:p>
    <w:p>
      <w:pPr>
        <w:spacing w:after="0" w:line="5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maximum number of Warrants that may be amended pursuant to the Warrant Amendment.</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additional registration fee is payable pursuant to Rule 457(g) under the Securities Act.</w:t>
      </w:r>
    </w:p>
    <w:p>
      <w:pPr>
        <w:sectPr>
          <w:pgSz w:w="11900" w:h="16838" w:orient="portrait"/>
          <w:cols w:equalWidth="0" w:num="1">
            <w:col w:w="11260"/>
          </w:cols>
          <w:pgMar w:left="320" w:top="104" w:right="319" w:bottom="1440" w:gutter="0" w:footer="0" w:header="0"/>
        </w:sectPr>
      </w:pPr>
    </w:p>
    <w:bookmarkStart w:id="76" w:name="page77"/>
    <w:bookmarkEnd w:id="76"/>
    <w:p>
      <w:pPr>
        <w:ind w:left="10400"/>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left="460"/>
        <w:spacing w:after="0"/>
        <w:rPr>
          <w:sz w:val="20"/>
          <w:szCs w:val="20"/>
          <w:color w:val="auto"/>
        </w:rPr>
      </w:pPr>
      <w:r>
        <w:rPr>
          <w:rFonts w:ascii="Arial" w:cs="Arial" w:eastAsia="Arial" w:hAnsi="Arial"/>
          <w:sz w:val="31"/>
          <w:szCs w:val="31"/>
          <w:color w:val="auto"/>
        </w:rPr>
        <w:t>S</w:t>
      </w:r>
      <w:r>
        <w:rPr>
          <w:rFonts w:ascii="Arial" w:cs="Arial" w:eastAsia="Arial" w:hAnsi="Arial"/>
          <w:sz w:val="21"/>
          <w:szCs w:val="21"/>
          <w:color w:val="auto"/>
        </w:rPr>
        <w:t>KADDEN</w:t>
      </w:r>
      <w:r>
        <w:rPr>
          <w:rFonts w:ascii="Arial" w:cs="Arial" w:eastAsia="Arial" w:hAnsi="Arial"/>
          <w:sz w:val="31"/>
          <w:szCs w:val="31"/>
          <w:color w:val="auto"/>
        </w:rPr>
        <w:t>, A</w:t>
      </w:r>
      <w:r>
        <w:rPr>
          <w:rFonts w:ascii="Arial" w:cs="Arial" w:eastAsia="Arial" w:hAnsi="Arial"/>
          <w:sz w:val="21"/>
          <w:szCs w:val="21"/>
          <w:color w:val="auto"/>
        </w:rPr>
        <w:t>RPS</w:t>
      </w:r>
      <w:r>
        <w:rPr>
          <w:rFonts w:ascii="Arial" w:cs="Arial" w:eastAsia="Arial" w:hAnsi="Arial"/>
          <w:sz w:val="31"/>
          <w:szCs w:val="31"/>
          <w:color w:val="auto"/>
        </w:rPr>
        <w:t>, S</w:t>
      </w:r>
      <w:r>
        <w:rPr>
          <w:rFonts w:ascii="Arial" w:cs="Arial" w:eastAsia="Arial" w:hAnsi="Arial"/>
          <w:sz w:val="21"/>
          <w:szCs w:val="21"/>
          <w:color w:val="auto"/>
        </w:rPr>
        <w:t>LATE</w:t>
      </w:r>
      <w:r>
        <w:rPr>
          <w:rFonts w:ascii="Arial" w:cs="Arial" w:eastAsia="Arial" w:hAnsi="Arial"/>
          <w:sz w:val="31"/>
          <w:szCs w:val="31"/>
          <w:color w:val="auto"/>
        </w:rPr>
        <w:t>, M</w:t>
      </w:r>
      <w:r>
        <w:rPr>
          <w:rFonts w:ascii="Arial" w:cs="Arial" w:eastAsia="Arial" w:hAnsi="Arial"/>
          <w:sz w:val="21"/>
          <w:szCs w:val="21"/>
          <w:color w:val="auto"/>
        </w:rPr>
        <w:t>EAGHER</w:t>
      </w:r>
      <w:r>
        <w:rPr>
          <w:rFonts w:ascii="Arial" w:cs="Arial" w:eastAsia="Arial" w:hAnsi="Arial"/>
          <w:sz w:val="31"/>
          <w:szCs w:val="31"/>
          <w:color w:val="auto"/>
        </w:rPr>
        <w:t xml:space="preserve"> &amp; F</w:t>
      </w:r>
      <w:r>
        <w:rPr>
          <w:rFonts w:ascii="Arial" w:cs="Arial" w:eastAsia="Arial" w:hAnsi="Arial"/>
          <w:sz w:val="21"/>
          <w:szCs w:val="21"/>
          <w:color w:val="auto"/>
        </w:rPr>
        <w:t>LOM LLP</w:t>
      </w:r>
    </w:p>
    <w:p>
      <w:pPr>
        <w:spacing w:after="0" w:line="72"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ONE MANHATTAN WEST</w:t>
      </w:r>
    </w:p>
    <w:p>
      <w:pPr>
        <w:spacing w:after="0" w:line="89" w:lineRule="exact"/>
        <w:rPr>
          <w:sz w:val="20"/>
          <w:szCs w:val="20"/>
          <w:color w:val="auto"/>
        </w:rPr>
      </w:pPr>
    </w:p>
    <w:p>
      <w:pPr>
        <w:jc w:val="center"/>
        <w:ind w:left="460"/>
        <w:spacing w:after="0"/>
        <w:rPr>
          <w:sz w:val="20"/>
          <w:szCs w:val="20"/>
          <w:color w:val="auto"/>
        </w:rPr>
      </w:pPr>
      <w:r>
        <w:rPr>
          <w:rFonts w:ascii="Arial" w:cs="Arial" w:eastAsia="Arial" w:hAnsi="Arial"/>
          <w:sz w:val="20"/>
          <w:szCs w:val="20"/>
          <w:color w:val="auto"/>
        </w:rPr>
        <w:t>NEW YORK, NY 10001</w:t>
      </w:r>
    </w:p>
    <w:p>
      <w:pPr>
        <w:spacing w:after="0" w:line="31" w:lineRule="exact"/>
        <w:rPr>
          <w:sz w:val="20"/>
          <w:szCs w:val="20"/>
          <w:color w:val="auto"/>
        </w:rPr>
      </w:pPr>
    </w:p>
    <w:p>
      <w:pPr>
        <w:ind w:left="4480"/>
        <w:spacing w:after="0"/>
        <w:rPr>
          <w:sz w:val="20"/>
          <w:szCs w:val="20"/>
          <w:color w:val="auto"/>
        </w:rPr>
      </w:pPr>
      <w:r>
        <w:rPr>
          <w:rFonts w:ascii="Arial" w:cs="Arial" w:eastAsia="Arial" w:hAnsi="Arial"/>
          <w:sz w:val="7"/>
          <w:szCs w:val="7"/>
          <w:color w:val="auto"/>
        </w:rPr>
        <w:t>________</w:t>
      </w:r>
    </w:p>
    <w:p>
      <w:pPr>
        <w:spacing w:after="0" w:line="9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TEL: (212) 735-3000</w:t>
      </w:r>
    </w:p>
    <w:p>
      <w:pPr>
        <w:spacing w:after="0" w:line="4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FAX: (212) 735-2000</w:t>
      </w:r>
    </w:p>
    <w:p>
      <w:pPr>
        <w:spacing w:after="0" w:line="42"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22"/>
          <w:szCs w:val="22"/>
          <w:color w:val="auto"/>
        </w:rPr>
        <w:t>July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200" w:lineRule="exact"/>
        <w:rPr>
          <w:sz w:val="20"/>
          <w:szCs w:val="20"/>
          <w:color w:val="auto"/>
        </w:rPr>
      </w:pPr>
    </w:p>
    <w:p>
      <w:pPr>
        <w:spacing w:after="0" w:line="225"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Perella Weinberg Partners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80"/>
        <w:spacing w:after="0"/>
        <w:rPr>
          <w:sz w:val="20"/>
          <w:szCs w:val="20"/>
          <w:color w:val="auto"/>
        </w:rPr>
      </w:pPr>
      <w:r>
        <w:rPr>
          <w:rFonts w:ascii="Arial" w:cs="Arial" w:eastAsia="Arial" w:hAnsi="Arial"/>
          <w:sz w:val="11"/>
          <w:szCs w:val="11"/>
          <w:color w:val="auto"/>
        </w:rPr>
        <w:t>FIRM/AFFILIATE OFFICES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9"/>
          <w:szCs w:val="9"/>
          <w:color w:val="auto"/>
        </w:rPr>
        <w:t>-----------</w:t>
      </w:r>
    </w:p>
    <w:p>
      <w:pPr>
        <w:ind w:left="440"/>
        <w:spacing w:after="0"/>
        <w:rPr>
          <w:sz w:val="20"/>
          <w:szCs w:val="20"/>
          <w:color w:val="auto"/>
        </w:rPr>
      </w:pPr>
      <w:r>
        <w:rPr>
          <w:rFonts w:ascii="Arial" w:cs="Arial" w:eastAsia="Arial" w:hAnsi="Arial"/>
          <w:sz w:val="13"/>
          <w:szCs w:val="13"/>
          <w:color w:val="auto"/>
        </w:rPr>
        <w:t>BOSTON</w:t>
      </w:r>
    </w:p>
    <w:p>
      <w:pPr>
        <w:ind w:left="420"/>
        <w:spacing w:after="0" w:line="216" w:lineRule="auto"/>
        <w:rPr>
          <w:sz w:val="20"/>
          <w:szCs w:val="20"/>
          <w:color w:val="auto"/>
        </w:rPr>
      </w:pPr>
      <w:r>
        <w:rPr>
          <w:rFonts w:ascii="Arial" w:cs="Arial" w:eastAsia="Arial" w:hAnsi="Arial"/>
          <w:sz w:val="13"/>
          <w:szCs w:val="13"/>
          <w:color w:val="auto"/>
        </w:rPr>
        <w:t>CHICAGO</w:t>
      </w:r>
    </w:p>
    <w:p>
      <w:pPr>
        <w:ind w:left="400"/>
        <w:spacing w:after="0"/>
        <w:rPr>
          <w:sz w:val="20"/>
          <w:szCs w:val="20"/>
          <w:color w:val="auto"/>
        </w:rPr>
      </w:pPr>
      <w:r>
        <w:rPr>
          <w:rFonts w:ascii="Arial" w:cs="Arial" w:eastAsia="Arial" w:hAnsi="Arial"/>
          <w:sz w:val="13"/>
          <w:szCs w:val="13"/>
          <w:color w:val="auto"/>
        </w:rPr>
        <w:t>HOUSTON</w:t>
      </w:r>
    </w:p>
    <w:p>
      <w:pPr>
        <w:ind w:left="280"/>
        <w:spacing w:after="0" w:line="216" w:lineRule="auto"/>
        <w:rPr>
          <w:sz w:val="20"/>
          <w:szCs w:val="20"/>
          <w:color w:val="auto"/>
        </w:rPr>
      </w:pPr>
      <w:r>
        <w:rPr>
          <w:rFonts w:ascii="Arial" w:cs="Arial" w:eastAsia="Arial" w:hAnsi="Arial"/>
          <w:sz w:val="13"/>
          <w:szCs w:val="13"/>
          <w:color w:val="auto"/>
        </w:rPr>
        <w:t>LOS ANGELES</w:t>
      </w:r>
    </w:p>
    <w:p>
      <w:pPr>
        <w:ind w:left="380"/>
        <w:spacing w:after="0"/>
        <w:rPr>
          <w:sz w:val="20"/>
          <w:szCs w:val="20"/>
          <w:color w:val="auto"/>
        </w:rPr>
      </w:pPr>
      <w:r>
        <w:rPr>
          <w:rFonts w:ascii="Arial" w:cs="Arial" w:eastAsia="Arial" w:hAnsi="Arial"/>
          <w:sz w:val="13"/>
          <w:szCs w:val="13"/>
          <w:color w:val="auto"/>
        </w:rPr>
        <w:t>PALO ALTO</w:t>
      </w:r>
    </w:p>
    <w:p>
      <w:pPr>
        <w:ind w:left="120"/>
        <w:spacing w:after="0" w:line="216" w:lineRule="auto"/>
        <w:rPr>
          <w:sz w:val="20"/>
          <w:szCs w:val="20"/>
          <w:color w:val="auto"/>
        </w:rPr>
      </w:pPr>
      <w:r>
        <w:rPr>
          <w:rFonts w:ascii="Arial" w:cs="Arial" w:eastAsia="Arial" w:hAnsi="Arial"/>
          <w:sz w:val="13"/>
          <w:szCs w:val="13"/>
          <w:color w:val="auto"/>
        </w:rPr>
        <w:t>WASHINGTON, D.C.</w:t>
      </w:r>
    </w:p>
    <w:p>
      <w:pPr>
        <w:jc w:val="center"/>
        <w:ind w:right="280"/>
        <w:spacing w:after="0"/>
        <w:rPr>
          <w:sz w:val="20"/>
          <w:szCs w:val="20"/>
          <w:color w:val="auto"/>
        </w:rPr>
      </w:pPr>
      <w:r>
        <w:rPr>
          <w:rFonts w:ascii="Arial" w:cs="Arial" w:eastAsia="Arial" w:hAnsi="Arial"/>
          <w:sz w:val="13"/>
          <w:szCs w:val="13"/>
          <w:color w:val="auto"/>
        </w:rPr>
        <w:t>WILMINGTON</w:t>
      </w:r>
    </w:p>
    <w:p>
      <w:pPr>
        <w:ind w:left="560"/>
        <w:spacing w:after="0" w:line="216" w:lineRule="auto"/>
        <w:rPr>
          <w:sz w:val="20"/>
          <w:szCs w:val="20"/>
          <w:color w:val="auto"/>
        </w:rPr>
      </w:pPr>
      <w:r>
        <w:rPr>
          <w:rFonts w:ascii="Arial" w:cs="Arial" w:eastAsia="Arial" w:hAnsi="Arial"/>
          <w:sz w:val="9"/>
          <w:szCs w:val="9"/>
          <w:color w:val="auto"/>
        </w:rPr>
        <w:t>-----------</w:t>
      </w:r>
    </w:p>
    <w:p>
      <w:pPr>
        <w:ind w:left="460"/>
        <w:spacing w:after="0"/>
        <w:rPr>
          <w:sz w:val="20"/>
          <w:szCs w:val="20"/>
          <w:color w:val="auto"/>
        </w:rPr>
      </w:pPr>
      <w:r>
        <w:rPr>
          <w:rFonts w:ascii="Arial" w:cs="Arial" w:eastAsia="Arial" w:hAnsi="Arial"/>
          <w:sz w:val="13"/>
          <w:szCs w:val="13"/>
          <w:color w:val="auto"/>
        </w:rPr>
        <w:t>BEIJING</w:t>
      </w:r>
    </w:p>
    <w:p>
      <w:pPr>
        <w:ind w:left="380"/>
        <w:spacing w:after="0" w:line="216" w:lineRule="auto"/>
        <w:rPr>
          <w:sz w:val="20"/>
          <w:szCs w:val="20"/>
          <w:color w:val="auto"/>
        </w:rPr>
      </w:pPr>
      <w:r>
        <w:rPr>
          <w:rFonts w:ascii="Arial" w:cs="Arial" w:eastAsia="Arial" w:hAnsi="Arial"/>
          <w:sz w:val="13"/>
          <w:szCs w:val="13"/>
          <w:color w:val="auto"/>
        </w:rPr>
        <w:t>BRUSSELS</w:t>
      </w:r>
    </w:p>
    <w:p>
      <w:pPr>
        <w:ind w:left="340"/>
        <w:spacing w:after="0" w:line="217" w:lineRule="auto"/>
        <w:rPr>
          <w:sz w:val="20"/>
          <w:szCs w:val="20"/>
          <w:color w:val="auto"/>
        </w:rPr>
      </w:pPr>
      <w:r>
        <w:rPr>
          <w:rFonts w:ascii="Arial" w:cs="Arial" w:eastAsia="Arial" w:hAnsi="Arial"/>
          <w:sz w:val="13"/>
          <w:szCs w:val="13"/>
          <w:color w:val="auto"/>
        </w:rPr>
        <w:t>FRANKFURT</w:t>
      </w:r>
    </w:p>
    <w:p>
      <w:pPr>
        <w:ind w:left="320"/>
        <w:spacing w:after="0"/>
        <w:rPr>
          <w:sz w:val="20"/>
          <w:szCs w:val="20"/>
          <w:color w:val="auto"/>
        </w:rPr>
      </w:pPr>
      <w:r>
        <w:rPr>
          <w:rFonts w:ascii="Arial" w:cs="Arial" w:eastAsia="Arial" w:hAnsi="Arial"/>
          <w:sz w:val="13"/>
          <w:szCs w:val="13"/>
          <w:color w:val="auto"/>
        </w:rPr>
        <w:t>HONG KONG</w:t>
      </w:r>
    </w:p>
    <w:p>
      <w:pPr>
        <w:ind w:left="440"/>
        <w:spacing w:after="0" w:line="216" w:lineRule="auto"/>
        <w:rPr>
          <w:sz w:val="20"/>
          <w:szCs w:val="20"/>
          <w:color w:val="auto"/>
        </w:rPr>
      </w:pPr>
      <w:r>
        <w:rPr>
          <w:rFonts w:ascii="Arial" w:cs="Arial" w:eastAsia="Arial" w:hAnsi="Arial"/>
          <w:sz w:val="13"/>
          <w:szCs w:val="13"/>
          <w:color w:val="auto"/>
        </w:rPr>
        <w:t>LONDON</w:t>
      </w:r>
    </w:p>
    <w:p>
      <w:pPr>
        <w:ind w:left="460"/>
        <w:spacing w:after="0"/>
        <w:rPr>
          <w:sz w:val="20"/>
          <w:szCs w:val="20"/>
          <w:color w:val="auto"/>
        </w:rPr>
      </w:pPr>
      <w:r>
        <w:rPr>
          <w:rFonts w:ascii="Arial" w:cs="Arial" w:eastAsia="Arial" w:hAnsi="Arial"/>
          <w:sz w:val="13"/>
          <w:szCs w:val="13"/>
          <w:color w:val="auto"/>
        </w:rPr>
        <w:t>MUNICH</w:t>
      </w:r>
    </w:p>
    <w:p>
      <w:pPr>
        <w:jc w:val="center"/>
        <w:ind w:right="280"/>
        <w:spacing w:after="0" w:line="216" w:lineRule="auto"/>
        <w:rPr>
          <w:sz w:val="20"/>
          <w:szCs w:val="20"/>
          <w:color w:val="auto"/>
        </w:rPr>
      </w:pPr>
      <w:r>
        <w:rPr>
          <w:rFonts w:ascii="Arial" w:cs="Arial" w:eastAsia="Arial" w:hAnsi="Arial"/>
          <w:sz w:val="13"/>
          <w:szCs w:val="13"/>
          <w:color w:val="auto"/>
        </w:rPr>
        <w:t>PARIS</w:t>
      </w:r>
    </w:p>
    <w:p>
      <w:pPr>
        <w:jc w:val="center"/>
        <w:ind w:right="280"/>
        <w:spacing w:after="0"/>
        <w:rPr>
          <w:sz w:val="20"/>
          <w:szCs w:val="20"/>
          <w:color w:val="auto"/>
        </w:rPr>
      </w:pPr>
      <w:r>
        <w:rPr>
          <w:rFonts w:ascii="Arial" w:cs="Arial" w:eastAsia="Arial" w:hAnsi="Arial"/>
          <w:sz w:val="13"/>
          <w:szCs w:val="13"/>
          <w:color w:val="auto"/>
        </w:rPr>
        <w:t>SÃO PAULO</w:t>
      </w:r>
    </w:p>
    <w:p>
      <w:pPr>
        <w:jc w:val="center"/>
        <w:ind w:right="280"/>
        <w:spacing w:after="0" w:line="216" w:lineRule="auto"/>
        <w:rPr>
          <w:sz w:val="20"/>
          <w:szCs w:val="20"/>
          <w:color w:val="auto"/>
        </w:rPr>
      </w:pPr>
      <w:r>
        <w:rPr>
          <w:rFonts w:ascii="Arial" w:cs="Arial" w:eastAsia="Arial" w:hAnsi="Arial"/>
          <w:sz w:val="13"/>
          <w:szCs w:val="13"/>
          <w:color w:val="auto"/>
        </w:rPr>
        <w:t>SEOUL</w:t>
      </w:r>
    </w:p>
    <w:p>
      <w:pPr>
        <w:jc w:val="center"/>
        <w:ind w:right="280"/>
        <w:spacing w:after="0"/>
        <w:rPr>
          <w:sz w:val="20"/>
          <w:szCs w:val="20"/>
          <w:color w:val="auto"/>
        </w:rPr>
      </w:pPr>
      <w:r>
        <w:rPr>
          <w:rFonts w:ascii="Arial" w:cs="Arial" w:eastAsia="Arial" w:hAnsi="Arial"/>
          <w:sz w:val="13"/>
          <w:szCs w:val="13"/>
          <w:color w:val="auto"/>
        </w:rPr>
        <w:t>SHANGHAI</w:t>
      </w:r>
    </w:p>
    <w:p>
      <w:pPr>
        <w:jc w:val="center"/>
        <w:ind w:right="280"/>
        <w:spacing w:after="0" w:line="216" w:lineRule="auto"/>
        <w:rPr>
          <w:sz w:val="20"/>
          <w:szCs w:val="20"/>
          <w:color w:val="auto"/>
        </w:rPr>
      </w:pPr>
      <w:r>
        <w:rPr>
          <w:rFonts w:ascii="Arial" w:cs="Arial" w:eastAsia="Arial" w:hAnsi="Arial"/>
          <w:sz w:val="13"/>
          <w:szCs w:val="13"/>
          <w:color w:val="auto"/>
        </w:rPr>
        <w:t>SINGAPORE</w:t>
      </w:r>
    </w:p>
    <w:p>
      <w:pPr>
        <w:jc w:val="center"/>
        <w:ind w:right="280"/>
        <w:spacing w:after="0"/>
        <w:rPr>
          <w:sz w:val="20"/>
          <w:szCs w:val="20"/>
          <w:color w:val="auto"/>
        </w:rPr>
      </w:pPr>
      <w:r>
        <w:rPr>
          <w:rFonts w:ascii="Arial" w:cs="Arial" w:eastAsia="Arial" w:hAnsi="Arial"/>
          <w:sz w:val="13"/>
          <w:szCs w:val="13"/>
          <w:color w:val="auto"/>
        </w:rPr>
        <w:t>TOKYO</w:t>
      </w:r>
    </w:p>
    <w:p>
      <w:pPr>
        <w:ind w:left="400"/>
        <w:spacing w:after="0"/>
        <w:rPr>
          <w:sz w:val="20"/>
          <w:szCs w:val="20"/>
          <w:color w:val="auto"/>
        </w:rPr>
      </w:pPr>
      <w:r>
        <w:rPr>
          <w:rFonts w:ascii="Arial" w:cs="Arial" w:eastAsia="Arial" w:hAnsi="Arial"/>
          <w:sz w:val="13"/>
          <w:szCs w:val="13"/>
          <w:color w:val="auto"/>
        </w:rPr>
        <w:t>TORONTO</w:t>
      </w:r>
    </w:p>
    <w:p>
      <w:pPr>
        <w:spacing w:after="0" w:line="3873" w:lineRule="exact"/>
        <w:rPr>
          <w:sz w:val="20"/>
          <w:szCs w:val="20"/>
          <w:color w:val="auto"/>
        </w:rPr>
      </w:pPr>
    </w:p>
    <w:p>
      <w:pPr>
        <w:sectPr>
          <w:pgSz w:w="11900" w:h="16838" w:orient="portrait"/>
          <w:cols w:equalWidth="0" w:num="2">
            <w:col w:w="8820" w:space="720"/>
            <w:col w:w="1700"/>
          </w:cols>
          <w:pgMar w:left="320" w:top="104" w:right="339" w:bottom="1440" w:gutter="0" w:footer="0" w:header="0"/>
          <w:type w:val="continuous"/>
        </w:sectPr>
      </w:pPr>
    </w:p>
    <w:p>
      <w:pPr>
        <w:spacing w:after="0" w:line="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We have acted as special counsel to Perella Weinberg Partners, a Delaware corporation (the “Company”), in connection with the preparation of the Registration Statement (as defined below) relating to (i) the Company’s offer to exchange (the “Exchange Offer”) 0.20 shares of Class A common stock, par value $0.0001 per share (the “Class A Common Stock”), of the Company for each of the Company’s (a) publicly traded warrants (the “Public Warrants”) to purchase shares of the Class A Common Stock, which warrants were issued under the warrant agreement, dated September 24, 2020, by and between the Company (f/k/a FinTech Acquisition Corp. IV (“FTIV”)) and Continental Stock Transfer &amp; Trust Company, as amended by Amendment No. 1, dated November 10, 2021, by and among the Company, Continental Stock Transfer &amp; Trust Company and American Stock Transfer &amp; Trust Company, LLC, as warrant agent (the “Warrant Agreement”), in connection with FTIV’s initial public offering (“IPO”), and (b) warrants to purchase shares of the Class A Common Stock that were issued under the Warrant Agreement in a private placement simultaneously with the IPO (the “Private Placement Warrants” and together with the Public Warrants, the “Warrants”); and (ii) the solicitation of consents (the “Consent Solicitation”) from the holders of the Public Warrants to amend the</w:t>
      </w:r>
    </w:p>
    <w:p>
      <w:pPr>
        <w:sectPr>
          <w:pgSz w:w="11900" w:h="16838" w:orient="portrait"/>
          <w:cols w:equalWidth="0" w:num="1">
            <w:col w:w="11240"/>
          </w:cols>
          <w:pgMar w:left="320" w:top="104"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22,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Warrant Agreement to permit the Company to require that each outstanding Warrant (including each outstanding Private Placement Warrant) that is not tendered pursuant to the Exchange Offer be converted into 0.18 shares of Class A Common Stock (the “Warrant Amendment”), in each case upon the terms and subject to the conditions set forth in the Preliminary Prospectus (as defined below) and the Letter of Transmittal (as defined below). The shares of Class A Common Stock issuable upon exchange of the Warrants pursuant to the Exchange Offer and the up to 519,598 shares of Class A Common Stock issuable pursuant to the Warrants following the effectiveness of the Warrant Amendment are referred to herein as the “Shares.”</w:t>
      </w:r>
    </w:p>
    <w:p>
      <w:pPr>
        <w:spacing w:after="0" w:line="169" w:lineRule="exact"/>
        <w:rPr>
          <w:sz w:val="20"/>
          <w:szCs w:val="20"/>
          <w:color w:val="auto"/>
        </w:rPr>
      </w:pPr>
    </w:p>
    <w:p>
      <w:pPr>
        <w:ind w:right="220" w:firstLine="1296"/>
        <w:spacing w:after="0" w:line="271" w:lineRule="auto"/>
        <w:rPr>
          <w:sz w:val="20"/>
          <w:szCs w:val="20"/>
          <w:color w:val="auto"/>
        </w:rPr>
      </w:pPr>
      <w:r>
        <w:rPr>
          <w:rFonts w:ascii="Times New Roman" w:cs="Times New Roman" w:eastAsia="Times New Roman" w:hAnsi="Times New Roman"/>
          <w:sz w:val="22"/>
          <w:szCs w:val="22"/>
          <w:color w:val="auto"/>
        </w:rPr>
        <w:t>This opinion is being furnished in accordance with the requirements of Item 601(b)(5) of Regulation S-K under the Securities Act of 1933 (the “Securities Act”).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rendering the opinions stated herein, we have examined and relied upon the following:</w:t>
      </w:r>
    </w:p>
    <w:p>
      <w:pPr>
        <w:spacing w:after="0" w:line="220" w:lineRule="exact"/>
        <w:rPr>
          <w:sz w:val="20"/>
          <w:szCs w:val="20"/>
          <w:color w:val="auto"/>
        </w:rPr>
      </w:pPr>
    </w:p>
    <w:p>
      <w:pPr>
        <w:ind w:right="80" w:firstLine="1304"/>
        <w:spacing w:after="0" w:line="257"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on Form S-4 of the Company relating to Class A Common Stock and other securities of the Company filed on the date hereof with the Securities and Exchange Commission (the “Commission”) under the Securities Act (such registration statement being hereinafter referred to as the “Registration Statement”);</w:t>
      </w:r>
    </w:p>
    <w:p>
      <w:pPr>
        <w:spacing w:after="0" w:line="172" w:lineRule="exact"/>
        <w:rPr>
          <w:rFonts w:ascii="Times New Roman" w:cs="Times New Roman" w:eastAsia="Times New Roman" w:hAnsi="Times New Roman"/>
          <w:sz w:val="22"/>
          <w:szCs w:val="22"/>
          <w:color w:val="auto"/>
        </w:rPr>
      </w:pPr>
    </w:p>
    <w:p>
      <w:pPr>
        <w:ind w:right="440" w:firstLine="1304"/>
        <w:spacing w:after="0" w:line="263"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preliminary prospectus/offer to exchange, dated July 22, 2022, relating to the Exchange Offer and Consent Solicitation, (such preliminary prospectus/offer to exchange being hereinafter referred to as the “Preliminary Prospectus”), which forms a part of and is included in the Registration Statement;</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transmittal and consent (the “Letter of Transmittal”) relating to the Exchange Offer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Solicitation;</w:t>
      </w:r>
    </w:p>
    <w:p>
      <w:pPr>
        <w:spacing w:after="0" w:line="195" w:lineRule="exact"/>
        <w:rPr>
          <w:rFonts w:ascii="Times New Roman" w:cs="Times New Roman" w:eastAsia="Times New Roman" w:hAnsi="Times New Roman"/>
          <w:sz w:val="22"/>
          <w:szCs w:val="22"/>
          <w:color w:val="auto"/>
        </w:rPr>
      </w:pPr>
    </w:p>
    <w:p>
      <w:pPr>
        <w:jc w:val="both"/>
        <w:ind w:right="160" w:firstLine="1304"/>
        <w:spacing w:after="0" w:line="263"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the Dealer Manager and Solicitation Agent Agreement, dated July 22, 2022, by and between the Company and Citigroup Global Markets Inc., relating to the Exchange Offer and Consent Solicitation (the “Dealer Manager Agreement” and together with the Warrant Amendment, the “Transaction Documents”);</w:t>
      </w:r>
    </w:p>
    <w:p>
      <w:pPr>
        <w:spacing w:after="0" w:line="167" w:lineRule="exact"/>
        <w:rPr>
          <w:rFonts w:ascii="Times New Roman" w:cs="Times New Roman" w:eastAsia="Times New Roman" w:hAnsi="Times New Roman"/>
          <w:sz w:val="22"/>
          <w:szCs w:val="22"/>
          <w:color w:val="auto"/>
        </w:rPr>
      </w:pPr>
    </w:p>
    <w:p>
      <w:pPr>
        <w:ind w:right="180" w:firstLine="1304"/>
        <w:spacing w:after="0" w:line="271"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for the Company of Justin Kamen, Secretary of the Company, dated the date hereof (the “Secretary’s Certificate”);</w:t>
      </w:r>
    </w:p>
    <w:p>
      <w:pPr>
        <w:spacing w:after="0" w:line="157" w:lineRule="exact"/>
        <w:rPr>
          <w:rFonts w:ascii="Times New Roman" w:cs="Times New Roman" w:eastAsia="Times New Roman" w:hAnsi="Times New Roman"/>
          <w:sz w:val="22"/>
          <w:szCs w:val="22"/>
          <w:color w:val="auto"/>
        </w:rPr>
      </w:pPr>
    </w:p>
    <w:p>
      <w:pPr>
        <w:ind w:right="320" w:firstLine="1304"/>
        <w:spacing w:after="0" w:line="271"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Restated Certificate of Incorporation certified by the Secretary of State of the State of Delaware as of July 21, 2022, and certified pursuant to the Secretary’s Certificate;</w:t>
      </w:r>
    </w:p>
    <w:p>
      <w:pPr>
        <w:spacing w:after="0" w:line="171" w:lineRule="exact"/>
        <w:rPr>
          <w:rFonts w:ascii="Times New Roman" w:cs="Times New Roman" w:eastAsia="Times New Roman" w:hAnsi="Times New Roman"/>
          <w:sz w:val="22"/>
          <w:szCs w:val="22"/>
          <w:color w:val="auto"/>
        </w:rPr>
      </w:pPr>
    </w:p>
    <w:p>
      <w:pPr>
        <w:ind w:right="240" w:firstLine="1304"/>
        <w:spacing w:after="0" w:line="271"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Bylaws, as amended and in effect as of the date hereof and certified pursuant to the Secretary’s Certificate; and</w:t>
      </w:r>
    </w:p>
    <w:p>
      <w:pPr>
        <w:spacing w:after="0" w:line="157" w:lineRule="exact"/>
        <w:rPr>
          <w:rFonts w:ascii="Times New Roman" w:cs="Times New Roman" w:eastAsia="Times New Roman" w:hAnsi="Times New Roman"/>
          <w:sz w:val="22"/>
          <w:szCs w:val="22"/>
          <w:color w:val="auto"/>
        </w:rPr>
      </w:pPr>
    </w:p>
    <w:p>
      <w:pPr>
        <w:ind w:right="160" w:firstLine="1304"/>
        <w:spacing w:after="0" w:line="295" w:lineRule="auto"/>
        <w:tabs>
          <w:tab w:leader="none" w:pos="193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certain resolutions of the Board of Directors of the Company, adopted on July 7, 2022, and certain resolutions of the Pricing Committee thereof, adopted on July 21, 2022, certified pursuant to the Secretary’s Certificate.</w:t>
      </w:r>
    </w:p>
    <w:p>
      <w:pPr>
        <w:sectPr>
          <w:pgSz w:w="11900" w:h="16838" w:orient="portrait"/>
          <w:cols w:equalWidth="0" w:num="1">
            <w:col w:w="11160"/>
          </w:cols>
          <w:pgMar w:left="320" w:top="126" w:right="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22,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76"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contained in the Dealer Manager Agreement.</w:t>
      </w:r>
    </w:p>
    <w:p>
      <w:pPr>
        <w:spacing w:after="0" w:line="180" w:lineRule="exact"/>
        <w:rPr>
          <w:sz w:val="20"/>
          <w:szCs w:val="20"/>
          <w:color w:val="auto"/>
        </w:rPr>
      </w:pPr>
    </w:p>
    <w:p>
      <w:pPr>
        <w:ind w:right="80" w:firstLine="1296"/>
        <w:spacing w:after="0" w:line="251" w:lineRule="auto"/>
        <w:rPr>
          <w:sz w:val="20"/>
          <w:szCs w:val="20"/>
          <w:color w:val="auto"/>
        </w:rPr>
      </w:pPr>
      <w:r>
        <w:rPr>
          <w:rFonts w:ascii="Times New Roman" w:cs="Times New Roman" w:eastAsia="Times New Roman" w:hAnsi="Times New Roman"/>
          <w:sz w:val="22"/>
          <w:szCs w:val="22"/>
          <w:color w:val="auto"/>
        </w:rPr>
        <w:t>We have also assumed that (i) the Registration Statement and any amendments thereto will have become effective and comply with all applicable laws and no stop order suspending the Registration Statement’s effectiveness will have been issued and remain in effect, in each case, at the time the Shares are offered and sold as contemplated by the Registration Statement and the related Letter of Transmittal, (ii) all Shares will be offered and sold in compliance with applicable federal and state securities laws and in the manner stated in the Registration Statement and (iii) the Warrant Amendment will have received the requisite consent of the holders of outstanding Public Warrants prior to its effectiveness.</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“DGCL”) and the laws of the State of New York (all of the foregoing being referred to as “Opined-on Law”).</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w:t>
      </w:r>
    </w:p>
    <w:p>
      <w:pPr>
        <w:spacing w:after="0" w:line="220" w:lineRule="exact"/>
        <w:rPr>
          <w:sz w:val="20"/>
          <w:szCs w:val="20"/>
          <w:color w:val="auto"/>
        </w:rPr>
      </w:pPr>
    </w:p>
    <w:p>
      <w:pPr>
        <w:ind w:left="340" w:right="460" w:hanging="332"/>
        <w:spacing w:after="0" w:line="257" w:lineRule="auto"/>
        <w:tabs>
          <w:tab w:leader="none" w:pos="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authorized by all requisite corporate action on the part of the Company under the DGCL and, when issued in accordance with the terms of the Exchange Offer or the Warrant Agreement as amended by the Warrant Amendment, as applicable, will be validly issued, fully paid and nonassessable.</w:t>
      </w:r>
    </w:p>
    <w:p>
      <w:pPr>
        <w:spacing w:after="0" w:line="186" w:lineRule="exact"/>
        <w:rPr>
          <w:rFonts w:ascii="Times New Roman" w:cs="Times New Roman" w:eastAsia="Times New Roman" w:hAnsi="Times New Roman"/>
          <w:sz w:val="22"/>
          <w:szCs w:val="22"/>
          <w:color w:val="auto"/>
        </w:rPr>
      </w:pPr>
    </w:p>
    <w:p>
      <w:pPr>
        <w:jc w:val="both"/>
        <w:ind w:left="340" w:right="180" w:hanging="332"/>
        <w:spacing w:after="0" w:line="257" w:lineRule="auto"/>
        <w:tabs>
          <w:tab w:leader="none" w:pos="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Warrants have been duly authorized by all requisite corporate action on the part of the Company under the DGCL and, upon effectiveness of the Warrant Amendment, will constitute the valid and binding agreement obligations of the Company, enforceable against the Company in accordance with its terms under the laws of New York.</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opinions stated herein are subject to the following qualifications:</w:t>
      </w:r>
    </w:p>
    <w:p>
      <w:pPr>
        <w:spacing w:after="0" w:line="220" w:lineRule="exact"/>
        <w:rPr>
          <w:sz w:val="20"/>
          <w:szCs w:val="20"/>
          <w:color w:val="auto"/>
        </w:rPr>
      </w:pPr>
    </w:p>
    <w:p>
      <w:pPr>
        <w:ind w:right="900" w:firstLine="656"/>
        <w:spacing w:after="0" w:line="271"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express any opinion with respect to the effect on the opinions stated herein of any bankruptcy, insolvency, reorganization, moratorium, fraudulent transfer, preference</w:t>
      </w:r>
    </w:p>
    <w:p>
      <w:pPr>
        <w:sectPr>
          <w:pgSz w:w="11900" w:h="16838" w:orient="portrait"/>
          <w:cols w:equalWidth="0" w:num="1">
            <w:col w:w="11220"/>
          </w:cols>
          <w:pgMar w:left="320" w:top="12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22,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1"/>
          <w:szCs w:val="21"/>
          <w:color w:val="auto"/>
        </w:rPr>
        <w:t>and other similar laws or governmental orders affecting creditors’ rights generally, and the opinions stated herein are limited by such laws and orders and by general principles of equity (regardless of whether enforcement is sought in equity or at law);</w:t>
      </w:r>
    </w:p>
    <w:p>
      <w:pPr>
        <w:spacing w:after="0" w:line="135" w:lineRule="exact"/>
        <w:rPr>
          <w:sz w:val="20"/>
          <w:szCs w:val="20"/>
          <w:color w:val="auto"/>
        </w:rPr>
      </w:pPr>
    </w:p>
    <w:p>
      <w:pPr>
        <w:ind w:right="100" w:firstLine="656"/>
        <w:spacing w:after="0" w:line="256"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express any opinion with respect to any law, rule or regulation that is applicable to any party to the Warrant Amendment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76" w:lineRule="exact"/>
        <w:rPr>
          <w:rFonts w:ascii="Times New Roman" w:cs="Times New Roman" w:eastAsia="Times New Roman" w:hAnsi="Times New Roman"/>
          <w:sz w:val="22"/>
          <w:szCs w:val="22"/>
          <w:color w:val="auto"/>
        </w:rPr>
      </w:pPr>
    </w:p>
    <w:p>
      <w:pPr>
        <w:ind w:right="120" w:firstLine="656"/>
        <w:spacing w:after="0" w:line="256" w:lineRule="auto"/>
        <w:tabs>
          <w:tab w:leader="none" w:pos="12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opinion relates to the enforceability of the choice of New York law and choice of New York forum provisions contained in any of the Transaction Documents,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76" w:lineRule="exact"/>
        <w:rPr>
          <w:rFonts w:ascii="Times New Roman" w:cs="Times New Roman" w:eastAsia="Times New Roman" w:hAnsi="Times New Roman"/>
          <w:sz w:val="22"/>
          <w:szCs w:val="22"/>
          <w:color w:val="auto"/>
        </w:rPr>
      </w:pPr>
    </w:p>
    <w:p>
      <w:pPr>
        <w:jc w:val="both"/>
        <w:ind w:right="180" w:firstLine="656"/>
        <w:spacing w:after="0" w:line="295" w:lineRule="auto"/>
        <w:tabs>
          <w:tab w:leader="none" w:pos="129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do not express any opinion with respect to the enforceability of Section 2.2 of the Warrant Amendment to the extent that such section purports to bind the Company to the exclusive jurisdiction of any particular federal court or courts; and</w:t>
      </w:r>
    </w:p>
    <w:p>
      <w:pPr>
        <w:spacing w:after="0" w:line="135" w:lineRule="exact"/>
        <w:rPr>
          <w:rFonts w:ascii="Times New Roman" w:cs="Times New Roman" w:eastAsia="Times New Roman" w:hAnsi="Times New Roman"/>
          <w:sz w:val="21"/>
          <w:szCs w:val="21"/>
          <w:color w:val="auto"/>
        </w:rPr>
      </w:pPr>
    </w:p>
    <w:p>
      <w:pPr>
        <w:ind w:right="60" w:firstLine="656"/>
        <w:spacing w:after="0" w:line="256" w:lineRule="auto"/>
        <w:tabs>
          <w:tab w:leader="none" w:pos="12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addition, in rendering the foregoing opinions we have assumed that:</w:t>
      </w:r>
    </w:p>
    <w:p>
      <w:pPr>
        <w:spacing w:after="0" w:line="220" w:lineRule="exact"/>
        <w:rPr>
          <w:sz w:val="20"/>
          <w:szCs w:val="20"/>
          <w:color w:val="auto"/>
        </w:rPr>
      </w:pPr>
    </w:p>
    <w:p>
      <w:pPr>
        <w:ind w:firstLine="656"/>
        <w:spacing w:after="0" w:line="250"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by the Company of the Transaction Documents nor the performance by the Company of its obligations thereunder, including the issuance and sale of the Shares: (i) constitutes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Amendment No. 1 to the Company’s Annual Report on Form 10-K/A for the year ended December 31, 2021,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spacing w:after="0" w:line="179" w:lineRule="exact"/>
        <w:rPr>
          <w:rFonts w:ascii="Times New Roman" w:cs="Times New Roman" w:eastAsia="Times New Roman" w:hAnsi="Times New Roman"/>
          <w:sz w:val="22"/>
          <w:szCs w:val="22"/>
          <w:color w:val="auto"/>
        </w:rPr>
      </w:pPr>
    </w:p>
    <w:p>
      <w:pPr>
        <w:ind w:right="280" w:firstLine="656"/>
        <w:spacing w:after="0" w:line="252"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by the Company of the Transaction Documents nor the performance by the Company of its obligations thereunder, including the issuance and sale of the Shares, requires or will require the consent, approval, licensing or authorization of, or any filing, recording or registration with, any governmental authority under any law, rule or</w:t>
      </w:r>
    </w:p>
    <w:p>
      <w:pPr>
        <w:sectPr>
          <w:pgSz w:w="11900" w:h="16838" w:orient="portrait"/>
          <w:cols w:equalWidth="0" w:num="1">
            <w:col w:w="11220"/>
          </w:cols>
          <w:pgMar w:left="320" w:top="126"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22,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regulation of any jurisdiction (except that we do not make the assumption set forth in this clause (b) with respect to the Opined-on Law).</w:t>
      </w:r>
    </w:p>
    <w:p>
      <w:pPr>
        <w:spacing w:after="0" w:line="158"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22"/>
          <w:szCs w:val="22"/>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under the Securities Act.</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/s/ Skadden, Arps, Slate, Meagher &amp; Flom LLP</w:t>
      </w:r>
    </w:p>
    <w:p>
      <w:pPr>
        <w:sectPr>
          <w:pgSz w:w="11900" w:h="16838" w:orient="portrait"/>
          <w:cols w:equalWidth="0" w:num="1">
            <w:col w:w="11160"/>
          </w:cols>
          <w:pgMar w:left="320" w:top="126" w:right="4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375" w:lineRule="exact"/>
        <w:rPr>
          <w:sz w:val="20"/>
          <w:szCs w:val="20"/>
          <w:color w:val="auto"/>
        </w:rPr>
      </w:pPr>
    </w:p>
    <w:p>
      <w:pPr>
        <w:jc w:val="center"/>
        <w:ind w:right="2220"/>
        <w:spacing w:after="0"/>
        <w:rPr>
          <w:sz w:val="20"/>
          <w:szCs w:val="20"/>
          <w:color w:val="auto"/>
        </w:rPr>
      </w:pPr>
      <w:r>
        <w:rPr>
          <w:rFonts w:ascii="Arial" w:cs="Arial" w:eastAsia="Arial" w:hAnsi="Arial"/>
          <w:sz w:val="31"/>
          <w:szCs w:val="31"/>
          <w:color w:val="auto"/>
        </w:rPr>
        <w:t>S</w:t>
      </w:r>
      <w:r>
        <w:rPr>
          <w:rFonts w:ascii="Arial" w:cs="Arial" w:eastAsia="Arial" w:hAnsi="Arial"/>
          <w:sz w:val="21"/>
          <w:szCs w:val="21"/>
          <w:color w:val="auto"/>
        </w:rPr>
        <w:t>KADDEN</w:t>
      </w:r>
      <w:r>
        <w:rPr>
          <w:rFonts w:ascii="Arial" w:cs="Arial" w:eastAsia="Arial" w:hAnsi="Arial"/>
          <w:sz w:val="31"/>
          <w:szCs w:val="31"/>
          <w:color w:val="auto"/>
        </w:rPr>
        <w:t>, A</w:t>
      </w:r>
      <w:r>
        <w:rPr>
          <w:rFonts w:ascii="Arial" w:cs="Arial" w:eastAsia="Arial" w:hAnsi="Arial"/>
          <w:sz w:val="21"/>
          <w:szCs w:val="21"/>
          <w:color w:val="auto"/>
        </w:rPr>
        <w:t>RPS</w:t>
      </w:r>
      <w:r>
        <w:rPr>
          <w:rFonts w:ascii="Arial" w:cs="Arial" w:eastAsia="Arial" w:hAnsi="Arial"/>
          <w:sz w:val="31"/>
          <w:szCs w:val="31"/>
          <w:color w:val="auto"/>
        </w:rPr>
        <w:t>, S</w:t>
      </w:r>
      <w:r>
        <w:rPr>
          <w:rFonts w:ascii="Arial" w:cs="Arial" w:eastAsia="Arial" w:hAnsi="Arial"/>
          <w:sz w:val="21"/>
          <w:szCs w:val="21"/>
          <w:color w:val="auto"/>
        </w:rPr>
        <w:t>LATE</w:t>
      </w:r>
      <w:r>
        <w:rPr>
          <w:rFonts w:ascii="Arial" w:cs="Arial" w:eastAsia="Arial" w:hAnsi="Arial"/>
          <w:sz w:val="31"/>
          <w:szCs w:val="31"/>
          <w:color w:val="auto"/>
        </w:rPr>
        <w:t>, M</w:t>
      </w:r>
      <w:r>
        <w:rPr>
          <w:rFonts w:ascii="Arial" w:cs="Arial" w:eastAsia="Arial" w:hAnsi="Arial"/>
          <w:sz w:val="21"/>
          <w:szCs w:val="21"/>
          <w:color w:val="auto"/>
        </w:rPr>
        <w:t>EAGHER</w:t>
      </w:r>
      <w:r>
        <w:rPr>
          <w:rFonts w:ascii="Arial" w:cs="Arial" w:eastAsia="Arial" w:hAnsi="Arial"/>
          <w:sz w:val="31"/>
          <w:szCs w:val="31"/>
          <w:color w:val="auto"/>
        </w:rPr>
        <w:t xml:space="preserve"> &amp; F</w:t>
      </w:r>
      <w:r>
        <w:rPr>
          <w:rFonts w:ascii="Arial" w:cs="Arial" w:eastAsia="Arial" w:hAnsi="Arial"/>
          <w:sz w:val="21"/>
          <w:szCs w:val="21"/>
          <w:color w:val="auto"/>
        </w:rPr>
        <w:t>LOM LLP</w:t>
      </w:r>
    </w:p>
    <w:p>
      <w:pPr>
        <w:spacing w:after="0" w:line="64" w:lineRule="exact"/>
        <w:rPr>
          <w:sz w:val="20"/>
          <w:szCs w:val="20"/>
          <w:color w:val="auto"/>
        </w:rPr>
      </w:pPr>
    </w:p>
    <w:p>
      <w:pPr>
        <w:jc w:val="center"/>
        <w:ind w:right="2220"/>
        <w:spacing w:after="0"/>
        <w:rPr>
          <w:sz w:val="20"/>
          <w:szCs w:val="20"/>
          <w:color w:val="auto"/>
        </w:rPr>
      </w:pPr>
      <w:r>
        <w:rPr>
          <w:rFonts w:ascii="Arial" w:cs="Arial" w:eastAsia="Arial" w:hAnsi="Arial"/>
          <w:sz w:val="20"/>
          <w:szCs w:val="20"/>
          <w:color w:val="auto"/>
        </w:rPr>
        <w:t>155 NORTH WACKER DRIVE</w:t>
      </w:r>
    </w:p>
    <w:p>
      <w:pPr>
        <w:spacing w:after="0" w:line="31" w:lineRule="exact"/>
        <w:rPr>
          <w:sz w:val="20"/>
          <w:szCs w:val="20"/>
          <w:color w:val="auto"/>
        </w:rPr>
      </w:pPr>
    </w:p>
    <w:p>
      <w:pPr>
        <w:jc w:val="center"/>
        <w:ind w:right="2220"/>
        <w:spacing w:after="0"/>
        <w:rPr>
          <w:sz w:val="20"/>
          <w:szCs w:val="20"/>
          <w:color w:val="auto"/>
        </w:rPr>
      </w:pPr>
      <w:r>
        <w:rPr>
          <w:rFonts w:ascii="Arial" w:cs="Arial" w:eastAsia="Arial" w:hAnsi="Arial"/>
          <w:sz w:val="20"/>
          <w:szCs w:val="20"/>
          <w:color w:val="auto"/>
        </w:rPr>
        <w:t>CHICAGO, ILLINOIS 60606-1720</w:t>
      </w:r>
    </w:p>
    <w:p>
      <w:pPr>
        <w:sectPr>
          <w:pgSz w:w="11900" w:h="16838" w:orient="portrait"/>
          <w:cols w:equalWidth="0" w:num="1">
            <w:col w:w="11240"/>
          </w:cols>
          <w:pgMar w:left="320" w:top="104" w:right="339" w:bottom="1440" w:gutter="0" w:footer="0" w:header="0"/>
        </w:sectPr>
      </w:pPr>
    </w:p>
    <w:p>
      <w:pPr>
        <w:spacing w:after="0" w:line="13" w:lineRule="exact"/>
        <w:rPr>
          <w:sz w:val="20"/>
          <w:szCs w:val="20"/>
          <w:color w:val="auto"/>
        </w:rPr>
      </w:pPr>
    </w:p>
    <w:p>
      <w:pPr>
        <w:ind w:left="4320"/>
        <w:spacing w:after="0"/>
        <w:rPr>
          <w:sz w:val="20"/>
          <w:szCs w:val="20"/>
          <w:color w:val="auto"/>
        </w:rPr>
      </w:pPr>
      <w:r>
        <w:rPr>
          <w:rFonts w:ascii="Arial" w:cs="Arial" w:eastAsia="Arial" w:hAnsi="Arial"/>
          <w:sz w:val="9"/>
          <w:szCs w:val="9"/>
          <w:color w:val="auto"/>
        </w:rPr>
        <w:t>________</w:t>
      </w:r>
    </w:p>
    <w:p>
      <w:pPr>
        <w:spacing w:after="0" w:line="8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TEL: (312) 407-0700</w:t>
      </w:r>
    </w:p>
    <w:p>
      <w:pPr>
        <w:spacing w:after="0" w:line="32"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FAX: (312) 407-0411</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2"/>
          <w:szCs w:val="22"/>
          <w:color w:val="auto"/>
        </w:rPr>
        <w:t>July 22,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209"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Perella Weinberg Partners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00"/>
        <w:spacing w:after="0"/>
        <w:rPr>
          <w:sz w:val="20"/>
          <w:szCs w:val="20"/>
          <w:color w:val="auto"/>
        </w:rPr>
      </w:pPr>
      <w:r>
        <w:rPr>
          <w:rFonts w:ascii="Arial" w:cs="Arial" w:eastAsia="Arial" w:hAnsi="Arial"/>
          <w:sz w:val="11"/>
          <w:szCs w:val="11"/>
          <w:color w:val="auto"/>
        </w:rPr>
        <w:t>FIRM/AFFILIATE OFFICES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9"/>
          <w:szCs w:val="9"/>
          <w:color w:val="auto"/>
        </w:rPr>
        <w:t>-----------</w:t>
      </w:r>
    </w:p>
    <w:p>
      <w:pPr>
        <w:ind w:left="440"/>
        <w:spacing w:after="0"/>
        <w:rPr>
          <w:sz w:val="20"/>
          <w:szCs w:val="20"/>
          <w:color w:val="auto"/>
        </w:rPr>
      </w:pPr>
      <w:r>
        <w:rPr>
          <w:rFonts w:ascii="Arial" w:cs="Arial" w:eastAsia="Arial" w:hAnsi="Arial"/>
          <w:sz w:val="13"/>
          <w:szCs w:val="13"/>
          <w:color w:val="auto"/>
        </w:rPr>
        <w:t>BOSTON</w:t>
      </w:r>
    </w:p>
    <w:p>
      <w:pPr>
        <w:ind w:left="400"/>
        <w:spacing w:after="0" w:line="216" w:lineRule="auto"/>
        <w:rPr>
          <w:sz w:val="20"/>
          <w:szCs w:val="20"/>
          <w:color w:val="auto"/>
        </w:rPr>
      </w:pPr>
      <w:r>
        <w:rPr>
          <w:rFonts w:ascii="Arial" w:cs="Arial" w:eastAsia="Arial" w:hAnsi="Arial"/>
          <w:sz w:val="13"/>
          <w:szCs w:val="13"/>
          <w:color w:val="auto"/>
        </w:rPr>
        <w:t>HOUSTON</w:t>
      </w:r>
    </w:p>
    <w:p>
      <w:pPr>
        <w:ind w:left="280"/>
        <w:spacing w:after="0"/>
        <w:rPr>
          <w:sz w:val="20"/>
          <w:szCs w:val="20"/>
          <w:color w:val="auto"/>
        </w:rPr>
      </w:pPr>
      <w:r>
        <w:rPr>
          <w:rFonts w:ascii="Arial" w:cs="Arial" w:eastAsia="Arial" w:hAnsi="Arial"/>
          <w:sz w:val="13"/>
          <w:szCs w:val="13"/>
          <w:color w:val="auto"/>
        </w:rPr>
        <w:t>LOS ANGELES</w:t>
      </w:r>
    </w:p>
    <w:p>
      <w:pPr>
        <w:ind w:left="380"/>
        <w:spacing w:after="0" w:line="216" w:lineRule="auto"/>
        <w:rPr>
          <w:sz w:val="20"/>
          <w:szCs w:val="20"/>
          <w:color w:val="auto"/>
        </w:rPr>
      </w:pPr>
      <w:r>
        <w:rPr>
          <w:rFonts w:ascii="Arial" w:cs="Arial" w:eastAsia="Arial" w:hAnsi="Arial"/>
          <w:sz w:val="13"/>
          <w:szCs w:val="13"/>
          <w:color w:val="auto"/>
        </w:rPr>
        <w:t>NEW YORK</w:t>
      </w:r>
    </w:p>
    <w:p>
      <w:pPr>
        <w:ind w:left="380"/>
        <w:spacing w:after="0"/>
        <w:rPr>
          <w:sz w:val="20"/>
          <w:szCs w:val="20"/>
          <w:color w:val="auto"/>
        </w:rPr>
      </w:pPr>
      <w:r>
        <w:rPr>
          <w:rFonts w:ascii="Arial" w:cs="Arial" w:eastAsia="Arial" w:hAnsi="Arial"/>
          <w:sz w:val="13"/>
          <w:szCs w:val="13"/>
          <w:color w:val="auto"/>
        </w:rPr>
        <w:t>PALO ALTO</w:t>
      </w:r>
    </w:p>
    <w:p>
      <w:pPr>
        <w:ind w:left="120"/>
        <w:spacing w:after="0" w:line="216" w:lineRule="auto"/>
        <w:rPr>
          <w:sz w:val="20"/>
          <w:szCs w:val="20"/>
          <w:color w:val="auto"/>
        </w:rPr>
      </w:pPr>
      <w:r>
        <w:rPr>
          <w:rFonts w:ascii="Arial" w:cs="Arial" w:eastAsia="Arial" w:hAnsi="Arial"/>
          <w:sz w:val="13"/>
          <w:szCs w:val="13"/>
          <w:color w:val="auto"/>
        </w:rPr>
        <w:t>WASHINGTON, D.C.</w:t>
      </w:r>
    </w:p>
    <w:p>
      <w:pPr>
        <w:jc w:val="center"/>
        <w:ind w:right="400"/>
        <w:spacing w:after="0"/>
        <w:rPr>
          <w:sz w:val="20"/>
          <w:szCs w:val="20"/>
          <w:color w:val="auto"/>
        </w:rPr>
      </w:pPr>
      <w:r>
        <w:rPr>
          <w:rFonts w:ascii="Arial" w:cs="Arial" w:eastAsia="Arial" w:hAnsi="Arial"/>
          <w:sz w:val="13"/>
          <w:szCs w:val="13"/>
          <w:color w:val="auto"/>
        </w:rPr>
        <w:t>WILMINGTON</w:t>
      </w:r>
    </w:p>
    <w:p>
      <w:pPr>
        <w:ind w:left="540"/>
        <w:spacing w:after="0" w:line="216" w:lineRule="auto"/>
        <w:rPr>
          <w:sz w:val="20"/>
          <w:szCs w:val="20"/>
          <w:color w:val="auto"/>
        </w:rPr>
      </w:pPr>
      <w:r>
        <w:rPr>
          <w:rFonts w:ascii="Arial" w:cs="Arial" w:eastAsia="Arial" w:hAnsi="Arial"/>
          <w:sz w:val="9"/>
          <w:szCs w:val="9"/>
          <w:color w:val="auto"/>
        </w:rPr>
        <w:t>-----------</w:t>
      </w:r>
    </w:p>
    <w:p>
      <w:pPr>
        <w:ind w:left="460"/>
        <w:spacing w:after="0"/>
        <w:rPr>
          <w:sz w:val="20"/>
          <w:szCs w:val="20"/>
          <w:color w:val="auto"/>
        </w:rPr>
      </w:pPr>
      <w:r>
        <w:rPr>
          <w:rFonts w:ascii="Arial" w:cs="Arial" w:eastAsia="Arial" w:hAnsi="Arial"/>
          <w:sz w:val="13"/>
          <w:szCs w:val="13"/>
          <w:color w:val="auto"/>
        </w:rPr>
        <w:t>BEIJING</w:t>
      </w:r>
    </w:p>
    <w:p>
      <w:pPr>
        <w:ind w:left="380"/>
        <w:spacing w:after="0" w:line="216" w:lineRule="auto"/>
        <w:rPr>
          <w:sz w:val="20"/>
          <w:szCs w:val="20"/>
          <w:color w:val="auto"/>
        </w:rPr>
      </w:pPr>
      <w:r>
        <w:rPr>
          <w:rFonts w:ascii="Arial" w:cs="Arial" w:eastAsia="Arial" w:hAnsi="Arial"/>
          <w:sz w:val="13"/>
          <w:szCs w:val="13"/>
          <w:color w:val="auto"/>
        </w:rPr>
        <w:t>BRUSSELS</w:t>
      </w:r>
    </w:p>
    <w:p>
      <w:pPr>
        <w:ind w:left="340"/>
        <w:spacing w:after="0" w:line="217" w:lineRule="auto"/>
        <w:rPr>
          <w:sz w:val="20"/>
          <w:szCs w:val="20"/>
          <w:color w:val="auto"/>
        </w:rPr>
      </w:pPr>
      <w:r>
        <w:rPr>
          <w:rFonts w:ascii="Arial" w:cs="Arial" w:eastAsia="Arial" w:hAnsi="Arial"/>
          <w:sz w:val="13"/>
          <w:szCs w:val="13"/>
          <w:color w:val="auto"/>
        </w:rPr>
        <w:t>FRANKFURT</w:t>
      </w:r>
    </w:p>
    <w:p>
      <w:pPr>
        <w:ind w:left="320"/>
        <w:spacing w:after="0"/>
        <w:rPr>
          <w:sz w:val="20"/>
          <w:szCs w:val="20"/>
          <w:color w:val="auto"/>
        </w:rPr>
      </w:pPr>
      <w:r>
        <w:rPr>
          <w:rFonts w:ascii="Arial" w:cs="Arial" w:eastAsia="Arial" w:hAnsi="Arial"/>
          <w:sz w:val="13"/>
          <w:szCs w:val="13"/>
          <w:color w:val="auto"/>
        </w:rPr>
        <w:t>HONG KONG</w:t>
      </w:r>
    </w:p>
    <w:p>
      <w:pPr>
        <w:ind w:left="440"/>
        <w:spacing w:after="0" w:line="216" w:lineRule="auto"/>
        <w:rPr>
          <w:sz w:val="20"/>
          <w:szCs w:val="20"/>
          <w:color w:val="auto"/>
        </w:rPr>
      </w:pPr>
      <w:r>
        <w:rPr>
          <w:rFonts w:ascii="Arial" w:cs="Arial" w:eastAsia="Arial" w:hAnsi="Arial"/>
          <w:sz w:val="13"/>
          <w:szCs w:val="13"/>
          <w:color w:val="auto"/>
        </w:rPr>
        <w:t>LONDON</w:t>
      </w:r>
    </w:p>
    <w:p>
      <w:pPr>
        <w:ind w:left="460"/>
        <w:spacing w:after="0"/>
        <w:rPr>
          <w:sz w:val="20"/>
          <w:szCs w:val="20"/>
          <w:color w:val="auto"/>
        </w:rPr>
      </w:pPr>
      <w:r>
        <w:rPr>
          <w:rFonts w:ascii="Arial" w:cs="Arial" w:eastAsia="Arial" w:hAnsi="Arial"/>
          <w:sz w:val="13"/>
          <w:szCs w:val="13"/>
          <w:color w:val="auto"/>
        </w:rPr>
        <w:t>MUNICH</w:t>
      </w:r>
    </w:p>
    <w:p>
      <w:pPr>
        <w:jc w:val="center"/>
        <w:ind w:right="400"/>
        <w:spacing w:after="0" w:line="216" w:lineRule="auto"/>
        <w:rPr>
          <w:sz w:val="20"/>
          <w:szCs w:val="20"/>
          <w:color w:val="auto"/>
        </w:rPr>
      </w:pPr>
      <w:r>
        <w:rPr>
          <w:rFonts w:ascii="Arial" w:cs="Arial" w:eastAsia="Arial" w:hAnsi="Arial"/>
          <w:sz w:val="13"/>
          <w:szCs w:val="13"/>
          <w:color w:val="auto"/>
        </w:rPr>
        <w:t>PARIS</w:t>
      </w:r>
    </w:p>
    <w:p>
      <w:pPr>
        <w:jc w:val="center"/>
        <w:ind w:right="400"/>
        <w:spacing w:after="0"/>
        <w:rPr>
          <w:sz w:val="20"/>
          <w:szCs w:val="20"/>
          <w:color w:val="auto"/>
        </w:rPr>
      </w:pPr>
      <w:r>
        <w:rPr>
          <w:rFonts w:ascii="Arial" w:cs="Arial" w:eastAsia="Arial" w:hAnsi="Arial"/>
          <w:sz w:val="13"/>
          <w:szCs w:val="13"/>
          <w:color w:val="auto"/>
        </w:rPr>
        <w:t>SÃO PAULO</w:t>
      </w:r>
    </w:p>
    <w:p>
      <w:pPr>
        <w:jc w:val="center"/>
        <w:ind w:right="400"/>
        <w:spacing w:after="0" w:line="216" w:lineRule="auto"/>
        <w:rPr>
          <w:sz w:val="20"/>
          <w:szCs w:val="20"/>
          <w:color w:val="auto"/>
        </w:rPr>
      </w:pPr>
      <w:r>
        <w:rPr>
          <w:rFonts w:ascii="Arial" w:cs="Arial" w:eastAsia="Arial" w:hAnsi="Arial"/>
          <w:sz w:val="13"/>
          <w:szCs w:val="13"/>
          <w:color w:val="auto"/>
        </w:rPr>
        <w:t>SEOUL</w:t>
      </w:r>
    </w:p>
    <w:p>
      <w:pPr>
        <w:jc w:val="center"/>
        <w:ind w:right="400"/>
        <w:spacing w:after="0"/>
        <w:rPr>
          <w:sz w:val="20"/>
          <w:szCs w:val="20"/>
          <w:color w:val="auto"/>
        </w:rPr>
      </w:pPr>
      <w:r>
        <w:rPr>
          <w:rFonts w:ascii="Arial" w:cs="Arial" w:eastAsia="Arial" w:hAnsi="Arial"/>
          <w:sz w:val="13"/>
          <w:szCs w:val="13"/>
          <w:color w:val="auto"/>
        </w:rPr>
        <w:t>SHANGHAI</w:t>
      </w:r>
    </w:p>
    <w:p>
      <w:pPr>
        <w:jc w:val="center"/>
        <w:ind w:right="400"/>
        <w:spacing w:after="0" w:line="216" w:lineRule="auto"/>
        <w:rPr>
          <w:sz w:val="20"/>
          <w:szCs w:val="20"/>
          <w:color w:val="auto"/>
        </w:rPr>
      </w:pPr>
      <w:r>
        <w:rPr>
          <w:rFonts w:ascii="Arial" w:cs="Arial" w:eastAsia="Arial" w:hAnsi="Arial"/>
          <w:sz w:val="13"/>
          <w:szCs w:val="13"/>
          <w:color w:val="auto"/>
        </w:rPr>
        <w:t>SINGAPORE</w:t>
      </w:r>
    </w:p>
    <w:p>
      <w:pPr>
        <w:jc w:val="center"/>
        <w:ind w:right="400"/>
        <w:spacing w:after="0"/>
        <w:rPr>
          <w:sz w:val="20"/>
          <w:szCs w:val="20"/>
          <w:color w:val="auto"/>
        </w:rPr>
      </w:pPr>
      <w:r>
        <w:rPr>
          <w:rFonts w:ascii="Arial" w:cs="Arial" w:eastAsia="Arial" w:hAnsi="Arial"/>
          <w:sz w:val="13"/>
          <w:szCs w:val="13"/>
          <w:color w:val="auto"/>
        </w:rPr>
        <w:t>TOKYO</w:t>
      </w:r>
    </w:p>
    <w:p>
      <w:pPr>
        <w:ind w:left="400"/>
        <w:spacing w:after="0"/>
        <w:rPr>
          <w:sz w:val="20"/>
          <w:szCs w:val="20"/>
          <w:color w:val="auto"/>
        </w:rPr>
      </w:pPr>
      <w:r>
        <w:rPr>
          <w:rFonts w:ascii="Arial" w:cs="Arial" w:eastAsia="Arial" w:hAnsi="Arial"/>
          <w:sz w:val="13"/>
          <w:szCs w:val="13"/>
          <w:color w:val="auto"/>
        </w:rPr>
        <w:t>TORONTO</w:t>
      </w:r>
    </w:p>
    <w:p>
      <w:pPr>
        <w:spacing w:after="0" w:line="2631" w:lineRule="exact"/>
        <w:rPr>
          <w:sz w:val="20"/>
          <w:szCs w:val="20"/>
          <w:color w:val="auto"/>
        </w:rPr>
      </w:pPr>
    </w:p>
    <w:p>
      <w:pPr>
        <w:sectPr>
          <w:pgSz w:w="11900" w:h="16838" w:orient="portrait"/>
          <w:cols w:equalWidth="0" w:num="2">
            <w:col w:w="8700" w:space="720"/>
            <w:col w:w="1820"/>
          </w:cols>
          <w:pgMar w:left="320" w:top="104" w:right="339" w:bottom="1440" w:gutter="0" w:footer="0" w:header="0"/>
          <w:type w:val="continuous"/>
        </w:sectPr>
      </w:pPr>
    </w:p>
    <w:p>
      <w:pPr>
        <w:spacing w:after="0" w:line="6" w:lineRule="exact"/>
        <w:rPr>
          <w:sz w:val="20"/>
          <w:szCs w:val="20"/>
          <w:color w:val="auto"/>
        </w:rPr>
      </w:pPr>
    </w:p>
    <w:p>
      <w:pPr>
        <w:ind w:firstLine="1296"/>
        <w:spacing w:after="0" w:line="247" w:lineRule="auto"/>
        <w:rPr>
          <w:sz w:val="20"/>
          <w:szCs w:val="20"/>
          <w:color w:val="auto"/>
        </w:rPr>
      </w:pPr>
      <w:r>
        <w:rPr>
          <w:rFonts w:ascii="Times New Roman" w:cs="Times New Roman" w:eastAsia="Times New Roman" w:hAnsi="Times New Roman"/>
          <w:sz w:val="22"/>
          <w:szCs w:val="22"/>
          <w:color w:val="auto"/>
        </w:rPr>
        <w:t>We have acted as special counsel to you, Perella Weinberg Partners, a Delaware corporation (the “Company”), in connection with the preparation of the Registration Statement (as defined below) relating to (i) the Company’s offer to exchange (the “Exchange Offer”) 0.20 shares of Class A common stock, par value $0.0001 per share (the “Class A Common Stock”), of the Company for each of the Company’s (a) publicly traded warrants (the “Public Warrants”) to purchase shares of the Class A Common Stock, which warrants were issued under the warrant agreement, dated September 24, 2020, by and between the Company (f/k/a FinTech Acquisition Corp. IV (“FTIV”)) and Continental Stock Transfer &amp; Trust Company, as amended by Amendment No. 1, dated November 10, 2021, by and among the Company, Continental Stock Transfer &amp; Trust Company and American Stock Transfer &amp; Trust Company, LLC, as warrant agent (the “Warrant Agreement”), in connection with FTIV’s initial public offering (“IPO”), and (b) warrants to purchase shares of the Class A Common Stock that were issued under the Warrant Agreement in a private placement simultaneously with the IPO (the “Private Placement Warrants” and together with the Public Warrants, the “Warrants”); and (ii) the solicitation of consents (the “Consent Solicitation”) from the holders of the Public Warrants to amend the Warrant Agreement to permit the Company to require that each outstanding Warrant (including each outstanding Private Placement Warrant) that is not tendered pursuant to the Exchange Offer be converted into 0.18 shares of Class A Common Stock (the “Warrant Amendment”), in each case upon the terms and subject to the conditions set forth in the Preliminary Prospectus (as defined below) and the Letter of Transmittal (as defined below).</w:t>
      </w:r>
    </w:p>
    <w:p>
      <w:pPr>
        <w:sectPr>
          <w:pgSz w:w="11900" w:h="16838" w:orient="portrait"/>
          <w:cols w:equalWidth="0" w:num="1">
            <w:col w:w="11240"/>
          </w:cols>
          <w:pgMar w:left="320" w:top="104"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197" w:lineRule="auto"/>
        <w:rPr>
          <w:sz w:val="20"/>
          <w:szCs w:val="20"/>
          <w:color w:val="auto"/>
        </w:rPr>
      </w:pPr>
      <w:r>
        <w:rPr>
          <w:rFonts w:ascii="Times New Roman" w:cs="Times New Roman" w:eastAsia="Times New Roman" w:hAnsi="Times New Roman"/>
          <w:sz w:val="20"/>
          <w:szCs w:val="20"/>
          <w:color w:val="auto"/>
        </w:rPr>
        <w:t>July 22, 2022</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rendering the opinions stated herein we have examined and relied upon the following:</w:t>
      </w:r>
    </w:p>
    <w:p>
      <w:pPr>
        <w:spacing w:after="0" w:line="220" w:lineRule="exact"/>
        <w:rPr>
          <w:sz w:val="20"/>
          <w:szCs w:val="20"/>
          <w:color w:val="auto"/>
        </w:rPr>
      </w:pPr>
    </w:p>
    <w:p>
      <w:pPr>
        <w:ind w:right="140" w:firstLine="1304"/>
        <w:spacing w:after="0" w:line="263" w:lineRule="auto"/>
        <w:tabs>
          <w:tab w:leader="none" w:pos="175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on Form S-4 of the Company relating to Class A Common Stock and other securities of the Company filed on the date hereof with the Securities and Exchange Commission under the Securities Act (such registration statement being hereinafter referred to as the “Registration Statement”);</w:t>
      </w:r>
    </w:p>
    <w:p>
      <w:pPr>
        <w:spacing w:after="0" w:line="167" w:lineRule="exact"/>
        <w:rPr>
          <w:rFonts w:ascii="Times New Roman" w:cs="Times New Roman" w:eastAsia="Times New Roman" w:hAnsi="Times New Roman"/>
          <w:sz w:val="22"/>
          <w:szCs w:val="22"/>
          <w:color w:val="auto"/>
        </w:rPr>
      </w:pPr>
    </w:p>
    <w:p>
      <w:pPr>
        <w:ind w:right="660" w:firstLine="1304"/>
        <w:spacing w:after="0" w:line="257" w:lineRule="auto"/>
        <w:tabs>
          <w:tab w:leader="none" w:pos="176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preliminary prospectus/offer to exchange, dated July 22, 2022, relating to the Exchange Offer and Consent Solicitation, (such preliminary prospectus/offer to exchange being hereinafter referred to as the “Preliminary Prospectus”), which forms a part of and is included in the Registration Statement;</w:t>
      </w:r>
    </w:p>
    <w:p>
      <w:pPr>
        <w:spacing w:after="0" w:line="172"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letter of transmittal and consent (the “Letter of Transmittal”) relating to the Exchange Offer and Consent</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Solicitation; and</w:t>
      </w:r>
    </w:p>
    <w:p>
      <w:pPr>
        <w:spacing w:after="0" w:line="207" w:lineRule="exact"/>
        <w:rPr>
          <w:rFonts w:ascii="Times New Roman" w:cs="Times New Roman" w:eastAsia="Times New Roman" w:hAnsi="Times New Roman"/>
          <w:sz w:val="21"/>
          <w:szCs w:val="21"/>
          <w:color w:val="auto"/>
        </w:rPr>
      </w:pPr>
    </w:p>
    <w:p>
      <w:pPr>
        <w:ind w:right="420" w:firstLine="1304"/>
        <w:spacing w:after="0" w:line="271" w:lineRule="auto"/>
        <w:tabs>
          <w:tab w:leader="none" w:pos="176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the Dealer Manager and Solicitation Agent Agreement, dated July 22, 2022, by and between the Company and Citigroup Global Markets Inc., relating to the Exchange Offer and Consent Solicitation.</w:t>
      </w:r>
    </w:p>
    <w:p>
      <w:pPr>
        <w:spacing w:after="0" w:line="158"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In making our examination of documents, we have assumed that the parties thereto had the power, corporate or otherwise, to enter into and perform all obligations thereunder and have also assumed the due authorization by all requisite action, corporate or otherwise, and the execution and delivery by such parties of such documents and the validity and binding effect thereof on such parties. In rendering our opinion, we have assumed that the transactions contemplated by the foregoing documents have been or will be consummated in accordance with the operative documents and that such documents accurately reflect the material facts of such transactions. For purposes of our opinion, we have assumed the legal capacity of all natural persons, the genuineness of all signatures, the authenticity of all documents submitted to us as originals, the conformity to original documents of all documents submitted to us as certified, conformed, photostatic or electronic copies, and the authenticity of the originals of such latter documents. We have assumed that such documents, certificates, and records are duly authorized, valid, and enforceable.</w:t>
      </w:r>
    </w:p>
    <w:p>
      <w:pPr>
        <w:spacing w:after="0" w:line="183"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In rendering our opinion, we have relied upon statements of officers and other representatives of the Company and others, and we have assumed that such statements are and will continue to be true, correct and complete without regard to any qualification as to knowledge, belief or intent.</w:t>
      </w:r>
    </w:p>
    <w:p>
      <w:pPr>
        <w:spacing w:after="0" w:line="186" w:lineRule="exact"/>
        <w:rPr>
          <w:sz w:val="20"/>
          <w:szCs w:val="20"/>
          <w:color w:val="auto"/>
        </w:rPr>
      </w:pPr>
    </w:p>
    <w:p>
      <w:pPr>
        <w:ind w:right="200" w:firstLine="1296"/>
        <w:spacing w:after="0" w:line="250" w:lineRule="auto"/>
        <w:rPr>
          <w:sz w:val="20"/>
          <w:szCs w:val="20"/>
          <w:color w:val="auto"/>
        </w:rPr>
      </w:pPr>
      <w:r>
        <w:rPr>
          <w:rFonts w:ascii="Times New Roman" w:cs="Times New Roman" w:eastAsia="Times New Roman" w:hAnsi="Times New Roman"/>
          <w:sz w:val="22"/>
          <w:szCs w:val="22"/>
          <w:color w:val="auto"/>
        </w:rPr>
        <w:t>Our opinion is based on the Internal Revenue Code of 1986, as amended, Treasury regulations promulgated thereunder, judicial decisions, published positions of the Internal Revenue Service, and such other authorities as we have considered relevant, all as in effect on the date of this opinion and all of which are subject to change or differing interpretations (possibly with retroactive effect). A change in the authorities upon which our opinion is based could affect the conclusions expressed herein. There can be no assurance,</w:t>
      </w:r>
    </w:p>
    <w:p>
      <w:pPr>
        <w:sectPr>
          <w:pgSz w:w="11900" w:h="16838" w:orient="portrait"/>
          <w:cols w:equalWidth="0" w:num="1">
            <w:col w:w="11200"/>
          </w:cols>
          <w:pgMar w:left="320" w:top="98"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Perella Weinberg Partners</w:t>
      </w:r>
    </w:p>
    <w:p>
      <w:pPr>
        <w:spacing w:after="0" w:line="197" w:lineRule="auto"/>
        <w:rPr>
          <w:sz w:val="20"/>
          <w:szCs w:val="20"/>
          <w:color w:val="auto"/>
        </w:rPr>
      </w:pPr>
      <w:r>
        <w:rPr>
          <w:rFonts w:ascii="Times New Roman" w:cs="Times New Roman" w:eastAsia="Times New Roman" w:hAnsi="Times New Roman"/>
          <w:sz w:val="20"/>
          <w:szCs w:val="20"/>
          <w:color w:val="auto"/>
        </w:rPr>
        <w:t>July 22, 2022</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moreover, that our opinion will be accepted by the Internal Revenue Service or, if challenged, by a court.</w:t>
      </w:r>
    </w:p>
    <w:p>
      <w:pPr>
        <w:spacing w:after="0" w:line="220"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Based upon the foregoing and subject to the limitations, qualifications, exceptions and assumptions set forth herein and in the Registration Statement, we are of the opinion that, under current U.S. federal income tax law, although the discussion in the Registration Statement under the caption “U.S. Federal Income Tax Considerations” does not purport to discuss all possible U.S. federal income tax considerations of the Exchange Offer and adoption of the Warrant Amendment to U.S. Holders (as defined therein) and Non-U.S. Holders (as defined therein), such discussion constitutes, in all material respects, a fair and accurate summary of the U.S. federal income tax considerations of the Exchange Offer and adoption of the Warrant Amendment to U.S. Holders and Non-U.S. Holders.</w:t>
      </w:r>
    </w:p>
    <w:p>
      <w:pPr>
        <w:spacing w:after="0" w:line="194"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1"/>
          <w:szCs w:val="21"/>
          <w:color w:val="auto"/>
        </w:rPr>
        <w:t>Except as set forth above, we express no other opinion. This opinion is furnished only to you and is solely for your benefit in connection with the Registration Statement. It may not be relied upon by anyone else without our prior written consent. This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We consent to the use of our name in the Registration Statement and with the filing of this opinion as an exhibit to the Registration Statement. In giving this consent, we do not admit that we are in the category of persons whose consent is required under Section 7 of the Securities Act of 1933, as amended, or the rules and regulations of the Securities and Exchange Commission thereunder.</w:t>
      </w:r>
    </w:p>
    <w:p>
      <w:pPr>
        <w:spacing w:after="0" w:line="200" w:lineRule="exact"/>
        <w:rPr>
          <w:sz w:val="20"/>
          <w:szCs w:val="20"/>
          <w:color w:val="auto"/>
        </w:rPr>
      </w:pPr>
    </w:p>
    <w:p>
      <w:pPr>
        <w:spacing w:after="0" w:line="2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3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/s/ Skadden, Arps, Slate, Meagher &amp; Flom LLP</w:t>
      </w:r>
    </w:p>
    <w:p>
      <w:pPr>
        <w:sectPr>
          <w:pgSz w:w="11900" w:h="16838" w:orient="portrait"/>
          <w:cols w:equalWidth="0" w:num="1">
            <w:col w:w="11220"/>
          </w:cols>
          <w:pgMar w:left="320" w:top="98" w:right="35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Dealer Manager and Solicitation Agent Agreement</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July 22,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as Dealer Manager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Citigroup Global Markets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 Greenwich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10013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21"/>
          <w:szCs w:val="21"/>
          <w:color w:val="auto"/>
        </w:rPr>
        <w:t>Perella Weinberg Partners, a company incorporated under the laws of Delaware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we</w:t>
      </w:r>
      <w:r>
        <w:rPr>
          <w:rFonts w:ascii="Times New Roman" w:cs="Times New Roman" w:eastAsia="Times New Roman" w:hAnsi="Times New Roman"/>
          <w:sz w:val="21"/>
          <w:szCs w:val="21"/>
          <w:color w:val="auto"/>
        </w:rPr>
        <w:t>”), plans to make an offer (such offer as described in the Prospectus (as defined below), together with the related Consent Solicitation (as defined below), the “</w:t>
      </w:r>
      <w:r>
        <w:rPr>
          <w:rFonts w:ascii="Times New Roman" w:cs="Times New Roman" w:eastAsia="Times New Roman" w:hAnsi="Times New Roman"/>
          <w:sz w:val="21"/>
          <w:szCs w:val="21"/>
          <w:u w:val="single" w:color="auto"/>
          <w:color w:val="auto"/>
        </w:rPr>
        <w:t>Exchange Offer</w:t>
      </w:r>
      <w:r>
        <w:rPr>
          <w:rFonts w:ascii="Times New Roman" w:cs="Times New Roman" w:eastAsia="Times New Roman" w:hAnsi="Times New Roman"/>
          <w:sz w:val="21"/>
          <w:szCs w:val="21"/>
          <w:color w:val="auto"/>
        </w:rPr>
        <w:t>”), for any and all of its outstanding Public Warrants and Private Placement Warrants (collectively, the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 in exchange for consideration consisting of 0.20 shares of Class A Common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for each Warrant tendered, on the terms and subject to the conditions set forth in the Offering Documents (as defined below). Certain terms used herein are defined in Section 20 of this Dealer Manager and Solicitation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22"/>
          <w:szCs w:val="22"/>
          <w:color w:val="auto"/>
        </w:rPr>
        <w:t>Concurrently with making the offer to exchange described in the preceding paragraph, the Company plans to solicit consents (the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from the holders of Public Warrants (as described in the Offering Documents, the “</w:t>
      </w: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to make certain amendments to the terms of the Warrants. Subject to the terms and conditions set forth in the Offering Documents, if Consents are received from the holders of at least 65% of the outstanding Public Warrants, the proposed amendment to the warrant agreement governing the Warrants set forth in the Offering Documents (the “</w:t>
      </w:r>
      <w:r>
        <w:rPr>
          <w:rFonts w:ascii="Times New Roman" w:cs="Times New Roman" w:eastAsia="Times New Roman" w:hAnsi="Times New Roman"/>
          <w:sz w:val="22"/>
          <w:szCs w:val="22"/>
          <w:u w:val="single" w:color="auto"/>
          <w:color w:val="auto"/>
        </w:rPr>
        <w:t>Warrant Amendment</w:t>
      </w:r>
      <w:r>
        <w:rPr>
          <w:rFonts w:ascii="Times New Roman" w:cs="Times New Roman" w:eastAsia="Times New Roman" w:hAnsi="Times New Roman"/>
          <w:sz w:val="22"/>
          <w:szCs w:val="22"/>
          <w:color w:val="auto"/>
        </w:rPr>
        <w:t>”) shall be adopted.</w:t>
      </w:r>
    </w:p>
    <w:p>
      <w:pPr>
        <w:spacing w:after="0" w:line="18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Any reference herein to the Pre-Effective Registration Statement, the Registration Statement, the Preliminary Prospectus or the Prospectus shall be deemed to refer to and include the documents incorporated by reference therein pursuant to Item 11 of Form S-4 which were filed under the Exchange Act on or before the filing of the Pre-Effective Registration Statement, the Effective Date or the issue date of the Preliminary Prospectus or the Prospectus, as the case may be; and any reference herein to the terms “amend,” “amendment” or “supplement” with respect to the Pre-Effective Registration Statement, the Registration Statement, the Preliminary Prospectus or the Prospectus shall be deemed to refer to and include the filing of any document under the Exchange Act after the initial filing of the Pre-Effective Registration Statement,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85" w:name="page86"/>
    <w:bookmarkEnd w:id="85"/>
    <w:p>
      <w:pPr>
        <w:ind w:right="240"/>
        <w:spacing w:after="0" w:line="271" w:lineRule="auto"/>
        <w:rPr>
          <w:sz w:val="20"/>
          <w:szCs w:val="20"/>
          <w:color w:val="auto"/>
        </w:rPr>
      </w:pPr>
      <w:r>
        <w:rPr>
          <w:rFonts w:ascii="Times New Roman" w:cs="Times New Roman" w:eastAsia="Times New Roman" w:hAnsi="Times New Roman"/>
          <w:sz w:val="22"/>
          <w:szCs w:val="22"/>
          <w:color w:val="auto"/>
        </w:rPr>
        <w:t>Effective Date or the issue date of the Preliminary Prospectus or the Prospectus, as the case may be, deemed to be incorporated therein by reference.</w:t>
      </w:r>
    </w:p>
    <w:p>
      <w:pPr>
        <w:spacing w:after="0" w:line="158" w:lineRule="exact"/>
        <w:rPr>
          <w:sz w:val="20"/>
          <w:szCs w:val="20"/>
          <w:color w:val="auto"/>
        </w:rPr>
      </w:pPr>
    </w:p>
    <w:p>
      <w:pPr>
        <w:ind w:left="1040" w:hanging="384"/>
        <w:spacing w:after="0"/>
        <w:tabs>
          <w:tab w:leader="none" w:pos="10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 as Dealer Manager and Solicitation Agent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740" w:right="60" w:firstLine="645"/>
        <w:spacing w:after="0" w:line="251" w:lineRule="auto"/>
        <w:tabs>
          <w:tab w:leader="none" w:pos="18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Citigroup Global Markets Inc. will act as the exclusive dealer manager and solicitation agent for the Exchange Offer and the Consent Solicitation (the “</w:t>
      </w:r>
      <w:r>
        <w:rPr>
          <w:rFonts w:ascii="Times New Roman" w:cs="Times New Roman" w:eastAsia="Times New Roman" w:hAnsi="Times New Roman"/>
          <w:sz w:val="22"/>
          <w:szCs w:val="22"/>
          <w:u w:val="single" w:color="auto"/>
          <w:color w:val="auto"/>
        </w:rPr>
        <w:t>Dealer Manager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in accordance with your customary practices, including without limitation to use commercially reasonable efforts to solicit tenders pursuant to the Exchange Offer, the solicitation of Consents pursuant to the Consent Solicitation and assisting in the distribution of the Offering Documents and to perform such services as are customarily performed by investment banking firms acting as dealer managers and solicitation agents of an exchange offer of like nature.</w:t>
      </w:r>
    </w:p>
    <w:p>
      <w:pPr>
        <w:spacing w:after="0" w:line="181" w:lineRule="exact"/>
        <w:rPr>
          <w:rFonts w:ascii="Times New Roman" w:cs="Times New Roman" w:eastAsia="Times New Roman" w:hAnsi="Times New Roman"/>
          <w:sz w:val="22"/>
          <w:szCs w:val="22"/>
          <w:color w:val="auto"/>
        </w:rPr>
      </w:pPr>
    </w:p>
    <w:p>
      <w:pPr>
        <w:ind w:left="740" w:right="120" w:firstLine="645"/>
        <w:spacing w:after="0" w:line="252" w:lineRule="auto"/>
        <w:tabs>
          <w:tab w:leader="none" w:pos="184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all actions taken by you as Dealer Manager have complied and will comply in all material respects with all applicable laws, regulations and rules of the United States, including, without limitation, the applicable rules and regulations of the registered national securities exchanges of which you are a member and of the Financial Industry Regulatory Authority, Inc.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740" w:firstLine="645"/>
        <w:spacing w:after="0" w:line="250" w:lineRule="auto"/>
        <w:tabs>
          <w:tab w:leader="none" w:pos="18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Dealer Manager, in its sole discretion, may continue to own or dispose of, in any manner it may elect, any Warrants it may beneficially own at the date hereof or hereafter acquire, in any such case, subject to applicable law. The Dealer Manager has no obligation to the Company, pursuant to this Agreement or otherwise, to tender or refrain from tendering Warrants beneficially owned by it in any Exchange Offer (or to deliver Consents in any related Consent Solicitation). The Dealer Manager acknowledges and agrees that if any Exchange Offer is not consummated for any reason, the Company shall have no obligation, pursuant to this Agreement or otherwise, to acquire any Warrants from the Dealer Manager or otherwise to hold the Dealer Manager harmless with respect to any losses it may incur in connection with the resale to any third parties of any Warrants.</w:t>
      </w:r>
    </w:p>
    <w:p>
      <w:pPr>
        <w:spacing w:after="0" w:line="186" w:lineRule="exact"/>
        <w:rPr>
          <w:rFonts w:ascii="Times New Roman" w:cs="Times New Roman" w:eastAsia="Times New Roman" w:hAnsi="Times New Roman"/>
          <w:sz w:val="22"/>
          <w:szCs w:val="22"/>
          <w:color w:val="auto"/>
        </w:rPr>
      </w:pPr>
    </w:p>
    <w:p>
      <w:pPr>
        <w:ind w:left="740" w:right="20" w:firstLine="645"/>
        <w:spacing w:after="0" w:line="256" w:lineRule="auto"/>
        <w:tabs>
          <w:tab w:leader="none" w:pos="185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it will not file, use or publish any material in connection with the Exchange Offer, use the name Citigroup or Citigroup Global Markets Inc. or refer to you or your relationship with the Company, without your prior written consent to the form of such use or reference. There shall be no fee for any such permitted use or reference other than as set forth herein.</w:t>
      </w:r>
    </w:p>
    <w:p>
      <w:pPr>
        <w:spacing w:after="0" w:line="176" w:lineRule="exact"/>
        <w:rPr>
          <w:rFonts w:ascii="Times New Roman" w:cs="Times New Roman" w:eastAsia="Times New Roman" w:hAnsi="Times New Roman"/>
          <w:sz w:val="22"/>
          <w:szCs w:val="22"/>
          <w:color w:val="auto"/>
        </w:rPr>
      </w:pPr>
    </w:p>
    <w:p>
      <w:pPr>
        <w:ind w:firstLine="656"/>
        <w:spacing w:after="0" w:line="250" w:lineRule="auto"/>
        <w:tabs>
          <w:tab w:leader="none" w:pos="102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Company shall pay to you in respect of your services as Dealer Manager the fee set forth in the attached Schedule A (the “</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The Company shall also promptly reimburse you, without regard to consummation of the Exchange Offer, for (i) your reasonable out-of-pocket expenses in preparing for and performing your functions as Dealer Manager; and (ii) the reasonable fees, costs and out-of-pocket expenses of your counsel for their representation of you incurred in connection with the Exchange Offer, not to exceed $200,000 in the case of this clause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22" w:right="359" w:bottom="1440" w:gutter="0" w:footer="0" w:header="0"/>
        </w:sectPr>
      </w:pPr>
    </w:p>
    <w:bookmarkStart w:id="86" w:name="page87"/>
    <w:bookmarkEnd w:id="86"/>
    <w:p>
      <w:pPr>
        <w:ind w:right="120" w:firstLine="656"/>
        <w:spacing w:after="0" w:line="271" w:lineRule="auto"/>
        <w:tabs>
          <w:tab w:leader="none" w:pos="102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represents and warrants to, and agrees with, you as set forth below in this Section 3:</w:t>
      </w:r>
    </w:p>
    <w:p>
      <w:pPr>
        <w:spacing w:after="0" w:line="153" w:lineRule="exact"/>
        <w:rPr>
          <w:rFonts w:ascii="Times New Roman" w:cs="Times New Roman" w:eastAsia="Times New Roman" w:hAnsi="Times New Roman"/>
          <w:sz w:val="22"/>
          <w:szCs w:val="22"/>
          <w:color w:val="auto"/>
        </w:rPr>
      </w:pPr>
    </w:p>
    <w:p>
      <w:pPr>
        <w:ind w:left="740" w:right="200" w:firstLine="645"/>
        <w:spacing w:after="0" w:line="265" w:lineRule="auto"/>
        <w:tabs>
          <w:tab w:leader="none" w:pos="18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Form S-4. </w:t>
      </w:r>
      <w:r>
        <w:rPr>
          <w:rFonts w:ascii="Times New Roman" w:cs="Times New Roman" w:eastAsia="Times New Roman" w:hAnsi="Times New Roman"/>
          <w:sz w:val="21"/>
          <w:szCs w:val="21"/>
          <w:color w:val="auto"/>
        </w:rPr>
        <w:t>The Company has prepared and filed with the Commission the Pre-Effective Registration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Statement on Form S-4, including a related Preliminary Prospectus, for registration under the Securities Act of the Shares in connection with the Exchange Offer. The Pre-Effective Registration Statement will have been declared effective by the Commission prior to the Expiration Date and any request on the part of the Commission or any other federal, state or local or other governmental or regulatory agency, authority or instrumentality or court or arbitrator for the amending or supplementing of the Offering Documents or for additional information has been complied with. The Company meets the conditions for the use of Form S-4 with respect to the Pre-Effective Registration Statement and the Registration Statement in connection with the Exchange Offer as contemplated by this Agreement.</w:t>
      </w:r>
    </w:p>
    <w:p>
      <w:pPr>
        <w:spacing w:after="0" w:line="161" w:lineRule="exact"/>
        <w:rPr>
          <w:rFonts w:ascii="Times New Roman" w:cs="Times New Roman" w:eastAsia="Times New Roman" w:hAnsi="Times New Roman"/>
          <w:sz w:val="21"/>
          <w:szCs w:val="21"/>
          <w:color w:val="auto"/>
        </w:rPr>
      </w:pPr>
    </w:p>
    <w:p>
      <w:pPr>
        <w:ind w:left="740" w:firstLine="645"/>
        <w:spacing w:after="0" w:line="247" w:lineRule="auto"/>
        <w:tabs>
          <w:tab w:leader="none" w:pos="185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Pre-Effective Registration Statement, Registration Statement, Preliminary Prospectus and Prospectus. </w:t>
      </w: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Pre-Effective Registration Statement and any amendment thereto, as of the Commencement Date, the Registration Statement, as of the Effective Date, the Expiration Date and the Exchange Date, and the Preliminary Prospectus and any amendments and supplements thereto, as of its date, the Commencement Date and the Exchange Date, comply, and will comply, in all material respects with the Securities Act and the Exchange Act and the rules and regulations of the Commission thereunder (including Rule 13e-4 and Rule 14e under the Exchange Act), (ii) the Prospectus (together with any supplement and amendment thereto), as of the date it is first filed in accordance with Rule 424(b) under the Securities Act (if it is so filed) and the Exchange Date, will comply, in all material respects with the Securities Act and the Exchange Act and the rules and regulations of the Commission thereunder (including Rule 13e-4 and Rule 14e under the Exchange Act), (iii) the Pre-Effective Registration Statement and any amendment thereto as of the Commencement Date, and the Registration Statement, as of the Effective Date, the Expiration Date and the Exchange Date, did not contain, and will not contain, any untrue statement of a material fact and did not omit, and will not omit, to state a material fact required to be stated therein or necessary to make the statements therein not misleading, (iv) the Preliminary Prospectus as of its date did not contain any untrue statement of a material fact and did not omit to state a material fact necessary to make the statements therein, in the light of the circumstances under which they were made, not misleading and (v) the Prospectus (together with any supplement or amendment thereto), as of the date it is first filed in accordance with Rule 424(b) (if required), the Expiration Date and the Exchange Date, will not contain any untrue statement of a material fact and will not omit to state a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makes no representations or warranties as to the information contained in or omitted from the Pre-Effective Registration Statement, the Registration Statement, any Preliminary Prospectus or the Prospectus (or any supplement or amendment thereto) in reliance upon and in conformity with information furnished to the Company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7" w:name="page88"/>
    <w:bookmarkEnd w:id="87"/>
    <w:p>
      <w:pPr>
        <w:ind w:right="260"/>
        <w:spacing w:after="0" w:line="257" w:lineRule="auto"/>
        <w:rPr>
          <w:sz w:val="20"/>
          <w:szCs w:val="20"/>
          <w:color w:val="auto"/>
        </w:rPr>
      </w:pPr>
      <w:r>
        <w:rPr>
          <w:rFonts w:ascii="Times New Roman" w:cs="Times New Roman" w:eastAsia="Times New Roman" w:hAnsi="Times New Roman"/>
          <w:sz w:val="22"/>
          <w:szCs w:val="22"/>
          <w:color w:val="auto"/>
        </w:rPr>
        <w:t>by or on behalf of the Dealer Manager expressly for inclusion therein (the “</w:t>
      </w:r>
      <w:r>
        <w:rPr>
          <w:rFonts w:ascii="Times New Roman" w:cs="Times New Roman" w:eastAsia="Times New Roman" w:hAnsi="Times New Roman"/>
          <w:sz w:val="22"/>
          <w:szCs w:val="22"/>
          <w:u w:val="single" w:color="auto"/>
          <w:color w:val="auto"/>
        </w:rPr>
        <w:t>Dealer Manager Information</w:t>
      </w:r>
      <w:r>
        <w:rPr>
          <w:rFonts w:ascii="Times New Roman" w:cs="Times New Roman" w:eastAsia="Times New Roman" w:hAnsi="Times New Roman"/>
          <w:sz w:val="22"/>
          <w:szCs w:val="22"/>
          <w:color w:val="auto"/>
        </w:rPr>
        <w:t>”), it being understood that the Dealer Manager Information shall include only the name and the contact information of the Dealer Manager.</w:t>
      </w:r>
    </w:p>
    <w:p>
      <w:pPr>
        <w:spacing w:after="0" w:line="182" w:lineRule="exact"/>
        <w:rPr>
          <w:sz w:val="20"/>
          <w:szCs w:val="20"/>
          <w:color w:val="auto"/>
        </w:rPr>
      </w:pPr>
    </w:p>
    <w:p>
      <w:pPr>
        <w:ind w:firstLine="645"/>
        <w:spacing w:after="0" w:line="248" w:lineRule="auto"/>
        <w:tabs>
          <w:tab w:leader="none" w:pos="110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Documents Incorporated by Reference. </w:t>
      </w:r>
      <w:r>
        <w:rPr>
          <w:rFonts w:ascii="Times New Roman" w:cs="Times New Roman" w:eastAsia="Times New Roman" w:hAnsi="Times New Roman"/>
          <w:sz w:val="22"/>
          <w:szCs w:val="22"/>
          <w:color w:val="auto"/>
        </w:rPr>
        <w:t>The documents incorporated by reference in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Statement and the Prospectus and the Schedule TO (as defined below), when they became effective or were filed with the Commission, as the case may be, conformed in all material respects to the requirements of the Securities Act or the Exchange Act, as applicable, and the rules and regulations of the Commission thereunder, and none of such documents contained an untrue statement of a material fact or omitted to state a material fact necessary to make the statements therein, in the light of the circumstances under which they were made, not misleading; and any further documents so filed and incorporated by reference in the Prospectus,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representation and warranty shall not apply to any statements or omissions made in reliance upon and in conformity with the Dealer Manager Information.</w:t>
      </w:r>
    </w:p>
    <w:p>
      <w:pPr>
        <w:spacing w:after="0" w:line="179" w:lineRule="exact"/>
        <w:rPr>
          <w:rFonts w:ascii="Times New Roman" w:cs="Times New Roman" w:eastAsia="Times New Roman" w:hAnsi="Times New Roman"/>
          <w:sz w:val="22"/>
          <w:szCs w:val="22"/>
          <w:color w:val="auto"/>
        </w:rPr>
      </w:pPr>
    </w:p>
    <w:p>
      <w:pPr>
        <w:ind w:firstLine="645"/>
        <w:spacing w:after="0" w:line="248" w:lineRule="auto"/>
        <w:tabs>
          <w:tab w:leader="none" w:pos="111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Schedule TO. </w:t>
      </w:r>
      <w:r>
        <w:rPr>
          <w:rFonts w:ascii="Times New Roman" w:cs="Times New Roman" w:eastAsia="Times New Roman" w:hAnsi="Times New Roman"/>
          <w:sz w:val="22"/>
          <w:szCs w:val="22"/>
          <w:color w:val="auto"/>
        </w:rPr>
        <w:t>(i) On the Commencement Date, the Company will duly file with the Commission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Schedule TO pursuant to Rule 13e-4 promulgated by the Commission under the Exchange Act, a copy of which Schedule TO (including the documents required by Item 12 thereof to be filed as exhibits thereto) in the form in which it is to be so filed has been or will be furnished to the Dealer Manager; (ii) any amendments to the Schedule TO and the final form of all such documents filed with the Commission or published, sent, or given to holders of Warrants will be furnished to you prior to any such amendment, filing, publication, or distribution; (iii) the Schedule TO as so filed and as amended or supplemented from time to time will comply in all material respects with the provisions of the Exchange Act and the rules and regulations thereunder; and (iv) the Schedule TO as filed or as amended or supplemented from time to time will not contain any untrue statement of a material fact or omit to state a material fact necessary in order to make the statements made therein, in the light of the circumstances under which they are made, not misleading, except that the Company makes no representation or warranty with respect to any statement contained in, or any matter omitted from, the Schedule TO and in conformity with the Dealer Manager Information.</w:t>
      </w:r>
    </w:p>
    <w:p>
      <w:pPr>
        <w:spacing w:after="0" w:line="184" w:lineRule="exact"/>
        <w:rPr>
          <w:rFonts w:ascii="Times New Roman" w:cs="Times New Roman" w:eastAsia="Times New Roman" w:hAnsi="Times New Roman"/>
          <w:sz w:val="22"/>
          <w:szCs w:val="22"/>
          <w:color w:val="auto"/>
        </w:rPr>
      </w:pPr>
    </w:p>
    <w:p>
      <w:pPr>
        <w:ind w:right="200" w:firstLine="645"/>
        <w:spacing w:after="0" w:line="258" w:lineRule="auto"/>
        <w:tabs>
          <w:tab w:leader="none" w:pos="110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Rule 165 Material. </w:t>
      </w:r>
      <w:r>
        <w:rPr>
          <w:rFonts w:ascii="Times New Roman" w:cs="Times New Roman" w:eastAsia="Times New Roman" w:hAnsi="Times New Roman"/>
          <w:sz w:val="22"/>
          <w:szCs w:val="22"/>
          <w:color w:val="auto"/>
        </w:rPr>
        <w:t>The Rule 165 Material when filed with the Commission complied or will comply in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respects with the applicable requirements of the Securities Act; and no Rule 165 Material, at the time of first use, when taken together with each Preliminary Prospectus and the Prospectus, as then amended or supplemented, contained or will contain any untrue statement of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00"/>
          </w:cols>
          <w:pgMar w:left="1060" w:top="1422" w:right="339" w:bottom="1440" w:gutter="0" w:footer="0" w:header="0"/>
        </w:sectPr>
      </w:pPr>
    </w:p>
    <w:bookmarkStart w:id="88" w:name="page89"/>
    <w:bookmarkEnd w:id="88"/>
    <w:p>
      <w:pPr>
        <w:ind w:right="400"/>
        <w:spacing w:after="0" w:line="256" w:lineRule="auto"/>
        <w:rPr>
          <w:sz w:val="20"/>
          <w:szCs w:val="20"/>
          <w:color w:val="auto"/>
        </w:rPr>
      </w:pPr>
      <w:r>
        <w:rPr>
          <w:rFonts w:ascii="Times New Roman" w:cs="Times New Roman" w:eastAsia="Times New Roman" w:hAnsi="Times New Roman"/>
          <w:sz w:val="22"/>
          <w:szCs w:val="22"/>
          <w:color w:val="auto"/>
        </w:rPr>
        <w:t xml:space="preserve">fact or omitted or will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representation and warranty shall not apply to any statements or omissions in the Rule 165 Material made in reliance upon and in conformity with the Dealer Manager Information.</w:t>
      </w:r>
    </w:p>
    <w:p>
      <w:pPr>
        <w:spacing w:after="0" w:line="172" w:lineRule="exact"/>
        <w:rPr>
          <w:sz w:val="20"/>
          <w:szCs w:val="20"/>
          <w:color w:val="auto"/>
        </w:rPr>
      </w:pPr>
    </w:p>
    <w:p>
      <w:pPr>
        <w:jc w:val="both"/>
        <w:ind w:firstLine="645"/>
        <w:spacing w:after="0" w:line="259" w:lineRule="auto"/>
        <w:tabs>
          <w:tab w:leader="none" w:pos="10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Stop Orders</w:t>
      </w:r>
      <w:r>
        <w:rPr>
          <w:rFonts w:ascii="Times New Roman" w:cs="Times New Roman" w:eastAsia="Times New Roman" w:hAnsi="Times New Roman"/>
          <w:sz w:val="22"/>
          <w:szCs w:val="22"/>
          <w:color w:val="auto"/>
        </w:rPr>
        <w:t>. No stop order suspending the effectiveness of the Registration Statement is in effect, and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proceedings for such purpose or pursuant to Section 8A under the Securities Act are pending before or, to the knowledge of the Company, threatened by the Commission.</w:t>
      </w:r>
    </w:p>
    <w:p>
      <w:pPr>
        <w:spacing w:after="0" w:line="166" w:lineRule="exact"/>
        <w:rPr>
          <w:rFonts w:ascii="Times New Roman" w:cs="Times New Roman" w:eastAsia="Times New Roman" w:hAnsi="Times New Roman"/>
          <w:sz w:val="22"/>
          <w:szCs w:val="22"/>
          <w:color w:val="auto"/>
        </w:rPr>
      </w:pPr>
    </w:p>
    <w:p>
      <w:pPr>
        <w:ind w:right="20" w:firstLine="645"/>
        <w:spacing w:after="0" w:line="265" w:lineRule="auto"/>
        <w:tabs>
          <w:tab w:leader="none" w:pos="111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Emerging Growth Company</w:t>
      </w:r>
      <w:r>
        <w:rPr>
          <w:rFonts w:ascii="Times New Roman" w:cs="Times New Roman" w:eastAsia="Times New Roman" w:hAnsi="Times New Roman"/>
          <w:sz w:val="22"/>
          <w:szCs w:val="22"/>
          <w:color w:val="auto"/>
        </w:rPr>
        <w:t>. From the time of initial filing of the Registration Statement to the Commission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the date hereof, the Company has been and is an “emerging growth company,” as defined in Section 2(a) of the Securities Act (an “</w:t>
      </w:r>
      <w:r>
        <w:rPr>
          <w:rFonts w:ascii="Times New Roman" w:cs="Times New Roman" w:eastAsia="Times New Roman" w:hAnsi="Times New Roman"/>
          <w:sz w:val="22"/>
          <w:szCs w:val="22"/>
          <w:u w:val="single" w:color="auto"/>
          <w:color w:val="auto"/>
        </w:rPr>
        <w:t>Emerging Growth Company</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ind w:right="40" w:firstLine="645"/>
        <w:spacing w:after="0" w:line="249" w:lineRule="auto"/>
        <w:tabs>
          <w:tab w:leader="none" w:pos="111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Testing-the-Waters Materials. </w:t>
      </w:r>
      <w:r>
        <w:rPr>
          <w:rFonts w:ascii="Times New Roman" w:cs="Times New Roman" w:eastAsia="Times New Roman" w:hAnsi="Times New Roman"/>
          <w:sz w:val="22"/>
          <w:szCs w:val="22"/>
          <w:color w:val="auto"/>
        </w:rPr>
        <w:t>The Company (i) has not alone engaged in any Testing-the-Waters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Communication with any person other than Testing-the-Waters Communications with the consent of the Dealer Manager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Dealer Manager to engage in Testing-the-Waters Communications. The Company reconfirms that the Dealer Manager has been authorized to act on its behalf in undertaking Testing-the-Waters Communications. The Company has not distributed or approved for distribution any Testing-the-Waters Communication that is a written communication within the meaning of Rule 405 under the Securities Act. “Testing-the-Waters Communication” means any communication with potential investors undertaken in reliance on Section 5(d) or Rule 163B of the Securities Act.</w:t>
      </w:r>
    </w:p>
    <w:p>
      <w:pPr>
        <w:spacing w:after="0" w:line="183" w:lineRule="exact"/>
        <w:rPr>
          <w:rFonts w:ascii="Times New Roman" w:cs="Times New Roman" w:eastAsia="Times New Roman" w:hAnsi="Times New Roman"/>
          <w:sz w:val="22"/>
          <w:szCs w:val="22"/>
          <w:color w:val="auto"/>
        </w:rPr>
      </w:pPr>
    </w:p>
    <w:p>
      <w:pPr>
        <w:ind w:right="40" w:firstLine="645"/>
        <w:spacing w:after="0" w:line="249" w:lineRule="auto"/>
        <w:tabs>
          <w:tab w:leader="none" w:pos="106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Statements. </w:t>
      </w:r>
      <w:r>
        <w:rPr>
          <w:rFonts w:ascii="Times New Roman" w:cs="Times New Roman" w:eastAsia="Times New Roman" w:hAnsi="Times New Roman"/>
          <w:sz w:val="22"/>
          <w:szCs w:val="22"/>
          <w:color w:val="auto"/>
        </w:rPr>
        <w:t>The audited consolidated financial statements (including the related notes thereto)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included or incorporated by reference in each of the Pre-Effective Registration Statement, the Registration Statement, the Preliminary Prospectus and the Prospectus, present fairly in all material respects the financial condition, results of operations and cash flows of the Company as of the dates and for the periods indicated, comply as to form in all material respects with the applicable accounting requirements of the Securities Act and have been prepared in conformity with U.S. generally accepted accounting principles (“U.S. GAAP”) applied on a consistent basis throughout the periods involved; and the other financial information included in each of the Pre-Effective Registration Statement, the Registration Statement, the Preliminary Prospectus and the Prospectus, has been derived from the accounting records of the Company and presents fairly in all material respects the information shown thereby. Except as included or incorporated by reference therein, no historical or pro forma financial statements or supporting schedules are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480"/>
          </w:cols>
          <w:pgMar w:left="1060" w:top="1422" w:right="359" w:bottom="1440" w:gutter="0" w:footer="0" w:header="0"/>
        </w:sectPr>
      </w:pPr>
    </w:p>
    <w:bookmarkStart w:id="89" w:name="page90"/>
    <w:bookmarkEnd w:id="89"/>
    <w:p>
      <w:pPr>
        <w:ind w:right="200"/>
        <w:spacing w:after="0" w:line="250" w:lineRule="auto"/>
        <w:rPr>
          <w:sz w:val="20"/>
          <w:szCs w:val="20"/>
          <w:color w:val="auto"/>
        </w:rPr>
      </w:pPr>
      <w:r>
        <w:rPr>
          <w:rFonts w:ascii="Times New Roman" w:cs="Times New Roman" w:eastAsia="Times New Roman" w:hAnsi="Times New Roman"/>
          <w:sz w:val="22"/>
          <w:szCs w:val="22"/>
          <w:color w:val="auto"/>
        </w:rPr>
        <w:t>included in the Pre-Effective Registration Statement, the Registration Statement, the Preliminary Prospectus and the Prospectus under the Securities Act or the rules and regulations promulgated thereunder. All disclosures contained in each of the Pre-Effective Registration Statement, the Registration Statement, the Preliminary Prospectus and the Prospectus, regarding “non-GAAP financial measures” (as such term is defined by the rules and regulations of the Commission) comply in all material respects with Regulation G of the Exchange Act and Item 10 of Regulation S-K of the Securities Act, to the extent applicable; all statistical or market-related data included in each of the Pre-Effective Registration Statement, the Registration Statement, the Preliminary Prospectus and the Prospectus are based on or derived from sources that are reasonably believed to be reliable and accurate, and no consent for the use of such data is required other than those consents that have been obtained.</w:t>
      </w:r>
    </w:p>
    <w:p>
      <w:pPr>
        <w:spacing w:after="0" w:line="176" w:lineRule="exact"/>
        <w:rPr>
          <w:sz w:val="20"/>
          <w:szCs w:val="20"/>
          <w:color w:val="auto"/>
        </w:rPr>
      </w:pPr>
    </w:p>
    <w:p>
      <w:pPr>
        <w:ind w:firstLine="645"/>
        <w:spacing w:after="0" w:line="260" w:lineRule="auto"/>
        <w:tabs>
          <w:tab w:leader="none" w:pos="106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Material Adverse Effect. </w:t>
      </w:r>
      <w:r>
        <w:rPr>
          <w:rFonts w:ascii="Times New Roman" w:cs="Times New Roman" w:eastAsia="Times New Roman" w:hAnsi="Times New Roman"/>
          <w:sz w:val="21"/>
          <w:szCs w:val="21"/>
          <w:color w:val="auto"/>
        </w:rPr>
        <w:t>Neither the Company nor any of its subsidiaries have, since the date of the latest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audited financial statements included or incorporated by reference in the Pre-Effective Registration Statement, the Registration Statement, the Preliminary Prospectus and the Prospectus, (i) sustained any material loss or interference with their businesses, taken as a whole,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Pre-Effective Registration Statement, the Registration Statement, the Preliminary Prospectus and the Prospectus; and, since the respective dates as of which information is given in the Pre-Effective Registration Statement, the Registration Statement, the Preliminary Prospectus and the Prospectus, there has not been (x) any change in the capital stock (other than as a result of (i) the exercise or settlement, if any, of stock options or restricted stock units, respectively, or the award, if any, of stock options, restricted stock units or restricted stock in the ordinary course of business pursuant to the Company’s equity plans that are described in the Pre-Effective Registration Statement, the Registration Statement, the Preliminary Prospectus and the Prospectus or (ii) the issuance, if any, of stock upon conversion or exchange of Company or PWP Holdings LP securities as described in each of the Pre-Effective Registration Statement, the Registration Statement, the Preliminary Prospectus and the Prospectus) or long-term debt of the Company or any of its subsidiaries or (y) any Material Adverse Effect.</w:t>
      </w:r>
    </w:p>
    <w:p>
      <w:pPr>
        <w:spacing w:after="0" w:line="169" w:lineRule="exact"/>
        <w:rPr>
          <w:rFonts w:ascii="Times New Roman" w:cs="Times New Roman" w:eastAsia="Times New Roman" w:hAnsi="Times New Roman"/>
          <w:sz w:val="21"/>
          <w:szCs w:val="21"/>
          <w:color w:val="auto"/>
        </w:rPr>
      </w:pPr>
    </w:p>
    <w:p>
      <w:pPr>
        <w:ind w:right="80" w:firstLine="645"/>
        <w:spacing w:after="0" w:line="269" w:lineRule="auto"/>
        <w:tabs>
          <w:tab w:leader="none" w:pos="111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Organization and Good Standing. </w:t>
      </w:r>
      <w:r>
        <w:rPr>
          <w:rFonts w:ascii="Times New Roman" w:cs="Times New Roman" w:eastAsia="Times New Roman" w:hAnsi="Times New Roman"/>
          <w:sz w:val="21"/>
          <w:szCs w:val="21"/>
          <w:color w:val="auto"/>
        </w:rPr>
        <w:t>Each of the Company and its subsidiaries (i) has been duly incorporated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organized, as applicable, and is validly existing and in good standing (to the extent such concept is recognized in such jurisdiction) under the laws of its jurisdiction of organization, with power and authority (corporate and other) to own its properties and conduct its business as described in each of the Pre-Effective Registration Statement, the Registration Statement, the Preliminary Prospectus and the Prospectus, and (ii) is duly qualified as a foreign corporation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00"/>
          </w:cols>
          <w:pgMar w:left="1060" w:top="1422" w:right="339" w:bottom="1440" w:gutter="0" w:footer="0" w:header="0"/>
        </w:sectPr>
      </w:pPr>
    </w:p>
    <w:bookmarkStart w:id="90" w:name="page91"/>
    <w:bookmarkEnd w:id="90"/>
    <w:p>
      <w:pPr>
        <w:ind w:right="120"/>
        <w:spacing w:after="0" w:line="256" w:lineRule="auto"/>
        <w:rPr>
          <w:sz w:val="20"/>
          <w:szCs w:val="20"/>
          <w:color w:val="auto"/>
        </w:rPr>
      </w:pPr>
      <w:r>
        <w:rPr>
          <w:rFonts w:ascii="Times New Roman" w:cs="Times New Roman" w:eastAsia="Times New Roman" w:hAnsi="Times New Roman"/>
          <w:sz w:val="22"/>
          <w:szCs w:val="22"/>
          <w:color w:val="auto"/>
        </w:rPr>
        <w:t>transaction of business and is in good standing (to the extent such concept is recognized in such jurisdiction) under the laws of each other jurisdiction in which it owns or leases properties or conducts any business so as to require such qualification, except where the failure to be so qualified or in good standing would not, individually or in the aggregate, have a Material Adverse Effect.</w:t>
      </w:r>
    </w:p>
    <w:p>
      <w:pPr>
        <w:spacing w:after="0" w:line="172" w:lineRule="exact"/>
        <w:rPr>
          <w:sz w:val="20"/>
          <w:szCs w:val="20"/>
          <w:color w:val="auto"/>
        </w:rPr>
      </w:pPr>
    </w:p>
    <w:p>
      <w:pPr>
        <w:ind w:firstLine="645"/>
        <w:spacing w:after="0" w:line="247" w:lineRule="auto"/>
        <w:tabs>
          <w:tab w:leader="none" w:pos="106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Capitalization. </w:t>
      </w:r>
      <w:r>
        <w:rPr>
          <w:rFonts w:ascii="Times New Roman" w:cs="Times New Roman" w:eastAsia="Times New Roman" w:hAnsi="Times New Roman"/>
          <w:sz w:val="22"/>
          <w:szCs w:val="22"/>
          <w:color w:val="auto"/>
        </w:rPr>
        <w:t>The Company has an authorized capitalization as set forth in the Pre-Effective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the Registration Statement, the Preliminary Prospectus and the Prospectus and all of the issued shares of capital stock of the Company have been duly and validly authorized and issued and are fully paid and non-assessable and conform in all material respects to the description of the capital stock contained in the Pre-Effective Registration Statement, the Registration Statement, the Preliminary Prospectus and the Prospectus; and all of the issued equity interests of each subsidiary of the Company have been duly and validly authorized and issued, are fully paid and non-assessable and (except, in the case of any foreign subsidiary, for directors’ qualifying shares or as otherwise set forth in the Preliminary Prospectus and the Prospectus) are owned directly or indirectly by the Company, free and clear of all liens, encumbrances, equities or claims, except for such liens, encumbrances, equities or claims described in the Pre-Effective Registration Statement, the Registration Statement, the Preliminary Prospectus and the Prospectus or that would not, individually or in the aggregate, reasonably be expected to have a Material Adverse Effect; the Shares to be issued in exchange for the Warrants as contemplated by the Offering Documents have been duly and validly authorized for issuance and sale by the Company, and, when issued and delivered as contemplated therein, will be duly and validly issued and fully paid and non-assessable and will conform in all material respects to the description of the Class A Common Stock contained in the Pre-Effective Registration Statement, the Registration Statement, the Preliminary Prospectus and the Prospectus; and the issuance of the Shares as contemplated by the Offering Documents will not give rise to any preemptive or similar rights, other than those which have been waived or satisfied.</w:t>
      </w:r>
    </w:p>
    <w:p>
      <w:pPr>
        <w:spacing w:after="0" w:line="190" w:lineRule="exact"/>
        <w:rPr>
          <w:rFonts w:ascii="Times New Roman" w:cs="Times New Roman" w:eastAsia="Times New Roman" w:hAnsi="Times New Roman"/>
          <w:sz w:val="22"/>
          <w:szCs w:val="22"/>
          <w:color w:val="auto"/>
        </w:rPr>
      </w:pPr>
    </w:p>
    <w:p>
      <w:pPr>
        <w:ind w:right="120" w:firstLine="645"/>
        <w:spacing w:after="0" w:line="258" w:lineRule="auto"/>
        <w:tabs>
          <w:tab w:leader="none" w:pos="117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Required Filings</w:t>
      </w:r>
      <w:r>
        <w:rPr>
          <w:rFonts w:ascii="Times New Roman" w:cs="Times New Roman" w:eastAsia="Times New Roman" w:hAnsi="Times New Roman"/>
          <w:sz w:val="22"/>
          <w:szCs w:val="22"/>
          <w:color w:val="auto"/>
        </w:rPr>
        <w:t>. The Company has filed with the Commission pursuant to Rule 13e-4(c)(1)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Exchange Act (or Rule 425 under the Securities Act) or otherwise all written communications made by the Company or any affiliate of the Company in connection with or relating to the Exchange Offer or the Consent Solicitation that are required to be filed with the Commission, in each case on the date of their first use.</w:t>
      </w:r>
    </w:p>
    <w:p>
      <w:pPr>
        <w:spacing w:after="0" w:line="167" w:lineRule="exact"/>
        <w:rPr>
          <w:rFonts w:ascii="Times New Roman" w:cs="Times New Roman" w:eastAsia="Times New Roman" w:hAnsi="Times New Roman"/>
          <w:sz w:val="22"/>
          <w:szCs w:val="22"/>
          <w:color w:val="auto"/>
        </w:rPr>
      </w:pPr>
    </w:p>
    <w:p>
      <w:pPr>
        <w:ind w:right="160" w:firstLine="645"/>
        <w:spacing w:after="0" w:line="252" w:lineRule="auto"/>
        <w:tabs>
          <w:tab w:leader="none" w:pos="111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Compliance. </w:t>
      </w:r>
      <w:r>
        <w:rPr>
          <w:rFonts w:ascii="Times New Roman" w:cs="Times New Roman" w:eastAsia="Times New Roman" w:hAnsi="Times New Roman"/>
          <w:sz w:val="22"/>
          <w:szCs w:val="22"/>
          <w:color w:val="auto"/>
        </w:rPr>
        <w:t>The Company has complied in all material respects with the Securities Act and the Exchange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 and the rules and regulations of the Commission thereunder in connection with the Exchange Offer, the Consent Solicitation, the Offering Documents and the transactions contemplated hereby and thereby. The Company is subject to and in full compliance with the reporting requirements of Section 13 or Section 15(d) of the Exchange Act. The Company has not received from the Commission any written comments, questions or requests for modification of disclosure in respect of any reports filed with the Commission pursuant to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480"/>
          </w:cols>
          <w:pgMar w:left="1060" w:top="1422" w:right="359" w:bottom="1440" w:gutter="0" w:footer="0" w:header="0"/>
        </w:sectPr>
      </w:pPr>
    </w:p>
    <w:bookmarkStart w:id="91" w:name="page92"/>
    <w:bookmarkEnd w:id="91"/>
    <w:p>
      <w:pPr>
        <w:ind w:left="3" w:right="240"/>
        <w:spacing w:after="0" w:line="256" w:lineRule="auto"/>
        <w:rPr>
          <w:sz w:val="20"/>
          <w:szCs w:val="20"/>
          <w:color w:val="auto"/>
        </w:rPr>
      </w:pPr>
      <w:r>
        <w:rPr>
          <w:rFonts w:ascii="Times New Roman" w:cs="Times New Roman" w:eastAsia="Times New Roman" w:hAnsi="Times New Roman"/>
          <w:sz w:val="22"/>
          <w:szCs w:val="22"/>
          <w:color w:val="auto"/>
        </w:rPr>
        <w:t>except for comments, questions or requests (i) that have been satisfied by the provision of supplemental information to the staff of the Commission, or (ii) in respect of which the Company has agreed with the staff of the Commission to make a prospective change in future reports filed by it with the Commission pursuant to the Exchange Act, of which agreement the Dealer Manager and its counsel have been made aware.</w:t>
      </w:r>
    </w:p>
    <w:p>
      <w:pPr>
        <w:spacing w:after="0" w:line="172" w:lineRule="exact"/>
        <w:rPr>
          <w:sz w:val="20"/>
          <w:szCs w:val="20"/>
          <w:color w:val="auto"/>
        </w:rPr>
      </w:pPr>
    </w:p>
    <w:p>
      <w:pPr>
        <w:ind w:left="3" w:right="100" w:firstLine="645"/>
        <w:spacing w:after="0" w:line="253" w:lineRule="auto"/>
        <w:tabs>
          <w:tab w:leader="none" w:pos="111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Due Authorization</w:t>
      </w:r>
      <w:r>
        <w:rPr>
          <w:rFonts w:ascii="Times New Roman" w:cs="Times New Roman" w:eastAsia="Times New Roman" w:hAnsi="Times New Roman"/>
          <w:sz w:val="22"/>
          <w:szCs w:val="22"/>
          <w:color w:val="auto"/>
        </w:rPr>
        <w:t>. The Company has full right, power and authority to execute and deliver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8" w:lineRule="exact"/>
        <w:rPr>
          <w:rFonts w:ascii="Times New Roman" w:cs="Times New Roman" w:eastAsia="Times New Roman" w:hAnsi="Times New Roman"/>
          <w:sz w:val="22"/>
          <w:szCs w:val="22"/>
          <w:color w:val="auto"/>
        </w:rPr>
      </w:pPr>
    </w:p>
    <w:p>
      <w:pPr>
        <w:ind w:left="3" w:right="20" w:firstLine="645"/>
        <w:spacing w:after="0" w:line="275" w:lineRule="auto"/>
        <w:tabs>
          <w:tab w:leader="none" w:pos="111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Dealer Manager and Solicitation Agent Agreement. </w:t>
      </w:r>
      <w:r>
        <w:rPr>
          <w:rFonts w:ascii="Times New Roman" w:cs="Times New Roman" w:eastAsia="Times New Roman" w:hAnsi="Times New Roman"/>
          <w:sz w:val="22"/>
          <w:szCs w:val="22"/>
          <w:color w:val="auto"/>
        </w:rPr>
        <w:t>This Agreement has been duly authorized, executed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by the Company.</w:t>
      </w:r>
    </w:p>
    <w:p>
      <w:pPr>
        <w:spacing w:after="0" w:line="149" w:lineRule="exact"/>
        <w:rPr>
          <w:rFonts w:ascii="Times New Roman" w:cs="Times New Roman" w:eastAsia="Times New Roman" w:hAnsi="Times New Roman"/>
          <w:sz w:val="22"/>
          <w:szCs w:val="22"/>
          <w:color w:val="auto"/>
        </w:rPr>
      </w:pPr>
    </w:p>
    <w:p>
      <w:pPr>
        <w:ind w:left="3" w:right="140" w:firstLine="645"/>
        <w:spacing w:after="0" w:line="262" w:lineRule="auto"/>
        <w:tabs>
          <w:tab w:leader="none" w:pos="1119"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Violation or Default. </w:t>
      </w:r>
      <w:r>
        <w:rPr>
          <w:rFonts w:ascii="Times New Roman" w:cs="Times New Roman" w:eastAsia="Times New Roman" w:hAnsi="Times New Roman"/>
          <w:sz w:val="21"/>
          <w:szCs w:val="21"/>
          <w:color w:val="auto"/>
        </w:rPr>
        <w:t>None of the Company nor any of its subsidiaries is (i) in violation of its certificate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incorporation, by-laws, limited partnership agreement or operating agreement (or other applicable organization document), as applicable, (ii) in violation of any statute or any judgment, order, rule or regulation of any court or governmental agency or body having jurisdiction over the Company or any of its subsidiaries or any of its properties, or</w:t>
      </w:r>
    </w:p>
    <w:p>
      <w:pPr>
        <w:spacing w:after="0" w:line="1" w:lineRule="exact"/>
        <w:rPr>
          <w:rFonts w:ascii="Times New Roman" w:cs="Times New Roman" w:eastAsia="Times New Roman" w:hAnsi="Times New Roman"/>
          <w:sz w:val="21"/>
          <w:szCs w:val="21"/>
          <w:color w:val="auto"/>
        </w:rPr>
      </w:pPr>
    </w:p>
    <w:p>
      <w:pPr>
        <w:jc w:val="both"/>
        <w:ind w:left="3" w:right="140" w:hanging="3"/>
        <w:spacing w:after="0" w:line="248" w:lineRule="auto"/>
        <w:tabs>
          <w:tab w:leader="none" w:pos="3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as would not, individually or in the aggregate, have a Material Adverse Effect.</w:t>
      </w:r>
    </w:p>
    <w:p>
      <w:pPr>
        <w:spacing w:after="0" w:line="179" w:lineRule="exact"/>
        <w:rPr>
          <w:rFonts w:ascii="Times New Roman" w:cs="Times New Roman" w:eastAsia="Times New Roman" w:hAnsi="Times New Roman"/>
          <w:sz w:val="22"/>
          <w:szCs w:val="22"/>
          <w:color w:val="auto"/>
        </w:rPr>
      </w:pPr>
    </w:p>
    <w:p>
      <w:pPr>
        <w:ind w:left="3" w:firstLine="645"/>
        <w:spacing w:after="0" w:line="249" w:lineRule="auto"/>
        <w:tabs>
          <w:tab w:leader="none" w:pos="108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Conflicts. </w:t>
      </w:r>
      <w:r>
        <w:rPr>
          <w:rFonts w:ascii="Times New Roman" w:cs="Times New Roman" w:eastAsia="Times New Roman" w:hAnsi="Times New Roman"/>
          <w:sz w:val="22"/>
          <w:szCs w:val="22"/>
          <w:color w:val="auto"/>
        </w:rPr>
        <w:t>The execution, delivery and performance by the Company of this Agreement, the conduct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consummation of the Exchange Offer and the consummation by the Company of the other transactions contemplated by this Agreement or the Preliminary Prospectus and the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Governmental Authority (as defined below) or other body having jurisdiction over the Company or any of its subsidiaries or any of its properties, except, in the case of clauses (A) and (C) for such defaults, conflicts, breaches, or violations that would not, individually or in the aggregate, have a Material Adverse Effect.</w:t>
      </w:r>
    </w:p>
    <w:p>
      <w:pPr>
        <w:spacing w:after="0" w:line="177" w:lineRule="exact"/>
        <w:rPr>
          <w:rFonts w:ascii="Times New Roman" w:cs="Times New Roman" w:eastAsia="Times New Roman" w:hAnsi="Times New Roman"/>
          <w:sz w:val="22"/>
          <w:szCs w:val="22"/>
          <w:color w:val="auto"/>
        </w:rPr>
      </w:pPr>
    </w:p>
    <w:p>
      <w:pPr>
        <w:ind w:left="3" w:right="340" w:firstLine="645"/>
        <w:spacing w:after="0" w:line="265" w:lineRule="auto"/>
        <w:tabs>
          <w:tab w:leader="none" w:pos="109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Consents Required. </w:t>
      </w:r>
      <w:r>
        <w:rPr>
          <w:rFonts w:ascii="Times New Roman" w:cs="Times New Roman" w:eastAsia="Times New Roman" w:hAnsi="Times New Roman"/>
          <w:sz w:val="22"/>
          <w:szCs w:val="22"/>
          <w:color w:val="auto"/>
        </w:rPr>
        <w:t>No consent, approval, authorization, order, registration or qualification of or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Governmental Authority or body is required for the performance by the Company of its obligations under this Agreement,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03"/>
          </w:cols>
          <w:pgMar w:left="1057" w:top="1422" w:right="33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22"/>
          <w:szCs w:val="22"/>
          <w:color w:val="auto"/>
        </w:rPr>
        <w:t>such as have been obtained under the Securities Act, as may be required by the securities or Blue Sky laws of the various states, the rules and regulations of FINRA or the listing rules of the Nasdaq Global Select Market in connection with Exchange Offer or that would not impair the ability of the Company to perform its obligations under this Agreement, the conduct and consummation of the Exchange Offer and the consummation by the Company of the other transactions contemplated by this Agreement or the Preliminary Prospectus and the Prospectus.</w:t>
      </w:r>
    </w:p>
    <w:p>
      <w:pPr>
        <w:spacing w:after="0" w:line="175" w:lineRule="exact"/>
        <w:rPr>
          <w:sz w:val="20"/>
          <w:szCs w:val="20"/>
          <w:color w:val="auto"/>
        </w:rPr>
      </w:pPr>
    </w:p>
    <w:p>
      <w:pPr>
        <w:ind w:right="20" w:firstLine="645"/>
        <w:spacing w:after="0" w:line="259" w:lineRule="auto"/>
        <w:tabs>
          <w:tab w:leader="none" w:pos="106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Legal Proceedings. </w:t>
      </w:r>
      <w:r>
        <w:rPr>
          <w:rFonts w:ascii="Times New Roman" w:cs="Times New Roman" w:eastAsia="Times New Roman" w:hAnsi="Times New Roman"/>
          <w:sz w:val="21"/>
          <w:szCs w:val="21"/>
          <w:color w:val="auto"/>
        </w:rPr>
        <w:t>Other than as set forth in each of the Pre-Effective Registration Statement,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Registration Statement, the Preliminary Prospectus and the Prospectus, there are no legal, governmental or self-regulatory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any Governmental Authority or others; such legal, governmental or self-regulatory proceedings include, but are not limited to, (i) any investigation with respect to any cease-and-desist order, consent agreement, any commitment letter or similar undertaking to, memorandum of understanding or other regulatory enforcement action, proceeding or order or (ii) any directive by, or any supervisory letter from, the Commission, FINRA or any other applicable self-regulatory organization, or any court, administrative agency or commission or other governmental agency, authority or instrumentality having supervisory or regulatory authority with respect to the Company or any of its subsidiaries (each, a “Governmental Authority”) that currently restricts in any material respect the conduct of the business of the Company or its subsidiaries or that relates to their capital adequacy, their credit policies, their management or their business (each, a “Regulatory Agreement”). Neither the Company nor any of its subsidiaries has been advised by any Governmental Authority that it is considering issuing or requesting any such Regulatory Agreement or that they may be subject to an investigation, audit or other examination which is likely to lead to the imposition of any civil monetary or other penalties. There is no unresolved violation, criticism or exception by any Governmental Authority with respect to any report or statement relating to any examinations of the Company or any of its subsidiaries which would, singly or in the aggregate, reasonably be expected to have a Material Adverse Effect. Neither the Company nor any of its subsidiaries nor any of their respective officers, directors or employees has been the subject of any disciplinary proceedings or orders of any Governmental Authority arising under applicable laws or regulations which would be required to be disclosed on the Form BD of a Broker-Dealer Subsidiary, except as disclosed thereon, and no such disciplinary proceeding or order is pending or, to the knowledge of the Company, threatened, nor, to the knowledge of the Company, do grounds exist for any such material action by any Governmental Authority; and except as disclosed on such Form BD, neither the Company nor any of its subsidiaries nor any of their respective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460"/>
          </w:cols>
          <w:pgMar w:left="1060" w:top="1422" w:right="379" w:bottom="1440" w:gutter="0" w:footer="0" w:header="0"/>
        </w:sectPr>
      </w:pPr>
    </w:p>
    <w:bookmarkStart w:id="93" w:name="page94"/>
    <w:bookmarkEnd w:id="93"/>
    <w:p>
      <w:pPr>
        <w:ind w:right="800"/>
        <w:spacing w:after="0" w:line="295" w:lineRule="auto"/>
        <w:rPr>
          <w:sz w:val="20"/>
          <w:szCs w:val="20"/>
          <w:color w:val="auto"/>
        </w:rPr>
      </w:pPr>
      <w:r>
        <w:rPr>
          <w:rFonts w:ascii="Times New Roman" w:cs="Times New Roman" w:eastAsia="Times New Roman" w:hAnsi="Times New Roman"/>
          <w:sz w:val="21"/>
          <w:szCs w:val="21"/>
          <w:color w:val="auto"/>
        </w:rPr>
        <w:t>directors or employees has been enjoined by the order, judgment or decree of any Governmental Authority from engaging in or continuing any conduct or practice in connection with any Company or subsidiary activity.</w:t>
      </w:r>
    </w:p>
    <w:p>
      <w:pPr>
        <w:spacing w:after="0" w:line="131" w:lineRule="exact"/>
        <w:rPr>
          <w:sz w:val="20"/>
          <w:szCs w:val="20"/>
          <w:color w:val="auto"/>
        </w:rPr>
      </w:pPr>
    </w:p>
    <w:p>
      <w:pPr>
        <w:ind w:right="280" w:firstLine="645"/>
        <w:spacing w:after="0" w:line="266" w:lineRule="auto"/>
        <w:tabs>
          <w:tab w:leader="none" w:pos="111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Independent Accountants. </w:t>
      </w:r>
      <w:r>
        <w:rPr>
          <w:rFonts w:ascii="Times New Roman" w:cs="Times New Roman" w:eastAsia="Times New Roman" w:hAnsi="Times New Roman"/>
          <w:sz w:val="21"/>
          <w:szCs w:val="21"/>
          <w:color w:val="auto"/>
        </w:rPr>
        <w:t>Ernst &amp; Young, LLP, who have certified certain financial statements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and its consolidated subsidiaries, for the applicable periods, and delivered their report with respect to the audited financial statements incorporated by reference into each of the Pre-Effective Registration Statement, the Registration Statement, the Preliminary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76" w:lineRule="exact"/>
        <w:rPr>
          <w:rFonts w:ascii="Times New Roman" w:cs="Times New Roman" w:eastAsia="Times New Roman" w:hAnsi="Times New Roman"/>
          <w:sz w:val="21"/>
          <w:szCs w:val="21"/>
          <w:color w:val="auto"/>
        </w:rPr>
      </w:pPr>
    </w:p>
    <w:p>
      <w:pPr>
        <w:ind w:firstLine="645"/>
        <w:spacing w:after="0" w:line="247" w:lineRule="auto"/>
        <w:tabs>
          <w:tab w:leader="none" w:pos="11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Title to Real and Personal Property. </w:t>
      </w:r>
      <w:r>
        <w:rPr>
          <w:rFonts w:ascii="Times New Roman" w:cs="Times New Roman" w:eastAsia="Times New Roman" w:hAnsi="Times New Roman"/>
          <w:sz w:val="22"/>
          <w:szCs w:val="22"/>
          <w:color w:val="auto"/>
        </w:rPr>
        <w:t>The Company and its subsidiaries have good and marketable title in fee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simple to all material real property owned by them and good and marketable title to all material personal property (other than with respect to intellectual property which is addressed exclusively in subsection (y)) owned by them, in each case free and clear of all liens, encumbrances and defects except such as are described in the Pre-Effective Registration Statement, the Registration Statement, the Preliminary Prospectus and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(subject to the effects of (x) bankruptcy, insolvency, fraudulent conveyance, fraudulent transfer, reorganization, moratorium or other similar laws relating to or affecting the rights or remedies of creditors generally and (y) the application of general principles of equity (including, without limitation, concepts of materiality, reasonableness, good faith and fair dealing, regardless of whether enforcement is considered in proceedings at law or in equity)) with such exceptions as are not material and do not materially interfere with the use made and proposed to be made of such property and buildings by the Company and its subsidiaries, taken as a whole.</w:t>
      </w:r>
    </w:p>
    <w:p>
      <w:pPr>
        <w:spacing w:after="0" w:line="189" w:lineRule="exact"/>
        <w:rPr>
          <w:rFonts w:ascii="Times New Roman" w:cs="Times New Roman" w:eastAsia="Times New Roman" w:hAnsi="Times New Roman"/>
          <w:sz w:val="22"/>
          <w:szCs w:val="22"/>
          <w:color w:val="auto"/>
        </w:rPr>
      </w:pPr>
    </w:p>
    <w:p>
      <w:pPr>
        <w:ind w:firstLine="645"/>
        <w:spacing w:after="0" w:line="249" w:lineRule="auto"/>
        <w:tabs>
          <w:tab w:leader="none" w:pos="116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The Company and each of its subsidiaries own or possess adequate rights to use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as currently conducted, and to their knowledge, the conduct of their respective businesses does not and will not infringe any such intellectual property rights of a third party, nor have they received any notice thereof from a third party that is undisclosed as of the date hereof, as of the Commencement Date and as of the Exchange Date, except in each case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480"/>
          </w:cols>
          <w:pgMar w:left="1060" w:top="1422"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not, individually or in the aggregate, reasonably be expect to have a Material Adverse Effect.</w:t>
      </w:r>
    </w:p>
    <w:p>
      <w:pPr>
        <w:spacing w:after="0" w:line="216" w:lineRule="exact"/>
        <w:rPr>
          <w:sz w:val="20"/>
          <w:szCs w:val="20"/>
          <w:color w:val="auto"/>
        </w:rPr>
      </w:pPr>
    </w:p>
    <w:p>
      <w:pPr>
        <w:ind w:right="20" w:firstLine="645"/>
        <w:spacing w:after="0" w:line="260" w:lineRule="auto"/>
        <w:tabs>
          <w:tab w:leader="none" w:pos="111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Data Privacy. </w:t>
      </w:r>
      <w:r>
        <w:rPr>
          <w:rFonts w:ascii="Times New Roman" w:cs="Times New Roman" w:eastAsia="Times New Roman" w:hAnsi="Times New Roman"/>
          <w:sz w:val="21"/>
          <w:szCs w:val="21"/>
          <w:color w:val="auto"/>
        </w:rPr>
        <w:t>The Company and its subsidiaries’ information technology assets and equipment, computers,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material breaches, violations, outages or unauthorized uses of or accesses to same, except for those that have been remedied without material cost or liability or the duty to notify any other person, nor any material incidents under internal review or investigations relating to the same;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9" w:lineRule="exact"/>
        <w:rPr>
          <w:rFonts w:ascii="Times New Roman" w:cs="Times New Roman" w:eastAsia="Times New Roman" w:hAnsi="Times New Roman"/>
          <w:sz w:val="21"/>
          <w:szCs w:val="21"/>
          <w:color w:val="auto"/>
        </w:rPr>
      </w:pPr>
    </w:p>
    <w:p>
      <w:pPr>
        <w:ind w:firstLine="645"/>
        <w:spacing w:after="0" w:line="258" w:lineRule="auto"/>
        <w:tabs>
          <w:tab w:leader="none" w:pos="11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Company Act. </w:t>
      </w:r>
      <w:r>
        <w:rPr>
          <w:rFonts w:ascii="Times New Roman" w:cs="Times New Roman" w:eastAsia="Times New Roman" w:hAnsi="Times New Roman"/>
          <w:sz w:val="22"/>
          <w:szCs w:val="22"/>
          <w:color w:val="auto"/>
        </w:rPr>
        <w:t>The Company is not, and after giving effect to the consummation of the Exchange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Offer or the Consent Solicitation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right="40" w:firstLine="645"/>
        <w:spacing w:after="0" w:line="248" w:lineRule="auto"/>
        <w:tabs>
          <w:tab w:leader="none" w:pos="110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All federal, state, local and foreign tax returns required to be filed by the Company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have been timely filed or extensions to file such returns have been timely requested (except in any case in which the failure to file would not, individually or in the aggregate, have a Material Adverse Effect) and all taxes and other assessments of a similar nature (whether imposed directly or through withholding) including any interest, additions to tax or penalties applicable thereto due or claimed to be due from such entities have been timely paid, other than those being contested in good faith and for which adequate reserves have been provided in accordance with U.S. GAAP and except in any case where the failure to pay would not, individually or in the aggregate, have a Material Adverse Effect, and no unpaid tax deficiency has been determined adversely to the Company or any of its subsidiaries which has had (nor does the Company nor any of its subsidiaries have any written notice or knowledge of any tax deficiency which could reasonably be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480"/>
          </w:cols>
          <w:pgMar w:left="1060" w:top="1422" w:right="359" w:bottom="1440" w:gutter="0" w:footer="0" w:header="0"/>
        </w:sectPr>
      </w:pPr>
    </w:p>
    <w:bookmarkStart w:id="95" w:name="page96"/>
    <w:bookmarkEnd w:id="95"/>
    <w:p>
      <w:pPr>
        <w:ind w:right="300"/>
        <w:spacing w:after="0" w:line="271" w:lineRule="auto"/>
        <w:rPr>
          <w:sz w:val="20"/>
          <w:szCs w:val="20"/>
          <w:color w:val="auto"/>
        </w:rPr>
      </w:pPr>
      <w:r>
        <w:rPr>
          <w:rFonts w:ascii="Times New Roman" w:cs="Times New Roman" w:eastAsia="Times New Roman" w:hAnsi="Times New Roman"/>
          <w:sz w:val="22"/>
          <w:szCs w:val="22"/>
          <w:color w:val="auto"/>
        </w:rPr>
        <w:t>determined adversely to the Company or its subsidiaries and which could reasonably be expected to have) a Material Adverse Effect.</w:t>
      </w:r>
    </w:p>
    <w:p>
      <w:pPr>
        <w:spacing w:after="0" w:line="154" w:lineRule="exact"/>
        <w:rPr>
          <w:sz w:val="20"/>
          <w:szCs w:val="20"/>
          <w:color w:val="auto"/>
        </w:rPr>
      </w:pPr>
    </w:p>
    <w:p>
      <w:pPr>
        <w:ind w:firstLine="645"/>
        <w:spacing w:after="0" w:line="260" w:lineRule="auto"/>
        <w:tabs>
          <w:tab w:leader="none" w:pos="12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Licenses and Permits. </w:t>
      </w:r>
      <w:r>
        <w:rPr>
          <w:rFonts w:ascii="Times New Roman" w:cs="Times New Roman" w:eastAsia="Times New Roman" w:hAnsi="Times New Roman"/>
          <w:sz w:val="21"/>
          <w:szCs w:val="21"/>
          <w:color w:val="auto"/>
        </w:rPr>
        <w:t>The Company and each of its subsidiaries have such registrations with and permits,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licenses, patents, franchises, certificates of need and other approvals or authorizations of, governmental or regulatory authorities (“Permits”), in each case as are necessary under applicable law to own the properties and conduct the businesses of the Company and each of its subsidiaries in the manner described in each of the Pre-Effective Registration Statement, the Registration Statement, the Preliminary Prospectus and the Prospectus, except where the failure to have any such Permit would not, individually or in the aggregate, have a Material Adverse Effect; each of the Company and its subsidiaries has fulfilled and performed all of its obligations with respect to the Permits, and no event has occurred that allows, or after notice or lapse of time would allow, revocation or termination thereof or results in any other impairment of the rights of the holder or any such Permits, in each case except for any such failure or event that would not, individually or in the aggregate, have a Material Adverse Effect; each of the Company and its subsidiaries, and, to the Company’s knowledge, each of their respective officers, partners, directors, affiliates and employees, is a member in good standing of each federal, state or foreign exchange, board of trade, clearing house, association, self-regulatory or similar organization, in each case as are necessary to own the properties and conduct the businesses of the Company and each of its subsidiaries in the manner described in the Pre-Effective Registration Statement, the Registration Statement, the Preliminary Prospectus and the Prospectus, except to the extent any such failure to be in good standing would not, individually or in the aggregate, have a Material Adverse Effect.</w:t>
      </w:r>
    </w:p>
    <w:p>
      <w:pPr>
        <w:spacing w:after="0" w:line="174" w:lineRule="exact"/>
        <w:rPr>
          <w:rFonts w:ascii="Times New Roman" w:cs="Times New Roman" w:eastAsia="Times New Roman" w:hAnsi="Times New Roman"/>
          <w:sz w:val="21"/>
          <w:szCs w:val="21"/>
          <w:color w:val="auto"/>
        </w:rPr>
      </w:pPr>
    </w:p>
    <w:p>
      <w:pPr>
        <w:ind w:right="20" w:firstLine="645"/>
        <w:spacing w:after="0" w:line="248" w:lineRule="auto"/>
        <w:tabs>
          <w:tab w:leader="none" w:pos="12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Broker-Dealer. </w:t>
      </w:r>
      <w:r>
        <w:rPr>
          <w:rFonts w:ascii="Times New Roman" w:cs="Times New Roman" w:eastAsia="Times New Roman" w:hAnsi="Times New Roman"/>
          <w:sz w:val="22"/>
          <w:szCs w:val="22"/>
          <w:color w:val="auto"/>
        </w:rPr>
        <w:t>(i) None of the Company or any of its subsidiaries (other than Perella Weinberg Partners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LP and Tudor, Pickering, Holt &amp; Co. Securities LLC (each, a “Broker-Dealer Subsidiary”)) is required to register as a broker-dealer under the Exchange Act and the rules and regulations of the Commission thereunder or the securities laws of any state; (ii) to the Company’s knowledge, no officer, partner, director, affiliate or employee of the Company or any of its subsidiaries is, or will as a result of the transactions contemplated by this Agreement be, required to register as a broker-dealer under the Exchange Act and the rules and regulations of the Commission thereunder or the securities laws of any state, other than such officers, partners, directors, affiliates and employees of the Company or any of its subsidiaries who are so registered under the Exchange Act and in such jurisdictions as of the date hereof, as of the Commencement Date and as of the Exchange Date; (iii) each Broker-Dealer Subsidiary is (x) duly registered with the Commission, licensed and qualified as a broker-dealer under the Exchange Act and the rules and regulations of the Commission thereunder, (y) the securities laws of each state where the conduct of its respective business requires such registration, license or qualification and such registrations, licenses or qualifications have not been suspended, revoked or rescinded and remain in full force and effect and (z) is duly registered and is in good standing with FINRA and each self-regulatory organization of which it is required to be a member; and (iv)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400"/>
          </w:cols>
          <w:pgMar w:left="1060" w:top="1422" w:right="439" w:bottom="1440" w:gutter="0" w:footer="0" w:header="0"/>
        </w:sectPr>
      </w:pPr>
    </w:p>
    <w:bookmarkStart w:id="96" w:name="page97"/>
    <w:bookmarkEnd w:id="96"/>
    <w:p>
      <w:pPr>
        <w:spacing w:after="0" w:line="260" w:lineRule="auto"/>
        <w:rPr>
          <w:sz w:val="20"/>
          <w:szCs w:val="20"/>
          <w:color w:val="auto"/>
        </w:rPr>
      </w:pPr>
      <w:r>
        <w:rPr>
          <w:rFonts w:ascii="Times New Roman" w:cs="Times New Roman" w:eastAsia="Times New Roman" w:hAnsi="Times New Roman"/>
          <w:sz w:val="21"/>
          <w:szCs w:val="21"/>
          <w:color w:val="auto"/>
        </w:rPr>
        <w:t>persons associated with a Broker-Dealer Subsidiary are duly registered with any self-regulatory organization and each jurisdiction where the association of such persons with a Broker-Dealer Subsidiary requires such registration, and such registrations have not been suspended, revoked or rescinded and remain in full force and effect (except, in the case of clauses (iii) and (iv), to the extent any such failure to be so registered or suspension, revocation or rescission of such registration would not, individually or in the aggregate, have a Material Adverse Effect). The operations of each Broker-Dealer Subsidiary have been conducted in compliance with all applicable requirements of the Exchange Act and the rules and regulations of the Commission and each applicable self-regulatory organization and state securities regulatory authority in all material respects. Other than with respect to customers that are subsidiaries of the Company, the business activities engaged in by a Broker-Dealer Subsidiary do not involve the handling of customer funds or securities. None of the Company, any of its subsidiaries or, to the Company’s knowledge, any of their respective Associated Persons (as defined under the Exchange Act or the by-laws of FINRA, as applicable), is (i) ineligible or disqualified pursuant to Section 15(b) of the Exchange Act to serve as a broker-dealer or as a person “associated” with a broker-dealer, (ii) subject to “statutory disqualification” (as such term is defined in Section 3(a)(39) of the Exchange Act) or (iii) is subject to a disqualification that would be a basis for censure or suspension or revocation of registration as a securities broker-dealer under Section 15 of the Exchange Act, or similar state law (except in the cases of clauses (i), (ii) and (iii), to the extent that any such disqualification would not, individually or in the aggregate, have a Material Adverse Effect).</w:t>
      </w:r>
    </w:p>
    <w:p>
      <w:pPr>
        <w:spacing w:after="0" w:line="171" w:lineRule="exact"/>
        <w:rPr>
          <w:sz w:val="20"/>
          <w:szCs w:val="20"/>
          <w:color w:val="auto"/>
        </w:rPr>
      </w:pPr>
    </w:p>
    <w:p>
      <w:pPr>
        <w:ind w:right="60" w:firstLine="645"/>
        <w:spacing w:after="0" w:line="247" w:lineRule="auto"/>
        <w:tabs>
          <w:tab w:leader="none" w:pos="12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Perella Weinberg UK; Perella Weinberg Partners France. </w:t>
      </w:r>
      <w:r>
        <w:rPr>
          <w:rFonts w:ascii="Times New Roman" w:cs="Times New Roman" w:eastAsia="Times New Roman" w:hAnsi="Times New Roman"/>
          <w:sz w:val="22"/>
          <w:szCs w:val="22"/>
          <w:color w:val="auto"/>
        </w:rPr>
        <w:t>Perella Weinberg UK Limited is duly authorized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UK Financial Conduct Authority (the “FCA”) pursuant to Part 4A of FSMA to conduct the following regulated activities, subject to applicable limitations and requirements set forth in such authorization: (i) to agree to carry on a regulated activity, (ii) to arrange (bring about) deals in investments, (iii) to advise on investments, (iv) to make arrangements with a view to transactions in investments, (v) to receive and transmit orders, and (vi) to do placing of financial instruments on a non-firm commitment basis. Perella Weinberg Partners France SAS is duly authorized by the French Autorité de Contrôle Prudentiel et de Resolution (“ACPR”) and the Autorité des Marches Financiers to carry out the following investment services: (i) reception and transmission of orders in relation to one or more financial instruments, and (ii) investment advice; no additional authorizations from, to or with the FCA, or any self-regulatory organization, court, administrative agency or commission or other governmental agency, authority, or instrumentality are required to be obtained or made in order for Perella Weinberg UK Limited to conduct their respective businesses as described in the Pre-Effective Registration Statement, the Registration Statement, the Preliminary Prospectus and the Prospectus, except for such authorizations, the failure of which to obtain or make, would not, singly or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00"/>
          </w:cols>
          <w:pgMar w:left="1060" w:top="1422" w:right="339" w:bottom="1440" w:gutter="0" w:footer="0" w:header="0"/>
        </w:sectPr>
      </w:pPr>
    </w:p>
    <w:bookmarkStart w:id="97" w:name="page98"/>
    <w:bookmarkEnd w:id="97"/>
    <w:p>
      <w:pPr>
        <w:jc w:val="both"/>
        <w:ind w:left="-380" w:firstLine="645"/>
        <w:spacing w:after="0" w:line="259" w:lineRule="auto"/>
        <w:tabs>
          <w:tab w:leader="none" w:pos="8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Tudor, Pickering, Holt &amp; Co. Securities – Canada. </w:t>
      </w:r>
      <w:r>
        <w:rPr>
          <w:rFonts w:ascii="Times New Roman" w:cs="Times New Roman" w:eastAsia="Times New Roman" w:hAnsi="Times New Roman"/>
          <w:sz w:val="22"/>
          <w:szCs w:val="22"/>
          <w:color w:val="auto"/>
        </w:rPr>
        <w:t>Tudor, Pickering, Holt &amp; Co. Securities - Canada, ULC,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a registered broker-dealer and member in good standing of the Investment Industry Regulatory Organization of Canada (“IIROC”) and neither the Company nor any other subsidiary is required to be so registered.</w:t>
      </w:r>
    </w:p>
    <w:p>
      <w:pPr>
        <w:spacing w:after="0" w:line="179" w:lineRule="exact"/>
        <w:rPr>
          <w:rFonts w:ascii="Times New Roman" w:cs="Times New Roman" w:eastAsia="Times New Roman" w:hAnsi="Times New Roman"/>
          <w:sz w:val="22"/>
          <w:szCs w:val="22"/>
          <w:color w:val="auto"/>
        </w:rPr>
      </w:pPr>
    </w:p>
    <w:p>
      <w:pPr>
        <w:ind w:left="-380" w:right="80" w:firstLine="645"/>
        <w:spacing w:after="0" w:line="247" w:lineRule="auto"/>
        <w:tabs>
          <w:tab w:leader="none" w:pos="8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Compliance with Regulatory Authorities. </w:t>
      </w:r>
      <w:r>
        <w:rPr>
          <w:rFonts w:ascii="Times New Roman" w:cs="Times New Roman" w:eastAsia="Times New Roman" w:hAnsi="Times New Roman"/>
          <w:sz w:val="22"/>
          <w:szCs w:val="22"/>
          <w:color w:val="auto"/>
        </w:rPr>
        <w:t>The Company and each of its applicable subsidiaries have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filed with the Commission, FINRA, the FCA, the ACPR and IIROC, as the case may be, in correct form in all material respects the reports, data, other information returns and other applications required to be filed under applicable laws and regulations and such reports, data, other information returns and other applications were complete and accurate and in compliance with the requirements of applicable laws and regulations in all material respects as of the time of filing and are complete and accurate and in compliance with the requirements of applicable laws and regulations in all material respects, provided that information as of a later date shall be deemed to modify information as of an earlier date; the Company has previously delivered or made available to the Dealer Manager, to the extent the Dealer Manager has requested the same, accurate and complete copies of all such reports, data, other information returns and other applications; neither the Company nor any of its applicable subsidiaries (i) is subject to any formal or informal enforcement or supervisory action by the Commission, FINRA, the FCA, ACPR or IIROC (except as otherwise disclosed in the Pricing Disclosure Package or the Prospectus and except as would not, individually or in the aggregate, have a Material Adverse Effect) or (ii) expects to be subject to any formal or informal enforcement or supervisory action by the Commission, FINRA, the FCA, ACPR or IIROC.</w:t>
      </w:r>
    </w:p>
    <w:p>
      <w:pPr>
        <w:spacing w:after="0" w:line="189" w:lineRule="exact"/>
        <w:rPr>
          <w:rFonts w:ascii="Times New Roman" w:cs="Times New Roman" w:eastAsia="Times New Roman" w:hAnsi="Times New Roman"/>
          <w:sz w:val="22"/>
          <w:szCs w:val="22"/>
          <w:color w:val="auto"/>
        </w:rPr>
      </w:pPr>
    </w:p>
    <w:p>
      <w:pPr>
        <w:ind w:left="-380" w:right="40" w:firstLine="645"/>
        <w:spacing w:after="0" w:line="248" w:lineRule="auto"/>
        <w:tabs>
          <w:tab w:leader="none" w:pos="76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Sarbanes-Oxley; Internal Accounting Controls. </w:t>
      </w:r>
      <w:r>
        <w:rPr>
          <w:rFonts w:ascii="Times New Roman" w:cs="Times New Roman" w:eastAsia="Times New Roman" w:hAnsi="Times New Roman"/>
          <w:sz w:val="22"/>
          <w:szCs w:val="22"/>
          <w:color w:val="auto"/>
        </w:rPr>
        <w:t>The Company maintains a system of internal control over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reporting (as such term is defined in Rule 13a-15(f) under the Exchange Act) that (i) complies with the applicable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controls over financial reporting are effective and the Company is not aware of any material weaknesses in the Company’s internal control over financial reporting other than as disclosed in the Pre-Effective Registration Statement, the Registration Statement, the Preliminary Prospectus and the Prospectus; provided, that, it is understood that this subsection shall not require the Company to comply with Section 404 of the Sarbanes Oxley Act of 2002 as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20"/>
          </w:cols>
          <w:pgMar w:left="1440" w:top="1418" w:right="339" w:bottom="1440" w:gutter="0" w:footer="0" w:header="0"/>
        </w:sectPr>
      </w:pPr>
    </w:p>
    <w:bookmarkStart w:id="98" w:name="page99"/>
    <w:bookmarkEnd w:id="98"/>
    <w:p>
      <w:pPr>
        <w:spacing w:after="0" w:line="263" w:lineRule="auto"/>
        <w:rPr>
          <w:sz w:val="20"/>
          <w:szCs w:val="20"/>
          <w:color w:val="auto"/>
        </w:rPr>
      </w:pPr>
      <w:r>
        <w:rPr>
          <w:rFonts w:ascii="Times New Roman" w:cs="Times New Roman" w:eastAsia="Times New Roman" w:hAnsi="Times New Roman"/>
          <w:sz w:val="21"/>
          <w:szCs w:val="21"/>
          <w:color w:val="auto"/>
        </w:rPr>
        <w:t>earlier date than it would otherwise be required to so comply under applicable law. Since the date of the latest audited financial statements included or incorporated by reference in the Pre-Effective Registration Statement, the Registration Statement, the Preliminary Prospectus and the Prospectus, there has been no change in the Company’s internal control over financial reporting that has materially and adversely affected, or is reasonably likely to materially and adversely affect, the Company’s internal control over financial reporting. The Company maintains disclosure controls and procedures (as such term is defined in Rule 13a-15(e) under the Exchange Act) that comply with the applicable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66" w:lineRule="exact"/>
        <w:rPr>
          <w:sz w:val="20"/>
          <w:szCs w:val="20"/>
          <w:color w:val="auto"/>
        </w:rPr>
      </w:pPr>
    </w:p>
    <w:p>
      <w:pPr>
        <w:ind w:right="40" w:firstLine="645"/>
        <w:spacing w:after="0" w:line="259" w:lineRule="auto"/>
        <w:tabs>
          <w:tab w:leader="none" w:pos="122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Insurance. </w:t>
      </w:r>
      <w:r>
        <w:rPr>
          <w:rFonts w:ascii="Times New Roman" w:cs="Times New Roman" w:eastAsia="Times New Roman" w:hAnsi="Times New Roman"/>
          <w:sz w:val="22"/>
          <w:szCs w:val="22"/>
          <w:color w:val="auto"/>
        </w:rPr>
        <w:t>The Company and each of its subsidiaries carry, or are covered by, insurance from insurers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recognized financial responsibility in such amounts and covering such risks as are reasonably believed to be adequate for the conduct of their respective businesses and the value of their respective properties.</w:t>
      </w:r>
    </w:p>
    <w:p>
      <w:pPr>
        <w:spacing w:after="0" w:line="166" w:lineRule="exact"/>
        <w:rPr>
          <w:rFonts w:ascii="Times New Roman" w:cs="Times New Roman" w:eastAsia="Times New Roman" w:hAnsi="Times New Roman"/>
          <w:sz w:val="22"/>
          <w:szCs w:val="22"/>
          <w:color w:val="auto"/>
        </w:rPr>
      </w:pPr>
    </w:p>
    <w:p>
      <w:pPr>
        <w:ind w:right="60" w:firstLine="645"/>
        <w:spacing w:after="0" w:line="262" w:lineRule="auto"/>
        <w:tabs>
          <w:tab w:leader="none" w:pos="122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Unlawful Payments. </w:t>
      </w:r>
      <w:r>
        <w:rPr>
          <w:rFonts w:ascii="Times New Roman" w:cs="Times New Roman" w:eastAsia="Times New Roman" w:hAnsi="Times New Roman"/>
          <w:sz w:val="21"/>
          <w:szCs w:val="21"/>
          <w:color w:val="auto"/>
        </w:rPr>
        <w:t>None of the Company or any of its subsidiaries nor, to the knowledge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any director, officer, agent, employee, affiliate or other person acting on behalf of the Company or any of its subsidiaries has, in the previous five years, (i) made, offered, promised or authorized any unlawful contribution, gift, entertainment or other unlawful expense (or taken any act in furtherance thereof); (ii) made, offered, promised or authorized any direct or knowingly indirect unlawful payment; or (iii) violated or is in violation, in any material respect, of any provision of the Foreign Corrupt Practices Act of 1977, as amended, or the rules and regulations thereunder, the Bribery Act 2010 of the United Kingdom or any other applicable anti-corruption, anti-bribery or related law, statute or regulation (collectively, “Anti-Corruption Laws”); for the previous five years, the Company and its subsidiaries have conducted their businesses in material compliance with Anti-Corruption Laws and have instituted and maintained and will continue to maintain policies and procedures reasonably designed to promote compliance with such laws and with the representations and warranties contained herein; neither the Company nor any of its subsidiaries will use, directly or knowingly indirectly, the proceeds of the offering in furtherance of an offer, payment, promise to pay, or authorization of the payment or giving of money, or anything else of value, to any person in material violation of Anti-Corruption Laws.</w:t>
      </w:r>
    </w:p>
    <w:p>
      <w:pPr>
        <w:spacing w:after="0" w:line="163" w:lineRule="exact"/>
        <w:rPr>
          <w:rFonts w:ascii="Times New Roman" w:cs="Times New Roman" w:eastAsia="Times New Roman" w:hAnsi="Times New Roman"/>
          <w:sz w:val="21"/>
          <w:szCs w:val="21"/>
          <w:color w:val="auto"/>
        </w:rPr>
      </w:pPr>
    </w:p>
    <w:p>
      <w:pPr>
        <w:ind w:right="60" w:firstLine="645"/>
        <w:spacing w:after="0" w:line="266" w:lineRule="auto"/>
        <w:tabs>
          <w:tab w:leader="none" w:pos="11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Compliance with Anti-Money Laundering Laws</w:t>
      </w:r>
      <w:r>
        <w:rPr>
          <w:rFonts w:ascii="Times New Roman" w:cs="Times New Roman" w:eastAsia="Times New Roman" w:hAnsi="Times New Roman"/>
          <w:sz w:val="21"/>
          <w:szCs w:val="21"/>
          <w:color w:val="auto"/>
        </w:rPr>
        <w:t>. The operations of the Company and its subsidiaries are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for the past five years, have been conducted at all times in material compliance with the requirements of all applicable federal, state and foreign laws, rules and regulations, including, but not limited to laws governing transactions in securities, futures and other financial instruments or anti-money laundering laws, such as the Bank Secrecy Act of 1970, as amended by the USA PATRIOT ACT of 2001, and the rules and regulations promulgated thereunder,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00"/>
          </w:cols>
          <w:pgMar w:left="1060" w:top="1422" w:right="339" w:bottom="1440" w:gutter="0" w:footer="0" w:header="0"/>
        </w:sectPr>
      </w:pPr>
    </w:p>
    <w:bookmarkStart w:id="99" w:name="page100"/>
    <w:bookmarkEnd w:id="99"/>
    <w:p>
      <w:pPr>
        <w:ind w:left="3"/>
        <w:spacing w:after="0" w:line="256" w:lineRule="auto"/>
        <w:rPr>
          <w:sz w:val="20"/>
          <w:szCs w:val="20"/>
          <w:color w:val="auto"/>
        </w:rPr>
      </w:pPr>
      <w:r>
        <w:rPr>
          <w:rFonts w:ascii="Times New Roman" w:cs="Times New Roman" w:eastAsia="Times New Roman" w:hAnsi="Times New Roman"/>
          <w:sz w:val="22"/>
          <w:szCs w:val="22"/>
          <w:color w:val="auto"/>
        </w:rPr>
        <w:t>anti-money laundering laws of the various jurisdictions in which the Company and its subsidiaries conduct business, and no action, suit or proceeding by or before any Governmental Authority or other body or any arbitrator involving the Company or any of its subsidiaries with respect to these laws, rules and regulations is pending or, to the knowledge of the Company, threatened.</w:t>
      </w:r>
    </w:p>
    <w:p>
      <w:pPr>
        <w:spacing w:after="0" w:line="172" w:lineRule="exact"/>
        <w:rPr>
          <w:sz w:val="20"/>
          <w:szCs w:val="20"/>
          <w:color w:val="auto"/>
        </w:rPr>
      </w:pPr>
    </w:p>
    <w:p>
      <w:pPr>
        <w:ind w:left="3" w:firstLine="645"/>
        <w:spacing w:after="0" w:line="247" w:lineRule="auto"/>
        <w:tabs>
          <w:tab w:leader="none" w:pos="113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Conflicts with Sanctions Laws. </w:t>
      </w:r>
      <w:r>
        <w:rPr>
          <w:rFonts w:ascii="Times New Roman" w:cs="Times New Roman" w:eastAsia="Times New Roman" w:hAnsi="Times New Roman"/>
          <w:sz w:val="22"/>
          <w:szCs w:val="22"/>
          <w:color w:val="auto"/>
        </w:rPr>
        <w:t>None of the Company or any of its subsidiaries nor, to the knowledge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any director, officer, agent, employee or affiliate of the Company or any of its subsidiaries is currently the subject or the target of any sanctions administered or enforced by the U.S. Government through the Office of Foreign Assets Control of the U.S. Department of the Treasury (“OFAC”) or the U.S. Department of State, including, without limitation, the designation as a “specially designated national” or “blocked person,” the European Union, Her Majesty’s Treasury, or the United Nations Security Council (collectively, “Sanctions”), located, organized, or resident in a country or territory that is the subject or target of comprehensive Sanctions (at the time of this agreement, so-called Donetsk People’s Republic, the so-called Luhansk People’s Republic, the Crimea Region of Ukraine Cuba, Iran, North Korea and Syria) (a “Sanctioned Jurisdiction”), and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is the subject or the target of Sanctions, or in any Sanctioned Jurisdiction, each to the extent in violation of Sanctions, or (ii) in any other manner that will result in a violation by any person participating in the transaction (whether as dealer manager, advisor, investor or otherwise) of Sanctions; neither the Company nor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each of the foregoing to the extent in violation of Sanctions; the Company and its subsidiaries have instituted, and maintain, policies and procedures designed to promote and achieve continued compliance with Sanctions.</w:t>
      </w:r>
    </w:p>
    <w:p>
      <w:pPr>
        <w:spacing w:after="0" w:line="183" w:lineRule="exact"/>
        <w:rPr>
          <w:rFonts w:ascii="Times New Roman" w:cs="Times New Roman" w:eastAsia="Times New Roman" w:hAnsi="Times New Roman"/>
          <w:sz w:val="22"/>
          <w:szCs w:val="22"/>
          <w:color w:val="auto"/>
        </w:rPr>
      </w:pPr>
    </w:p>
    <w:p>
      <w:pPr>
        <w:ind w:left="3" w:right="20" w:firstLine="645"/>
        <w:spacing w:after="0" w:line="252" w:lineRule="auto"/>
        <w:tabs>
          <w:tab w:leader="none" w:pos="1227"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Restrictions on Subsidiaries. </w:t>
      </w:r>
      <w:r>
        <w:rPr>
          <w:rFonts w:ascii="Times New Roman" w:cs="Times New Roman" w:eastAsia="Times New Roman" w:hAnsi="Times New Roman"/>
          <w:sz w:val="22"/>
          <w:szCs w:val="22"/>
          <w:color w:val="auto"/>
        </w:rPr>
        <w:t>Except to the extent restricted by applicable corporate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organizational law or by applicable regulatory net capital rules to which they are subject or otherwise, in each case as described in the Pre-Effective Registration Statement, the Registration Statement, the Preliminary Prospectus and the Prospectus, no subsidiary of the Company is currently prohibited, directly or indirectly, from making distributions on such subsidiary’s capital stock or other equity interests or from transferring any of such subsidiary’s property or assets to the Company or any other subsidiary of the Company.</w:t>
      </w:r>
    </w:p>
    <w:p>
      <w:pPr>
        <w:spacing w:after="0" w:line="174" w:lineRule="exact"/>
        <w:rPr>
          <w:rFonts w:ascii="Times New Roman" w:cs="Times New Roman" w:eastAsia="Times New Roman" w:hAnsi="Times New Roman"/>
          <w:sz w:val="22"/>
          <w:szCs w:val="22"/>
          <w:color w:val="auto"/>
        </w:rPr>
      </w:pPr>
    </w:p>
    <w:p>
      <w:pPr>
        <w:ind w:left="1123" w:hanging="475"/>
        <w:spacing w:after="0"/>
        <w:tabs>
          <w:tab w:leader="none" w:pos="112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Solicitation. </w:t>
      </w:r>
      <w:r>
        <w:rPr>
          <w:rFonts w:ascii="Times New Roman" w:cs="Times New Roman" w:eastAsia="Times New Roman" w:hAnsi="Times New Roman"/>
          <w:sz w:val="22"/>
          <w:szCs w:val="22"/>
          <w:color w:val="auto"/>
        </w:rPr>
        <w:t>The Company has not paid or agreed to pay to any person any compensation for</w:t>
      </w:r>
    </w:p>
    <w:p>
      <w:pPr>
        <w:spacing w:after="0" w:line="33"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another to purchase any of its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443"/>
          </w:cols>
          <w:pgMar w:left="1057" w:top="1422" w:right="399" w:bottom="1440" w:gutter="0" w:footer="0" w:header="0"/>
        </w:sectPr>
      </w:pPr>
    </w:p>
    <w:bookmarkStart w:id="100" w:name="page101"/>
    <w:bookmarkEnd w:id="100"/>
    <w:p>
      <w:pPr>
        <w:ind w:left="740" w:right="120" w:hanging="3"/>
        <w:spacing w:after="0" w:line="271" w:lineRule="auto"/>
        <w:tabs>
          <w:tab w:leader="none" w:pos="105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tenders or Consents by holders of Warrants pursuant to the Exchange Offer (except as contemplated in this Agreement).</w:t>
      </w:r>
    </w:p>
    <w:p>
      <w:pPr>
        <w:spacing w:after="0" w:line="153" w:lineRule="exact"/>
        <w:rPr>
          <w:rFonts w:ascii="Times New Roman" w:cs="Times New Roman" w:eastAsia="Times New Roman" w:hAnsi="Times New Roman"/>
          <w:sz w:val="22"/>
          <w:szCs w:val="22"/>
          <w:color w:val="auto"/>
        </w:rPr>
      </w:pPr>
    </w:p>
    <w:p>
      <w:pPr>
        <w:ind w:left="740" w:right="100" w:firstLine="645"/>
        <w:spacing w:after="0" w:line="258" w:lineRule="auto"/>
        <w:tabs>
          <w:tab w:leader="none" w:pos="208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Registration Rights</w:t>
      </w:r>
      <w:r>
        <w:rPr>
          <w:rFonts w:ascii="Times New Roman" w:cs="Times New Roman" w:eastAsia="Times New Roman" w:hAnsi="Times New Roman"/>
          <w:sz w:val="22"/>
          <w:szCs w:val="22"/>
          <w:color w:val="auto"/>
        </w:rPr>
        <w:t>. Except as described in the Pre-Effective Registration Statement, the Registration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 the Preliminary Prospectus and the Prospectus, no person has the right to require the Company or any of its subsidiaries to register any securities for sale under the Securities Act by reason of the filing of the Pre-Effective Registration Statement or the Registration Statement with the Commission.</w:t>
      </w:r>
    </w:p>
    <w:p>
      <w:pPr>
        <w:spacing w:after="0" w:line="167" w:lineRule="exact"/>
        <w:rPr>
          <w:rFonts w:ascii="Times New Roman" w:cs="Times New Roman" w:eastAsia="Times New Roman" w:hAnsi="Times New Roman"/>
          <w:sz w:val="22"/>
          <w:szCs w:val="22"/>
          <w:color w:val="auto"/>
        </w:rPr>
      </w:pPr>
    </w:p>
    <w:p>
      <w:pPr>
        <w:ind w:left="740" w:right="20" w:firstLine="645"/>
        <w:spacing w:after="0" w:line="265" w:lineRule="auto"/>
        <w:tabs>
          <w:tab w:leader="none" w:pos="196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Stabilization. </w:t>
      </w:r>
      <w:r>
        <w:rPr>
          <w:rFonts w:ascii="Times New Roman" w:cs="Times New Roman" w:eastAsia="Times New Roman" w:hAnsi="Times New Roman"/>
          <w:sz w:val="22"/>
          <w:szCs w:val="22"/>
          <w:color w:val="auto"/>
        </w:rPr>
        <w:t>The Company has not taken, directly or indirectly, any action designed to or that could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be expected to cause or result in any stabilization or manipulation of the price of any security of the Company to facilitate the Exchange Offer.</w:t>
      </w:r>
    </w:p>
    <w:p>
      <w:pPr>
        <w:spacing w:after="0" w:line="161" w:lineRule="exact"/>
        <w:rPr>
          <w:rFonts w:ascii="Times New Roman" w:cs="Times New Roman" w:eastAsia="Times New Roman" w:hAnsi="Times New Roman"/>
          <w:sz w:val="22"/>
          <w:szCs w:val="22"/>
          <w:color w:val="auto"/>
        </w:rPr>
      </w:pPr>
    </w:p>
    <w:p>
      <w:pPr>
        <w:ind w:left="740" w:right="60" w:firstLine="645"/>
        <w:spacing w:after="0" w:line="259" w:lineRule="auto"/>
        <w:tabs>
          <w:tab w:leader="none" w:pos="196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Forward-Looking Statements. </w:t>
      </w:r>
      <w:r>
        <w:rPr>
          <w:rFonts w:ascii="Times New Roman" w:cs="Times New Roman" w:eastAsia="Times New Roman" w:hAnsi="Times New Roman"/>
          <w:sz w:val="22"/>
          <w:szCs w:val="22"/>
          <w:color w:val="auto"/>
        </w:rPr>
        <w:t>No forward-looking statement included or incorporated by reference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Pre-Effective Registration Statement, the Registration Statement, the Preliminary Prospectus or the Prospectus has been made or reaffirmed without a reasonable basis or has been disclosed other than in good faith.</w:t>
      </w:r>
    </w:p>
    <w:p>
      <w:pPr>
        <w:spacing w:after="0" w:line="166" w:lineRule="exact"/>
        <w:rPr>
          <w:rFonts w:ascii="Times New Roman" w:cs="Times New Roman" w:eastAsia="Times New Roman" w:hAnsi="Times New Roman"/>
          <w:sz w:val="22"/>
          <w:szCs w:val="22"/>
          <w:color w:val="auto"/>
        </w:rPr>
      </w:pPr>
    </w:p>
    <w:p>
      <w:pPr>
        <w:ind w:left="740" w:right="80" w:firstLine="645"/>
        <w:spacing w:after="0" w:line="258" w:lineRule="auto"/>
        <w:tabs>
          <w:tab w:leader="none" w:pos="196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Sarbanes-Oxley Act</w:t>
      </w:r>
      <w:r>
        <w:rPr>
          <w:rFonts w:ascii="Times New Roman" w:cs="Times New Roman" w:eastAsia="Times New Roman" w:hAnsi="Times New Roman"/>
          <w:sz w:val="22"/>
          <w:szCs w:val="22"/>
          <w:color w:val="auto"/>
        </w:rPr>
        <w:t>. There is and has been no failure on the part of the Company or any of the Company’s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or officers, in their capacities as such, to comply in all material respects with any applicable provision of the Sarbanes-Oxley Act of 2002, as amended and the rules and regulations promulgated in connection therewith, including Section 402 related to loans and Sections 302 and 906 related to certifications.</w:t>
      </w:r>
    </w:p>
    <w:p>
      <w:pPr>
        <w:spacing w:after="0" w:line="167" w:lineRule="exact"/>
        <w:rPr>
          <w:rFonts w:ascii="Times New Roman" w:cs="Times New Roman" w:eastAsia="Times New Roman" w:hAnsi="Times New Roman"/>
          <w:sz w:val="22"/>
          <w:szCs w:val="22"/>
          <w:color w:val="auto"/>
        </w:rPr>
      </w:pPr>
    </w:p>
    <w:p>
      <w:pPr>
        <w:jc w:val="both"/>
        <w:ind w:left="740" w:right="260" w:firstLine="645"/>
        <w:spacing w:after="0" w:line="259" w:lineRule="auto"/>
        <w:tabs>
          <w:tab w:leader="none" w:pos="196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Registration Fees</w:t>
      </w:r>
      <w:r>
        <w:rPr>
          <w:rFonts w:ascii="Times New Roman" w:cs="Times New Roman" w:eastAsia="Times New Roman" w:hAnsi="Times New Roman"/>
          <w:sz w:val="22"/>
          <w:szCs w:val="22"/>
          <w:color w:val="auto"/>
        </w:rPr>
        <w:t>. The Company has paid the registration fee for the Registration Statement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456(a) under the Securities Act or will pay such fee within the time period required by such rule and in any event prior to the Exchange Date.</w:t>
      </w:r>
    </w:p>
    <w:p>
      <w:pPr>
        <w:spacing w:after="0" w:line="184" w:lineRule="exact"/>
        <w:rPr>
          <w:sz w:val="20"/>
          <w:szCs w:val="20"/>
          <w:color w:val="auto"/>
        </w:rPr>
      </w:pPr>
    </w:p>
    <w:p>
      <w:pPr>
        <w:jc w:val="both"/>
        <w:ind w:right="380" w:firstLine="729"/>
        <w:spacing w:after="0" w:line="257" w:lineRule="auto"/>
        <w:rPr>
          <w:sz w:val="20"/>
          <w:szCs w:val="20"/>
          <w:color w:val="auto"/>
        </w:rPr>
      </w:pPr>
      <w:r>
        <w:rPr>
          <w:rFonts w:ascii="Times New Roman" w:cs="Times New Roman" w:eastAsia="Times New Roman" w:hAnsi="Times New Roman"/>
          <w:sz w:val="22"/>
          <w:szCs w:val="22"/>
          <w:color w:val="auto"/>
        </w:rPr>
        <w:t>Any certificate signed by any officer of the Company and delivered to the Dealer Manager or counsel for the Dealer Manager in connection with the Exchange Offer shall be deemed a representation and warranty by the Company as to matters covered thereby to the Dealer Manager.</w:t>
      </w:r>
    </w:p>
    <w:p>
      <w:pPr>
        <w:spacing w:after="0" w:line="173" w:lineRule="exact"/>
        <w:rPr>
          <w:sz w:val="20"/>
          <w:szCs w:val="20"/>
          <w:color w:val="auto"/>
        </w:rPr>
      </w:pPr>
    </w:p>
    <w:p>
      <w:pPr>
        <w:ind w:firstLine="656"/>
        <w:spacing w:after="0" w:line="268" w:lineRule="auto"/>
        <w:tabs>
          <w:tab w:leader="none" w:pos="102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Warranties and Agreements of the Dealer Manager</w:t>
      </w:r>
      <w:r>
        <w:rPr>
          <w:rFonts w:ascii="Times New Roman" w:cs="Times New Roman" w:eastAsia="Times New Roman" w:hAnsi="Times New Roman"/>
          <w:sz w:val="21"/>
          <w:szCs w:val="21"/>
          <w:color w:val="auto"/>
        </w:rPr>
        <w:t>. The Dealer Manager hereby represents, warrants and agrees that the Dealer Manager will not (1) cause to be disseminated to holders, dealers or the public any written material for or in connection with the Exchange Offer or Consent Solicitation other than one or more of the Offering Documents, or (2) make any public oral communications relating to the Exchange Offer or the Consent Solicitation that have not been previously approved by the Company except as contemplated in the penultimate sentence of Section 6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01" w:name="page102"/>
    <w:bookmarkEnd w:id="101"/>
    <w:p>
      <w:pPr>
        <w:ind w:left="384" w:hanging="384"/>
        <w:spacing w:after="0"/>
        <w:tabs>
          <w:tab w:leader="none" w:pos="38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The Company agrees with the Dealer Manager that:</w:t>
      </w:r>
    </w:p>
    <w:p>
      <w:pPr>
        <w:spacing w:after="0" w:line="219" w:lineRule="exact"/>
        <w:rPr>
          <w:rFonts w:ascii="Times New Roman" w:cs="Times New Roman" w:eastAsia="Times New Roman" w:hAnsi="Times New Roman"/>
          <w:sz w:val="22"/>
          <w:szCs w:val="22"/>
          <w:color w:val="auto"/>
        </w:rPr>
      </w:pPr>
    </w:p>
    <w:p>
      <w:pPr>
        <w:ind w:left="84" w:right="200" w:firstLine="645"/>
        <w:spacing w:after="0" w:line="256" w:lineRule="auto"/>
        <w:tabs>
          <w:tab w:leader="none" w:pos="118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furnish to the Dealer Manager and to counsel for the Dealer Manager, without charge, during the period beginning on the Commencement Date and continuing to and including the Exchange Date, copies of the Offering Documents and any amendments and supplements thereto in such quantities as the Dealer Manager may reasonably request.</w:t>
      </w:r>
    </w:p>
    <w:p>
      <w:pPr>
        <w:spacing w:after="0" w:line="176" w:lineRule="exact"/>
        <w:rPr>
          <w:rFonts w:ascii="Times New Roman" w:cs="Times New Roman" w:eastAsia="Times New Roman" w:hAnsi="Times New Roman"/>
          <w:sz w:val="22"/>
          <w:szCs w:val="22"/>
          <w:color w:val="auto"/>
        </w:rPr>
      </w:pPr>
    </w:p>
    <w:p>
      <w:pPr>
        <w:ind w:left="84" w:firstLine="645"/>
        <w:spacing w:after="0" w:line="246" w:lineRule="auto"/>
        <w:tabs>
          <w:tab w:leader="none" w:pos="12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termination of the Exchange Offer and the Consent Solicitation, the Company will not file any amendment to the Pre-Effective Registration Statement or the Registration Statement or supplement to the Preliminary Prospectus or the Prospectus (other than an amendment or supplement as a result of filings by the Company under the Exchange Act of documents incorporated by reference therein) unless the Company has furnished the Dealer Manager a copy of such proposed amendment or supplement, as applicable, for its review prior to filing and will not file any such proposed amendment or supplement to which the Dealer Manager reasonably objects. Subject to the foregoing sentence, if the Registration Statement has become or becomes effective, or filing of the Preliminary Prospectus or the Prospectus is otherwise required under the Securities Act or the Exchange Act and the rules and regulations of the Commission thereunder, the Company will cause the Preliminary Prospectus or the Prospectus, properly completed, and any supplement thereto to be filed with the Commission pursuant to the applicable paragraph of Rule 424(b) or in an amendment to the Registration Statement, whichever is applicable, within the time period prescribed. The Company will promptly advise the Dealer Manager (i) when the Registration Statement, and any amendment thereto, shall have become effective, (ii) when the Preliminary Prospectus or the Prospectus, and any supplement thereto, shall have been filed (if required) with the Commission, (iii) when, prior to termination of the Exchange Offer and the Consent Solicitation, any amendment to the Registration Statement shall have been filed or become effective, (iv) of any request by the Commission or its staff for any amendment of the Pre-Effective Registration Statement or the Registration Statement or supplement to the Preliminary Prospectus or the Prospectus or for any additional information, (v) the issuance by the Commission of any stop order or of any order preventing or suspending the use of the Preliminary Prospectus or the Prospectus, or the initiation or threatening of any proceeding for any such purpose, and (vi) of the receipt by the Company of any notification with respect to the suspension of the qualification of the Shares for sale in any jurisdiction within the United States or the initiation or threatening of any proceeding for such purpose. In the event of the issuance of any such stop order or of any such order preventing or suspending the use of the Preliminary Prospectus or the Prospectus, the Company will use its reasonable best efforts to obtain its withdrawal. The Company agrees to use its reasonable best efforts to cause the Registration Statement to become effective as soon as practicable and as much in advance of the Expiration Date as practicable.</w:t>
      </w:r>
    </w:p>
    <w:p>
      <w:pPr>
        <w:spacing w:after="0" w:line="213" w:lineRule="exact"/>
        <w:rPr>
          <w:rFonts w:ascii="Times New Roman" w:cs="Times New Roman" w:eastAsia="Times New Roman" w:hAnsi="Times New Roman"/>
          <w:sz w:val="22"/>
          <w:szCs w:val="22"/>
          <w:color w:val="auto"/>
        </w:rPr>
      </w:pPr>
    </w:p>
    <w:p>
      <w:pPr>
        <w:ind w:left="84" w:firstLine="645"/>
        <w:spacing w:after="0" w:line="271" w:lineRule="auto"/>
        <w:tabs>
          <w:tab w:leader="none" w:pos="118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comply with the Securities Act and the Exchange Act and the rules and regulations of the Commission thereunder so as to permit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584"/>
          </w:cols>
          <w:pgMar w:left="976" w:top="1422" w:right="339" w:bottom="1440" w:gutter="0" w:footer="0" w:header="0"/>
        </w:sectPr>
      </w:pPr>
    </w:p>
    <w:bookmarkStart w:id="102" w:name="page103"/>
    <w:bookmarkEnd w:id="102"/>
    <w:p>
      <w:pPr>
        <w:ind w:right="20"/>
        <w:spacing w:after="0" w:line="247" w:lineRule="auto"/>
        <w:rPr>
          <w:sz w:val="20"/>
          <w:szCs w:val="20"/>
          <w:color w:val="auto"/>
        </w:rPr>
      </w:pPr>
      <w:r>
        <w:rPr>
          <w:rFonts w:ascii="Times New Roman" w:cs="Times New Roman" w:eastAsia="Times New Roman" w:hAnsi="Times New Roman"/>
          <w:sz w:val="22"/>
          <w:szCs w:val="22"/>
          <w:color w:val="auto"/>
        </w:rPr>
        <w:t>completion of the distribution of the Shares issued in the Exchange Offer and Consent Solicitation, as contemplated by this Agreement, the Registration Statement and the Prospectus. If, at any time when a prospectus relating to the Exchange Offer or Consent Solicitation is required to be delivered under the Securities Act or the Exchange Act and the rules and regulations of the Commission thereunder, any event occurs as a result of which the Offering Documents, as then amended or supplemented, would include any untrue statement of a material fact or omit to state any material fact necessary to make the statements therein, in the light of the circumstances under which they were made, not misleading, or if it should be necessary to amend or supplement the Offering Documents to comply with applicable law, the Company will promptly: (i) notify the Dealer Manager of any such event or non-compliance at which time the Dealer Manager shall be entitled to cease soliciting tenders until such time as the Company has complied with clause (iii) of this sentence; (ii) subject to the requirements of the first sentence of the above paragraph (b), prepare an amendment or supplement that will correct such statement or omission or effect such compliance; and (iii) supply any such amendment or supplement to the Dealer Manager and counsel for the Dealer Manager without charge in such quantities as the Dealer Manager may reasonably request. The Company will also promptly inform the Dealer Manager of any litigation or administrative action with respect to the Exchange Offer.</w:t>
      </w:r>
    </w:p>
    <w:p>
      <w:pPr>
        <w:spacing w:after="0" w:line="203" w:lineRule="exact"/>
        <w:rPr>
          <w:sz w:val="20"/>
          <w:szCs w:val="20"/>
          <w:color w:val="auto"/>
        </w:rPr>
      </w:pPr>
    </w:p>
    <w:p>
      <w:pPr>
        <w:ind w:firstLine="645"/>
        <w:spacing w:after="0" w:line="260" w:lineRule="auto"/>
        <w:tabs>
          <w:tab w:leader="none" w:pos="111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advise the Dealer Manager promptly of (i) any proposal by the Company to withdraw, rescind or modify the Offering Documents or to withdraw, rescind or terminate the Exchange Offer or the Consent Solicitation or the exercise by the Company of any right not to exchange the Warrants pursuant to the Exchange Offer or the Consent Solicitation, (ii) its awareness of the issuance of a stop order suspending the effectiveness of the Registration Statement or of any notice objecting to its use by the Commission or any other regulatory authority, or the institution or threatening of any proceedings for that purpose (and will promptly furnish the Dealer Manager with a copy of any such order), (iii) its awareness of the occurrence of any development that could reasonably be expected to result in a Material Adverse Effect relating to or affecting the Exchange Offer or the Consent Solicitation and (iv) any other non-privileged information relating to the Exchange Offer, the Consent Solicitation, the Offering Documents or this Agreement which the Dealer Manager may from time to time reasonably request.</w:t>
      </w:r>
    </w:p>
    <w:p>
      <w:pPr>
        <w:spacing w:after="0" w:line="191" w:lineRule="exact"/>
        <w:rPr>
          <w:rFonts w:ascii="Times New Roman" w:cs="Times New Roman" w:eastAsia="Times New Roman" w:hAnsi="Times New Roman"/>
          <w:sz w:val="21"/>
          <w:szCs w:val="21"/>
          <w:color w:val="auto"/>
        </w:rPr>
      </w:pPr>
    </w:p>
    <w:p>
      <w:pPr>
        <w:ind w:right="80" w:firstLine="645"/>
        <w:spacing w:after="0" w:line="248" w:lineRule="auto"/>
        <w:tabs>
          <w:tab w:leader="none" w:pos="11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make generally available (which may be satisfied by filing with the Commission’s Electronic Data Gathering Analysis and Retrieval System) to its security holders and the Dealer Manager as soon as practicable an earning statement (which need not be audited)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480"/>
          </w:cols>
          <w:pgMar w:left="1060" w:top="1422" w:right="359" w:bottom="1440" w:gutter="0" w:footer="0" w:header="0"/>
        </w:sectPr>
      </w:pPr>
    </w:p>
    <w:bookmarkStart w:id="103" w:name="page104"/>
    <w:bookmarkEnd w:id="103"/>
    <w:p>
      <w:pPr>
        <w:ind w:left="-380" w:right="120" w:firstLine="645"/>
        <w:spacing w:after="0" w:line="250" w:lineRule="auto"/>
        <w:tabs>
          <w:tab w:leader="none" w:pos="6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arrange, if necessary, for the qualification of the Shares for offer or sale in connection with the Exchange Offer under the laws of such jurisdictions as the Dealer Manager may designate and will maintain such qualifications in effect so long as required for such offer or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Company be obligated to qualify to do business in any jurisdiction in which it is not now so qualified or to take any action that would subject it to service of process in suits, other than those arising out of the offering or sale of the Shares in connection with the Exchange Offer, in any jurisdiction in which it is not now so subject or to subject itself to taxation in any jurisdiction in which it is not now so subject. The Company will promptly advise the Dealer Manager of the receipt by the Company of any notification with respect to the suspension of the qualification of the Shares for sale in any jurisdiction or the initiation or threatening of any proceeding for such purpose.</w:t>
      </w:r>
    </w:p>
    <w:p>
      <w:pPr>
        <w:spacing w:after="0" w:line="179" w:lineRule="exact"/>
        <w:rPr>
          <w:rFonts w:ascii="Times New Roman" w:cs="Times New Roman" w:eastAsia="Times New Roman" w:hAnsi="Times New Roman"/>
          <w:sz w:val="22"/>
          <w:szCs w:val="22"/>
          <w:color w:val="auto"/>
        </w:rPr>
      </w:pPr>
    </w:p>
    <w:p>
      <w:pPr>
        <w:ind w:left="-380" w:right="340" w:firstLine="645"/>
        <w:spacing w:after="0" w:line="257" w:lineRule="auto"/>
        <w:tabs>
          <w:tab w:leader="none" w:pos="7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termination of the Exchange Offer, the Company will not, and will not permit any of its Affiliates to, resell any Shares that have been acquired by them. The Company will cause all Warrants accepted in the Exchange Offer to be cancelled.</w:t>
      </w:r>
    </w:p>
    <w:p>
      <w:pPr>
        <w:spacing w:after="0" w:line="172" w:lineRule="exact"/>
        <w:rPr>
          <w:rFonts w:ascii="Times New Roman" w:cs="Times New Roman" w:eastAsia="Times New Roman" w:hAnsi="Times New Roman"/>
          <w:sz w:val="22"/>
          <w:szCs w:val="22"/>
          <w:color w:val="auto"/>
        </w:rPr>
      </w:pPr>
    </w:p>
    <w:p>
      <w:pPr>
        <w:ind w:left="-380" w:right="160" w:firstLine="645"/>
        <w:spacing w:after="0" w:line="271" w:lineRule="auto"/>
        <w:tabs>
          <w:tab w:leader="none" w:pos="73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cooperate with the Dealer Manager to permit the Shares to be eligible for clearance and settlement through The Depository Trust Company.</w:t>
      </w:r>
    </w:p>
    <w:p>
      <w:pPr>
        <w:spacing w:after="0" w:line="171" w:lineRule="exact"/>
        <w:rPr>
          <w:rFonts w:ascii="Times New Roman" w:cs="Times New Roman" w:eastAsia="Times New Roman" w:hAnsi="Times New Roman"/>
          <w:sz w:val="22"/>
          <w:szCs w:val="22"/>
          <w:color w:val="auto"/>
        </w:rPr>
      </w:pPr>
    </w:p>
    <w:p>
      <w:pPr>
        <w:ind w:left="-380" w:firstLine="645"/>
        <w:spacing w:after="0" w:line="252" w:lineRule="auto"/>
        <w:tabs>
          <w:tab w:leader="none" w:pos="6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not to exchange any Warrants during the period beginning on the Commencement Date and ending on the Exchange Date except pursuant to and in accordance with the Exchange Offer, the Consent Solicitation or as otherwise agreed to in writing by the parties hereto and permitted under applicable laws and regulations.</w:t>
      </w:r>
    </w:p>
    <w:p>
      <w:pPr>
        <w:spacing w:after="0" w:line="179" w:lineRule="exact"/>
        <w:rPr>
          <w:rFonts w:ascii="Times New Roman" w:cs="Times New Roman" w:eastAsia="Times New Roman" w:hAnsi="Times New Roman"/>
          <w:sz w:val="22"/>
          <w:szCs w:val="22"/>
          <w:color w:val="auto"/>
        </w:rPr>
      </w:pPr>
    </w:p>
    <w:p>
      <w:pPr>
        <w:ind w:left="-380" w:right="20" w:firstLine="645"/>
        <w:spacing w:after="0" w:line="256" w:lineRule="auto"/>
        <w:tabs>
          <w:tab w:leader="none" w:pos="68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its Affiliates or any person acting on its or their behalf will take, directly or indirectly, any action that is designed to cause or result, or which might reasonably be expected to cause or result, under the Exchange Act or otherwise, in stabilization or manipulation of the price of any security of the Company to facilitate the sale of the Shares or the tender of Warrants in the Exchange Offer.</w:t>
      </w:r>
    </w:p>
    <w:p>
      <w:pPr>
        <w:spacing w:after="0" w:line="176" w:lineRule="exact"/>
        <w:rPr>
          <w:rFonts w:ascii="Times New Roman" w:cs="Times New Roman" w:eastAsia="Times New Roman" w:hAnsi="Times New Roman"/>
          <w:sz w:val="22"/>
          <w:szCs w:val="22"/>
          <w:color w:val="auto"/>
        </w:rPr>
      </w:pPr>
    </w:p>
    <w:p>
      <w:pPr>
        <w:ind w:left="-380" w:right="20" w:firstLine="645"/>
        <w:spacing w:after="0" w:line="281" w:lineRule="auto"/>
        <w:tabs>
          <w:tab w:leader="none" w:pos="73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arranged for D.F. King &amp; Co., Inc. to serve as Information Agent and for American Stock Transfer &amp; Trust Company, LLC to serve as Exchange Agent and authorizes the Dealer Manager to communicate with each of the Information Agent and the Exchange Agent to facilitate the Exchange Offer and the Consent Solicitation.</w:t>
      </w:r>
    </w:p>
    <w:p>
      <w:pPr>
        <w:spacing w:after="0" w:line="150" w:lineRule="exact"/>
        <w:rPr>
          <w:rFonts w:ascii="Times New Roman" w:cs="Times New Roman" w:eastAsia="Times New Roman" w:hAnsi="Times New Roman"/>
          <w:sz w:val="21"/>
          <w:szCs w:val="21"/>
          <w:color w:val="auto"/>
        </w:rPr>
      </w:pPr>
    </w:p>
    <w:p>
      <w:pPr>
        <w:ind w:left="-380" w:firstLine="645"/>
        <w:spacing w:after="0" w:line="250" w:lineRule="auto"/>
        <w:tabs>
          <w:tab w:leader="none" w:pos="6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comply in all material respects with the Securities Act and the Exchange Act and the rules and regulations of the Commission thereunder, including Rule 13e-4 and Rule 14e-1 under the Exchange Act (including taking the actions necessary to ensure that the procedural requirements of Rule 14e-1 are satisfied), in connection with the Exchange Offer, the Consent Solicitation, the Offering Documents and the transactions contemplated hereby and thereby. The Company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120"/>
          </w:cols>
          <w:pgMar w:left="1440" w:top="1422" w:right="339" w:bottom="1440" w:gutter="0" w:footer="0" w:header="0"/>
        </w:sectPr>
      </w:pPr>
    </w:p>
    <w:bookmarkStart w:id="104" w:name="page105"/>
    <w:bookmarkEnd w:id="104"/>
    <w:p>
      <w:pPr>
        <w:ind w:left="700" w:right="20"/>
        <w:spacing w:after="0" w:line="256" w:lineRule="auto"/>
        <w:rPr>
          <w:sz w:val="20"/>
          <w:szCs w:val="20"/>
          <w:color w:val="auto"/>
        </w:rPr>
      </w:pPr>
      <w:r>
        <w:rPr>
          <w:rFonts w:ascii="Times New Roman" w:cs="Times New Roman" w:eastAsia="Times New Roman" w:hAnsi="Times New Roman"/>
          <w:sz w:val="22"/>
          <w:szCs w:val="22"/>
          <w:color w:val="auto"/>
        </w:rPr>
        <w:t>file with the Commission pursuant to Rule 13e-4(c)(1) under the Exchange Act (or Rule 425 under the Securities Act) or otherwise all written communications made by the Company or any affiliate of the Company in connection with or relating to the Exchange Offer or the Consent Solicitation that are required to be filed with the Commission, in each case on the date of their first use.</w:t>
      </w:r>
    </w:p>
    <w:p>
      <w:pPr>
        <w:spacing w:after="0" w:line="176" w:lineRule="exact"/>
        <w:rPr>
          <w:sz w:val="20"/>
          <w:szCs w:val="20"/>
          <w:color w:val="auto"/>
        </w:rPr>
      </w:pPr>
    </w:p>
    <w:p>
      <w:pPr>
        <w:ind w:left="700" w:right="40" w:firstLine="645"/>
        <w:spacing w:after="0" w:line="260" w:lineRule="auto"/>
        <w:tabs>
          <w:tab w:leader="none" w:pos="187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pay the costs and expenses relating to the transactions contemplated hereunder, including without limitation the following: (i) the preparation of this Agreement, the issuance of the Shares and the fees of the Information Agent and any exchange agent; (ii) the preparation, printing or reproduction of the Offering Documents and each amendment or supplement thereto; (iii) the printing (or reproduction) and delivery (including postage, air freight charges and charges for counting and packaging) of such copies of the Offering Documents (and all amendments or supplements thereto) as may, in each case, be reasonably requested for use in connection with the Exchange Offer; (iv) the preparation, printing, authentication, issuance and delivery of certificates for the Shares, including any stamp or transfer taxes in connection with the original issuance and sale of the Shares; (v) the printing (or reproduction) and delivery of this Agreement, any blue sky memorandum and all other agreements or documents printed (or reproduced) and delivered in connection with the Exchange Offer; (vi) any registration or qualification of the Shares for offer and sale under the blue sky laws of the several states or any non-U.S. jurisdiction; (vii) transportation and other expenses incurred by or on behalf of Company representatives in connection with presentations to prospective participants in the Exchange Offer; (viii) the fees and expenses of the Company’s accountants and the fees and expenses of counsel (including local and special counsel) for the Company; (ix) fees and expenses incurred in connection with listing the Shares on the Nasdaq Global Select Market; and (x) all other costs and expenses incident to the performance by the Company of its obligations hereunder and in connection with the Exchange Offer.</w:t>
      </w:r>
    </w:p>
    <w:p>
      <w:pPr>
        <w:spacing w:after="0" w:line="174" w:lineRule="exact"/>
        <w:rPr>
          <w:rFonts w:ascii="Times New Roman" w:cs="Times New Roman" w:eastAsia="Times New Roman" w:hAnsi="Times New Roman"/>
          <w:sz w:val="21"/>
          <w:szCs w:val="21"/>
          <w:color w:val="auto"/>
        </w:rPr>
      </w:pPr>
    </w:p>
    <w:p>
      <w:pPr>
        <w:ind w:left="700" w:right="180" w:firstLine="645"/>
        <w:spacing w:after="0" w:line="271" w:lineRule="auto"/>
        <w:tabs>
          <w:tab w:leader="none" w:pos="1812"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promptly notify the Dealer Manager if the Company ceases to be an Emerging Growth Company at any time prior to the Exchange Date.</w:t>
      </w:r>
    </w:p>
    <w:p>
      <w:pPr>
        <w:spacing w:after="0" w:line="157" w:lineRule="exact"/>
        <w:rPr>
          <w:rFonts w:ascii="Times New Roman" w:cs="Times New Roman" w:eastAsia="Times New Roman" w:hAnsi="Times New Roman"/>
          <w:sz w:val="22"/>
          <w:szCs w:val="22"/>
          <w:color w:val="auto"/>
        </w:rPr>
      </w:pPr>
    </w:p>
    <w:p>
      <w:pPr>
        <w:ind w:left="-40" w:firstLine="656"/>
        <w:spacing w:after="0" w:line="268" w:lineRule="auto"/>
        <w:tabs>
          <w:tab w:leader="none" w:pos="98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the Obligations of the Dealer Manager</w:t>
      </w:r>
      <w:r>
        <w:rPr>
          <w:rFonts w:ascii="Times New Roman" w:cs="Times New Roman" w:eastAsia="Times New Roman" w:hAnsi="Times New Roman"/>
          <w:sz w:val="21"/>
          <w:szCs w:val="21"/>
          <w:color w:val="auto"/>
        </w:rPr>
        <w:t>. The obligations of the Dealer Manager under this Agreement shall be subject to the accuracy of the representations and warranties on the part of the Company contained herein at the Commencement Date, any date on which Offering Documents are distributed to holders of the Warrants, the Effective Date, the Expiration Date and the Exchange Date, to the accuracy of the statements of the Company made in any certificates pursuant to the provisions hereof, to the performance by the Company of its obligations hereunder and to the following additional conditions:</w:t>
      </w:r>
    </w:p>
    <w:p>
      <w:pPr>
        <w:spacing w:after="0" w:line="163" w:lineRule="exact"/>
        <w:rPr>
          <w:rFonts w:ascii="Times New Roman" w:cs="Times New Roman" w:eastAsia="Times New Roman" w:hAnsi="Times New Roman"/>
          <w:sz w:val="21"/>
          <w:szCs w:val="21"/>
          <w:color w:val="auto"/>
        </w:rPr>
      </w:pPr>
    </w:p>
    <w:p>
      <w:pPr>
        <w:ind w:left="1800" w:hanging="455"/>
        <w:spacing w:after="0"/>
        <w:tabs>
          <w:tab w:leader="none" w:pos="18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shall have become effective on or prior to the Expiration Date.</w:t>
      </w:r>
    </w:p>
    <w:p>
      <w:pPr>
        <w:spacing w:after="0" w:line="219" w:lineRule="exact"/>
        <w:rPr>
          <w:rFonts w:ascii="Times New Roman" w:cs="Times New Roman" w:eastAsia="Times New Roman" w:hAnsi="Times New Roman"/>
          <w:sz w:val="22"/>
          <w:szCs w:val="22"/>
          <w:color w:val="auto"/>
        </w:rPr>
      </w:pPr>
    </w:p>
    <w:p>
      <w:pPr>
        <w:ind w:left="700" w:right="60" w:firstLine="645"/>
        <w:spacing w:after="0" w:line="263" w:lineRule="auto"/>
        <w:tabs>
          <w:tab w:leader="none" w:pos="180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Exchange Date, no stop order suspending the effectiveness of the Registration Statement or any notice objecting to its use shall have been issued and no proceedings for that purpose shall have been instituted or, to the knowledge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60"/>
          </w:cols>
          <w:pgMar w:left="360" w:top="1422" w:right="379" w:bottom="1440" w:gutter="0" w:footer="0" w:header="0"/>
        </w:sectPr>
      </w:pPr>
    </w:p>
    <w:bookmarkStart w:id="105" w:name="page106"/>
    <w:bookmarkEnd w:id="105"/>
    <w:p>
      <w:pPr>
        <w:jc w:val="both"/>
        <w:ind w:right="220"/>
        <w:spacing w:after="0" w:line="257" w:lineRule="auto"/>
        <w:rPr>
          <w:sz w:val="20"/>
          <w:szCs w:val="20"/>
          <w:color w:val="auto"/>
        </w:rPr>
      </w:pPr>
      <w:r>
        <w:rPr>
          <w:rFonts w:ascii="Times New Roman" w:cs="Times New Roman" w:eastAsia="Times New Roman" w:hAnsi="Times New Roman"/>
          <w:sz w:val="22"/>
          <w:szCs w:val="22"/>
          <w:color w:val="auto"/>
        </w:rPr>
        <w:t>Company, threatened by the Commission; and the Prospectus shall have been timely filed with the Commission under the Securities Act; and all requests by the Commission for additional information shall have been complied with to the reasonable satisfaction of the Dealer Manager.</w:t>
      </w:r>
    </w:p>
    <w:p>
      <w:pPr>
        <w:spacing w:after="0" w:line="186" w:lineRule="exact"/>
        <w:rPr>
          <w:sz w:val="20"/>
          <w:szCs w:val="20"/>
          <w:color w:val="auto"/>
        </w:rPr>
      </w:pPr>
    </w:p>
    <w:p>
      <w:pPr>
        <w:ind w:firstLine="645"/>
        <w:spacing w:after="0" w:line="250" w:lineRule="auto"/>
        <w:tabs>
          <w:tab w:leader="none" w:pos="10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Commencement Date and the Exchange Date, the Company shall have requested and caused an opinion and negative assurance letter of Skadden, Arps, Slate, Meagher &amp; Flom LLP, counsel to the Company, dated the Commencement Date or Exchange Date, as applicable, in form and substance reasonably satisfactory to the Dealer Manager to have been delivered to the Dealer Manager, in each case addressed to, and in form and substance satisfactory to, the Dealer Manager.</w:t>
      </w:r>
    </w:p>
    <w:p>
      <w:pPr>
        <w:spacing w:after="0" w:line="194" w:lineRule="exact"/>
        <w:rPr>
          <w:rFonts w:ascii="Times New Roman" w:cs="Times New Roman" w:eastAsia="Times New Roman" w:hAnsi="Times New Roman"/>
          <w:sz w:val="22"/>
          <w:szCs w:val="22"/>
          <w:color w:val="auto"/>
        </w:rPr>
      </w:pPr>
    </w:p>
    <w:p>
      <w:pPr>
        <w:ind w:firstLine="645"/>
        <w:spacing w:after="0" w:line="250" w:lineRule="auto"/>
        <w:tabs>
          <w:tab w:leader="none" w:pos="110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Commencement Date and the Exchange Date, the Dealer Manager shall have received from Davis Polk &amp; Wardwell LLP, counsel for the Dealer Manager, such opinion and negative assurance letter, in each case addressed to the Dealer Manager with respect to the Exchange Offer, as the Dealer Manager may reasonably require, and the Company shall have furnished to such counsel such documents as they request for the purposes of enabling them to pass upon such matters.</w:t>
      </w:r>
    </w:p>
    <w:p>
      <w:pPr>
        <w:spacing w:after="0" w:line="180" w:lineRule="exact"/>
        <w:rPr>
          <w:rFonts w:ascii="Times New Roman" w:cs="Times New Roman" w:eastAsia="Times New Roman" w:hAnsi="Times New Roman"/>
          <w:sz w:val="22"/>
          <w:szCs w:val="22"/>
          <w:color w:val="auto"/>
        </w:rPr>
      </w:pPr>
    </w:p>
    <w:p>
      <w:pPr>
        <w:ind w:right="320" w:firstLine="645"/>
        <w:spacing w:after="0" w:line="256" w:lineRule="auto"/>
        <w:tabs>
          <w:tab w:leader="none" w:pos="10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Exchange Date, the Company shall have furnished to the Dealer Manager a certificate of the Company, signed by the Chief Financial Officer of the Company, dated as of the Exchange Date, to the effect that the signer of such certificate have carefully examined the Offering Documents, any amendment or supplement to the Offering Documents and this Agreement and that:</w:t>
      </w:r>
    </w:p>
    <w:p>
      <w:pPr>
        <w:spacing w:after="0" w:line="176" w:lineRule="exact"/>
        <w:rPr>
          <w:rFonts w:ascii="Times New Roman" w:cs="Times New Roman" w:eastAsia="Times New Roman" w:hAnsi="Times New Roman"/>
          <w:sz w:val="22"/>
          <w:szCs w:val="22"/>
          <w:color w:val="auto"/>
        </w:rPr>
      </w:pPr>
    </w:p>
    <w:p>
      <w:pPr>
        <w:ind w:left="560" w:right="40" w:firstLine="652"/>
        <w:spacing w:after="0" w:line="256" w:lineRule="auto"/>
        <w:tabs>
          <w:tab w:leader="none" w:pos="162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Company in this Agreement are true and correct as of the Exchange Date with the same effect as if made on the Exchange Date, and the Company has complied with all the agreements and satisfied all the conditions on its part to be performed or satisfied hereunder at or prior to the Exchange Date;</w:t>
      </w:r>
    </w:p>
    <w:p>
      <w:pPr>
        <w:spacing w:after="0" w:line="176" w:lineRule="exact"/>
        <w:rPr>
          <w:rFonts w:ascii="Times New Roman" w:cs="Times New Roman" w:eastAsia="Times New Roman" w:hAnsi="Times New Roman"/>
          <w:sz w:val="22"/>
          <w:szCs w:val="22"/>
          <w:color w:val="auto"/>
        </w:rPr>
      </w:pPr>
    </w:p>
    <w:p>
      <w:pPr>
        <w:ind w:left="560" w:right="500" w:firstLine="652"/>
        <w:spacing w:after="0" w:line="271" w:lineRule="auto"/>
        <w:tabs>
          <w:tab w:leader="none" w:pos="168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stop order suspending the effectiveness of the Registration Statement has been issued and no proceedings for that purpose have been instituted or threatened by the Commission; and</w:t>
      </w:r>
    </w:p>
    <w:p>
      <w:pPr>
        <w:spacing w:after="0" w:line="157" w:lineRule="exact"/>
        <w:rPr>
          <w:rFonts w:ascii="Times New Roman" w:cs="Times New Roman" w:eastAsia="Times New Roman" w:hAnsi="Times New Roman"/>
          <w:sz w:val="22"/>
          <w:szCs w:val="22"/>
          <w:color w:val="auto"/>
        </w:rPr>
      </w:pPr>
    </w:p>
    <w:p>
      <w:pPr>
        <w:ind w:left="560" w:right="40" w:firstLine="652"/>
        <w:spacing w:after="0" w:line="256" w:lineRule="auto"/>
        <w:tabs>
          <w:tab w:leader="none" w:pos="174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most recent financial statements included or incorporated by reference in the Offering Documents (exclusive of any amendment or supplement thereto), there has not been any Material Adverse Effect, except as set forth in or contemplated in the Offering Documents (exclusive of any amendment or supplement thereto).</w:t>
      </w:r>
    </w:p>
    <w:p>
      <w:pPr>
        <w:spacing w:after="0" w:line="176" w:lineRule="exact"/>
        <w:rPr>
          <w:rFonts w:ascii="Times New Roman" w:cs="Times New Roman" w:eastAsia="Times New Roman" w:hAnsi="Times New Roman"/>
          <w:sz w:val="22"/>
          <w:szCs w:val="22"/>
          <w:color w:val="auto"/>
        </w:rPr>
      </w:pPr>
    </w:p>
    <w:p>
      <w:pPr>
        <w:ind w:right="120" w:firstLine="645"/>
        <w:spacing w:after="0" w:line="257" w:lineRule="auto"/>
        <w:tabs>
          <w:tab w:leader="none" w:pos="106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of the Commencement Date and the Exchange Date, the Company shall have requested and caused Ernst &amp; Young LLP to furnish to the Dealer Manager letters, dated respectively as of the Commencement Date and the Exchange Date, in form and substance reasonably satisfactory to the Dealer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460"/>
          </w:cols>
          <w:pgMar w:left="1060" w:top="1422" w:right="379" w:bottom="1440" w:gutter="0" w:footer="0" w:header="0"/>
        </w:sectPr>
      </w:pPr>
    </w:p>
    <w:bookmarkStart w:id="106" w:name="page107"/>
    <w:bookmarkEnd w:id="106"/>
    <w:p>
      <w:pPr>
        <w:ind w:left="740" w:firstLine="645"/>
        <w:spacing w:after="0" w:line="256" w:lineRule="auto"/>
        <w:tabs>
          <w:tab w:leader="none" w:pos="185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Commencement Date (i) no downgrading shall have occurred in the rating accorded the Company’s debt securities by any “nationally recognized statistical rating organization”, as defined in Section 3(a)(62) of the Exchange Act, and (ii) no such organization shall have publicly announced that it has under surveillance or review, with possible negative implications, its rating of any of the Company’s debt securities.</w:t>
      </w:r>
    </w:p>
    <w:p>
      <w:pPr>
        <w:spacing w:after="0" w:line="176" w:lineRule="exact"/>
        <w:rPr>
          <w:rFonts w:ascii="Times New Roman" w:cs="Times New Roman" w:eastAsia="Times New Roman" w:hAnsi="Times New Roman"/>
          <w:sz w:val="22"/>
          <w:szCs w:val="22"/>
          <w:color w:val="auto"/>
        </w:rPr>
      </w:pPr>
    </w:p>
    <w:p>
      <w:pPr>
        <w:ind w:left="660" w:right="100" w:firstLine="725"/>
        <w:spacing w:after="0" w:line="247" w:lineRule="auto"/>
        <w:tabs>
          <w:tab w:leader="none" w:pos="1857"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Commencement Date or, if earlier, the dates as of which information is given in the Offering Documents (exclusive of any amendment or supplement thereto), there shall not have been (i) any change or decrease specified in the letters referred to in paragraph (f) of this Section 6 or (ii) any change, or any development involving a prospective change, in or affecting the condition (financial or otherwise), prospects, earnings, business or properties the Company and its subsidiaries, taken as a whole, whether or not arising from transactions in the ordinary course of business, except as set forth in or contemplated in the Offering Documents (exclusive of any amendment or supplement thereto), the effect of which, in any case referred to in clause (i) or (ii) above, is, in the reasonable judgment of the Dealer Manager, so material and adverse as to make it impractical or inadvisable to market or deliver the Shares or solicit tenders of Warrants as contemplated by the Offering Documents (exclusive of any amendment or supplement thereto).</w:t>
      </w:r>
    </w:p>
    <w:p>
      <w:pPr>
        <w:spacing w:after="0" w:line="204" w:lineRule="exact"/>
        <w:rPr>
          <w:rFonts w:ascii="Times New Roman" w:cs="Times New Roman" w:eastAsia="Times New Roman" w:hAnsi="Times New Roman"/>
          <w:sz w:val="22"/>
          <w:szCs w:val="22"/>
          <w:color w:val="auto"/>
        </w:rPr>
      </w:pPr>
    </w:p>
    <w:p>
      <w:pPr>
        <w:ind w:left="660" w:right="40" w:firstLine="644"/>
        <w:spacing w:after="0" w:line="252" w:lineRule="auto"/>
        <w:tabs>
          <w:tab w:leader="none" w:pos="17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Exchange Date, the Company shall have obtained all consents, approvals, authorizations and orders of, and shall have duly made all registrations, qualifications and filing with, any court or regulatory authority or other governmental agency or instrumentality required in connection with the making and consummation of the Exchange Offer and the execution, delivery and performance of this Agreement.</w:t>
      </w:r>
    </w:p>
    <w:p>
      <w:pPr>
        <w:spacing w:after="0" w:line="179" w:lineRule="exact"/>
        <w:rPr>
          <w:rFonts w:ascii="Times New Roman" w:cs="Times New Roman" w:eastAsia="Times New Roman" w:hAnsi="Times New Roman"/>
          <w:sz w:val="22"/>
          <w:szCs w:val="22"/>
          <w:color w:val="auto"/>
        </w:rPr>
      </w:pPr>
    </w:p>
    <w:p>
      <w:pPr>
        <w:ind w:left="660" w:right="340" w:firstLine="644"/>
        <w:spacing w:after="0" w:line="284" w:lineRule="auto"/>
        <w:tabs>
          <w:tab w:leader="none" w:pos="17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Exchange Date, the Company shall have delivered to the Dealer Manager and its counsel such further information, certificates and documents as they may reasonably request.</w:t>
      </w:r>
    </w:p>
    <w:p>
      <w:pPr>
        <w:spacing w:after="0" w:line="143" w:lineRule="exact"/>
        <w:rPr>
          <w:rFonts w:ascii="Times New Roman" w:cs="Times New Roman" w:eastAsia="Times New Roman" w:hAnsi="Times New Roman"/>
          <w:sz w:val="22"/>
          <w:szCs w:val="22"/>
          <w:color w:val="auto"/>
        </w:rPr>
      </w:pPr>
    </w:p>
    <w:p>
      <w:pPr>
        <w:ind w:left="660" w:right="120" w:firstLine="644"/>
        <w:spacing w:after="0" w:line="271" w:lineRule="auto"/>
        <w:tabs>
          <w:tab w:leader="none" w:pos="177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Exchange Date, the Shares shall have been approved for listing, subject to notice of issuance, on the Nasdaq Global Select Market.</w:t>
      </w:r>
    </w:p>
    <w:p>
      <w:pPr>
        <w:spacing w:after="0" w:line="158"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22"/>
          <w:szCs w:val="22"/>
          <w:color w:val="auto"/>
        </w:rPr>
        <w:t>If (i) any of the conditions specified in this Section 6 shall not have been fulfilled when and as provided in this Agreement, or (ii) any of the opinions and certificates mentioned above or elsewhere in this Agreement shall not be reasonably satisfactory in form and substance to the Dealer Manager and its counsel, this Agreement and all obligations of the Dealer Manager hereunder may be cancelled by the Dealer Manager at, or at any time prior to, the Exchange Date. In such event, the Dealer Managers shall be entitled to publicly disclose the cancellation of its participation in the Exchange Offer via press release, subject to prior notification of the Company. Notice of such cancellation shall be given to the Company in writing or by telephone or facsimile confirmed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07" w:name="page108"/>
    <w:bookmarkEnd w:id="107"/>
    <w:p>
      <w:pPr>
        <w:ind w:left="384" w:hanging="384"/>
        <w:spacing w:after="0"/>
        <w:tabs>
          <w:tab w:leader="none" w:pos="3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84" w:firstLine="645"/>
        <w:spacing w:after="0" w:line="246" w:lineRule="auto"/>
        <w:tabs>
          <w:tab w:leader="none" w:pos="118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agrees to indemnify and hold harmless the Dealer Manager, the directors, officers, employees and agents of the Dealer Manager and each person who controls the Dealer Manager within the meaning of either the Securities Act or the Exchange Act against any and all losses, claims, damages or liabilities, joint or several, to which the Dealer Manager may become subject under the Securities Act, the Exchange Act or other federal, state or foreign statutory law or regulation, at common law or otherwise, insofar as such losses, claims, damages or liabilities (or actions in respect thereof) relate to, arise out of, or are based upon (1) any untrue statement or alleged untrue statement of a material fact contained in the Registration Statement (or any amendment or supplement thereto), or the omission or alleged omission therefrom of a material fact required to be stated therein or necessary in order to make the statements therein not misleading, (2) any untrue statement or alleged untrue statement of a material fact contained in the Preliminary Prospectus, the Prospectus, the accompanying letter of transmittal and consent, the Schedule TO, the Rule 165 Material, the notice of guaranteed delivery, and all other documents filed or to be filed with any federal, state or local government or regulatory agency or authority in connection with the Exchange Offer or the Consent Solicitation, each as prepared or approved by the Company, or the omission or alleged omission therefrom of a material fact necessary in order to make the statements therein, in the light of the circumstances under which they were made, not misleading, (3) the Company’s failure to make or consummate the Exchange Offer or the withdrawal, rescission, termination, amendment or extension of the Exchange Offer or any failure on the Company’s part to comply with the terms and conditions contained in the Offering Documents, (4) any action or failure to act by the Company or its respective directors, officers, agents or employees or by any indemnified party at the request or with the consent of the Company, or (5) otherwise related to or arising out of the Dealer Manager’s engagement hereunder or any transaction or conduct in connection therewith, except that clauses (3), (4) and (5) shall not apply with respect to the portion of any losses that are finally judicially determined by a court of competent jurisdiction to have resulted primarily from the bad faith, gross negligence or willful misconduct of such indemnified party, and in the case of clause (1), (2), (3) or (4) of this sentence, the Company agrees to reimburse each such indemnified party, as incurred, for any legal or other expenses reasonably incurred by it in connection with investigating or defending any such loss, claim, damage, liability or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will not be liable in any such case to the extent that any such loss, claim, damage or liability arises out of or is based upon any such untrue statement or alleged untrue statement or omission or alleged omission made in the Offering Documents, or in any amendment thereof or supplement thereto, in reliance upon and in conformity with the Dealer Manager Information. This indemnity agreement will be in addition to any liability that the Company may otherwise have.</w:t>
      </w:r>
    </w:p>
    <w:p>
      <w:pPr>
        <w:spacing w:after="0" w:line="215" w:lineRule="exact"/>
        <w:rPr>
          <w:rFonts w:ascii="Times New Roman" w:cs="Times New Roman" w:eastAsia="Times New Roman" w:hAnsi="Times New Roman"/>
          <w:sz w:val="22"/>
          <w:szCs w:val="22"/>
          <w:color w:val="auto"/>
        </w:rPr>
      </w:pPr>
    </w:p>
    <w:p>
      <w:pPr>
        <w:ind w:left="84" w:right="360" w:firstLine="645"/>
        <w:spacing w:after="0" w:line="257" w:lineRule="auto"/>
        <w:tabs>
          <w:tab w:leader="none" w:pos="119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Dealer Manager agrees to indemnify and hold harmless the Company, each of its directors, officers, employees and agents and each person who controls the Company within the meaning of the Securities Act or the Exchange Act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564"/>
          </w:cols>
          <w:pgMar w:left="976" w:top="1422" w:right="359" w:bottom="1440" w:gutter="0" w:footer="0" w:header="0"/>
        </w:sectPr>
      </w:pPr>
    </w:p>
    <w:bookmarkStart w:id="108" w:name="page109"/>
    <w:bookmarkEnd w:id="108"/>
    <w:p>
      <w:pPr>
        <w:ind w:right="100"/>
        <w:spacing w:after="0" w:line="257" w:lineRule="auto"/>
        <w:rPr>
          <w:sz w:val="20"/>
          <w:szCs w:val="20"/>
          <w:color w:val="auto"/>
        </w:rPr>
      </w:pPr>
      <w:r>
        <w:rPr>
          <w:rFonts w:ascii="Times New Roman" w:cs="Times New Roman" w:eastAsia="Times New Roman" w:hAnsi="Times New Roman"/>
          <w:sz w:val="22"/>
          <w:szCs w:val="22"/>
          <w:color w:val="auto"/>
        </w:rPr>
        <w:t>the same extent as the foregoing indemnity from the Company to the Dealer Manager, but only with reference to the Dealer Manager Information. This indemnity agreement will be in addition to any liability that the Dealer Manager may otherwise have.</w:t>
      </w:r>
    </w:p>
    <w:p>
      <w:pPr>
        <w:spacing w:after="0" w:line="186" w:lineRule="exact"/>
        <w:rPr>
          <w:sz w:val="20"/>
          <w:szCs w:val="20"/>
          <w:color w:val="auto"/>
        </w:rPr>
      </w:pPr>
    </w:p>
    <w:p>
      <w:pPr>
        <w:ind w:firstLine="645"/>
        <w:spacing w:after="0" w:line="258" w:lineRule="auto"/>
        <w:tabs>
          <w:tab w:leader="none" w:pos="1104"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200" w:lineRule="exact"/>
        <w:rPr>
          <w:rFonts w:ascii="Times New Roman" w:cs="Times New Roman" w:eastAsia="Times New Roman" w:hAnsi="Times New Roman"/>
          <w:sz w:val="21"/>
          <w:szCs w:val="21"/>
          <w:color w:val="auto"/>
        </w:rPr>
      </w:pPr>
    </w:p>
    <w:p>
      <w:pPr>
        <w:jc w:val="both"/>
        <w:ind w:right="740" w:firstLine="645"/>
        <w:spacing w:after="0" w:line="257" w:lineRule="auto"/>
        <w:tabs>
          <w:tab w:leader="none" w:pos="111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indemnity provided in paragraph (a) or (b) of this Section 7 is unavailable to or insufficient to hold harmless an indemnified party for any reason, the Company and the Dealer Manager agree to contribute to the aggregate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480"/>
          </w:cols>
          <w:pgMar w:left="1060" w:top="1422" w:right="359" w:bottom="1440" w:gutter="0" w:footer="0" w:header="0"/>
        </w:sectPr>
      </w:pPr>
    </w:p>
    <w:bookmarkStart w:id="109" w:name="page110"/>
    <w:bookmarkEnd w:id="109"/>
    <w:p>
      <w:pPr>
        <w:spacing w:after="0" w:line="258" w:lineRule="auto"/>
        <w:rPr>
          <w:sz w:val="20"/>
          <w:szCs w:val="20"/>
          <w:color w:val="auto"/>
        </w:rPr>
      </w:pPr>
      <w:r>
        <w:rPr>
          <w:rFonts w:ascii="Times New Roman" w:cs="Times New Roman" w:eastAsia="Times New Roman" w:hAnsi="Times New Roman"/>
          <w:sz w:val="21"/>
          <w:szCs w:val="21"/>
          <w:color w:val="auto"/>
        </w:rPr>
        <w:t>claims, damages and liabilities (including legal or other expenses reasonably incurred in connection with investigating or defending same) (collectively, the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to which the Company and the Dealer Manager may be subject in such proportion as is appropriate to reflect the relative benefits received by the Dealer Manager on the one hand and the Company on the other from the Exchange Offer. If the allocation provided by the immediately preceding sentence is unavailable for any reason, the Company and the Dealer Manager shall contribute in such proportion as is appropriate to reflect not only such relative benefits but also the relative fault of the Company on the one hand and of the Dealer Manager on the other in connection with the statements, omissions, actions or failure to act that resulted in such Losses, as well as any other relevant equitable considerations. The relative benefits received by the Company on the one hand and the Dealer Manager on the other shall be deemed to be in the same proportion as the total value paid or proposed to be paid to holders of Warrants pursuant to the Exchange Offer and the Consent Solicitation (whether or not consummated) bears to the fees actually received by the Dealer Manager pursuant to Section 2 hereof (exclusive of amounts paid for reimbursement of expenses or paid under this Agreement). For purposes of the preceding sentence, the total value paid or proposed to be paid to holders of Warrants pursuant to the Exchange Offer and the Consent Solicitation shall equal (i) if the Exchange Offer or the Consent Solicitation is consummated, the total market value of the Shares (as of the Expiration Date) issued, and the cash consideration paid, in the Exchange Offer and the Consent Solicitation, or (ii) if the Exchange Offer and the Consent Solicitation is not consummated, the total market value (as of the date when the Exchange Offer is terminated or otherwise withdrawn by the Company) of the Shares issuable, and the cash consideration payable, in the Exchange Offer and the Consent Solicitation, based on the maximum number of Warrants that could be exchanged in the Exchange Offer and the Consent Solicitation as described in the Preliminary Prospectus Supplement or Prospectus immediately before the termination or withdrawal of the Exchange Offer and the Consent Solicitation. Relative fault shall be determined by reference to, among other things, whether any untrue or any alleged untrue statement of a material fact or the omission or alleged omission to state a material fact or any other alleged conduct relates to information provided by the Company or other conduct by the Company on the one hand or the Dealer Manager on the other, the intent of the parties and their relative knowledge, access to information and opportunity to correct or prevent such untrue statement or omission. The Company and the Dealer Manager agree that it would not be just and equitable if contribution were determined by pro rata allocation or any other method of allocation that does not take account of the equitable considerations referred to above. Notwithstanding anything to the contrary above (other than with respect to uncovered losses), in no event shall Citigroup Global Markets Inc. be responsible under this paragraph for any amounts in excess of the amount of the compensation actually paid by the Company to Citigroup Global Markets Inc. in connection with the engagement (exclusive of amounts paid for reimbursement of expenses under the Agreement, including this Section 7, and amounts paid under this Section 7). Notwithstanding the provisions of this paragraph (d), no person guilty of fraudulent misrepresentation (within the meaning of Section 11(f) of the Securities Act) shall be entitled to contribution from any person who was not guilty of such fraudulent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500"/>
          </w:cols>
          <w:pgMar w:left="1060" w:top="1422" w:right="339" w:bottom="1440" w:gutter="0" w:footer="0" w:header="0"/>
        </w:sectPr>
      </w:pPr>
    </w:p>
    <w:bookmarkStart w:id="110" w:name="page111"/>
    <w:bookmarkEnd w:id="110"/>
    <w:p>
      <w:pPr>
        <w:ind w:left="740" w:right="80"/>
        <w:spacing w:after="0" w:line="251" w:lineRule="auto"/>
        <w:rPr>
          <w:sz w:val="20"/>
          <w:szCs w:val="20"/>
          <w:color w:val="auto"/>
        </w:rPr>
      </w:pPr>
      <w:r>
        <w:rPr>
          <w:rFonts w:ascii="Times New Roman" w:cs="Times New Roman" w:eastAsia="Times New Roman" w:hAnsi="Times New Roman"/>
          <w:sz w:val="22"/>
          <w:szCs w:val="22"/>
          <w:color w:val="auto"/>
        </w:rPr>
        <w:t>misrepresentation. For purposes of this Section 7, each person who controls the Dealer Manager within the meaning of either the Securities Act or the Exchange Act and each director, officer, employee and agent of the Dealer Manager shall have the same rights to contribution as such Dealer Manager, and each person who controls the Company within the meaning of either the Securities Act or the Exchange Act and each officer and director of the Company shall have the same rights to contribution as the Company, subject in each case to the applicable terms and conditions of this paragraph (d).</w:t>
      </w:r>
    </w:p>
    <w:p>
      <w:pPr>
        <w:spacing w:after="0" w:line="181" w:lineRule="exact"/>
        <w:rPr>
          <w:sz w:val="20"/>
          <w:szCs w:val="20"/>
          <w:color w:val="auto"/>
        </w:rPr>
      </w:pPr>
    </w:p>
    <w:p>
      <w:pPr>
        <w:ind w:left="1040" w:hanging="384"/>
        <w:spacing w:after="0"/>
        <w:tabs>
          <w:tab w:leader="none" w:pos="10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19" w:lineRule="exact"/>
        <w:rPr>
          <w:rFonts w:ascii="Times New Roman" w:cs="Times New Roman" w:eastAsia="Times New Roman" w:hAnsi="Times New Roman"/>
          <w:sz w:val="22"/>
          <w:szCs w:val="22"/>
          <w:color w:val="auto"/>
        </w:rPr>
      </w:pPr>
    </w:p>
    <w:p>
      <w:pPr>
        <w:ind w:firstLine="656"/>
        <w:spacing w:after="0" w:line="250" w:lineRule="auto"/>
        <w:tabs>
          <w:tab w:leader="none" w:pos="102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Acknowledgments</w:t>
      </w:r>
      <w:r>
        <w:rPr>
          <w:rFonts w:ascii="Times New Roman" w:cs="Times New Roman" w:eastAsia="Times New Roman" w:hAnsi="Times New Roman"/>
          <w:sz w:val="22"/>
          <w:szCs w:val="22"/>
          <w:color w:val="auto"/>
        </w:rPr>
        <w:t>. The Company understands that you and your affiliates (together, the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are engaged in a wide range of financial services and businesses (including investment management, financing, securities trading, corporate and investment banking and research). Members of the Group and businesses within the Group generally act independently of each other, both for their own account and for the account of clients. Accordingly, there may be situations where parts of the Group and/or their clients either now have or may in the future have interests, or take actions, that may conflict with our interests. For example, the Group may, in the ordinary course of business, engage in trading in financial products or undertake other investment businesses for their own account or on behalf of other clients, including, but not limited to, trading in or holding long, short or derivative positions in securities, loans or other financial products of the Company or other entities connected with the Exchange Offer.</w:t>
      </w:r>
    </w:p>
    <w:p>
      <w:pPr>
        <w:spacing w:after="0" w:line="180"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In recognition of the foregoing, the Company agrees that the Group is not required to restrict its activities as a result of this engagement, and that the Group may undertake any business activity without further consultation with or notification to the Company. Neither this Agreement, the receipt by the Group of confidential information nor any other matter shall give rise to any fiduciary, equitable or contractual duties (including without limitation any duty of trust or confidence) that would prevent or restrict the Group from acting on behalf of other customers or for its own account. Furthermore, the Company agrees that neither the Group nor any member or business of the Group is under a duty to disclose to the Company or use on behalf of the Company any information whatsoever about or derived from those activities or to account for any revenue or profits obtained in connection with such activities. However, consistent with the Group’s long-standing policy to hold in confidence the affairs of its customers, the Group will not use confidential information obtained from the Company except in connection with its services to, and its relationship with the Company.</w:t>
      </w:r>
    </w:p>
    <w:p>
      <w:pPr>
        <w:spacing w:after="0" w:line="183" w:lineRule="exact"/>
        <w:rPr>
          <w:sz w:val="20"/>
          <w:szCs w:val="20"/>
          <w:color w:val="auto"/>
        </w:rPr>
      </w:pPr>
    </w:p>
    <w:p>
      <w:pPr>
        <w:ind w:right="40" w:firstLine="1296"/>
        <w:spacing w:after="0" w:line="265" w:lineRule="auto"/>
        <w:rPr>
          <w:sz w:val="20"/>
          <w:szCs w:val="20"/>
          <w:color w:val="auto"/>
        </w:rPr>
      </w:pPr>
      <w:r>
        <w:rPr>
          <w:rFonts w:ascii="Times New Roman" w:cs="Times New Roman" w:eastAsia="Times New Roman" w:hAnsi="Times New Roman"/>
          <w:sz w:val="21"/>
          <w:szCs w:val="21"/>
          <w:color w:val="auto"/>
        </w:rPr>
        <w:t>The Company hereby acknowledges that you are acting as principal and not as a fiduciary of the Company and the Company’s engagement of you in connection with the transactions contemplated herein is as an independent contractor, on an arms-length basis under this Agreement with duties solely to the Company, and not in any other capacity including as a fiduciary. Neither this Agreement, your performance hereunder nor any previous or existing relationship between the Company and any member of or business within the Group will be deemed to create any fiduciary relationship. Neither this engagement, nor the delivery of any advice in connection with this engagement, is intended to confer rights upon any persons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111" w:name="page112"/>
    <w:bookmarkEnd w:id="111"/>
    <w:p>
      <w:pPr>
        <w:ind w:right="40"/>
        <w:spacing w:after="0" w:line="256" w:lineRule="auto"/>
        <w:rPr>
          <w:sz w:val="20"/>
          <w:szCs w:val="20"/>
          <w:color w:val="auto"/>
        </w:rPr>
      </w:pPr>
      <w:r>
        <w:rPr>
          <w:rFonts w:ascii="Times New Roman" w:cs="Times New Roman" w:eastAsia="Times New Roman" w:hAnsi="Times New Roman"/>
          <w:sz w:val="22"/>
          <w:szCs w:val="22"/>
          <w:color w:val="auto"/>
        </w:rPr>
        <w:t>party hereto (including security holders, employees or creditors of the Company) as against the Group or their respective directors, officers, agents and employees. Furthermore, the Company agrees that it is solely responsible for making its own judgments in connection with the transactions contemplated herein (irrespective of whether any member of or business within the Group has advised or is currently advising the Company on related or other matters).</w:t>
      </w:r>
    </w:p>
    <w:p>
      <w:pPr>
        <w:spacing w:after="0" w:line="176" w:lineRule="exact"/>
        <w:rPr>
          <w:sz w:val="20"/>
          <w:szCs w:val="20"/>
          <w:color w:val="auto"/>
        </w:rPr>
      </w:pPr>
    </w:p>
    <w:p>
      <w:pPr>
        <w:ind w:left="1140" w:hanging="484"/>
        <w:spacing w:after="0"/>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Representations, Acknowledgments and Indemnities to Survive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740" w:right="160" w:firstLine="645"/>
        <w:spacing w:after="0" w:line="256" w:lineRule="auto"/>
        <w:tabs>
          <w:tab w:leader="none" w:pos="184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(c) below, this Agreement may be terminated by the Company, at any time upon notice to the Dealer Manager, if (i) at any time prior to the Exchange Date, the Exchange Offer and the Consent Solicitation is terminated or withdrawn by the Company for any reason, or (ii) the Dealer Manager does not comply with all of its covenants under this Agreement.</w:t>
      </w:r>
    </w:p>
    <w:p>
      <w:pPr>
        <w:spacing w:after="0" w:line="176" w:lineRule="exact"/>
        <w:rPr>
          <w:rFonts w:ascii="Times New Roman" w:cs="Times New Roman" w:eastAsia="Times New Roman" w:hAnsi="Times New Roman"/>
          <w:sz w:val="22"/>
          <w:szCs w:val="22"/>
          <w:color w:val="auto"/>
        </w:rPr>
      </w:pPr>
    </w:p>
    <w:p>
      <w:pPr>
        <w:ind w:left="740" w:firstLine="645"/>
        <w:spacing w:after="0" w:line="250" w:lineRule="auto"/>
        <w:tabs>
          <w:tab w:leader="none" w:pos="185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(c) below, this Agreement may be terminated by the Dealer Manager, at any time upon notice to the Company, if (i) at any time prior to the Exchange Date, the Exchange Offer and the Consent Solicitation is terminated or withdrawn by the Company for any reason, (ii) the Company does not comply in all material respects with any covenant specified in Section 1, (iii) the Company shall publish, send or otherwise distribute any amendment or supplement to the Offering Documents to which the Dealer Manager shall reasonably object or which shall be reasonably disapproved by the counsel to the Dealer Manager or (iv) the Dealer Manager cancels the Agreement pursuant to Section 6.</w:t>
      </w:r>
    </w:p>
    <w:p>
      <w:pPr>
        <w:spacing w:after="0" w:line="180" w:lineRule="exact"/>
        <w:rPr>
          <w:rFonts w:ascii="Times New Roman" w:cs="Times New Roman" w:eastAsia="Times New Roman" w:hAnsi="Times New Roman"/>
          <w:sz w:val="22"/>
          <w:szCs w:val="22"/>
          <w:color w:val="auto"/>
        </w:rPr>
      </w:pPr>
    </w:p>
    <w:p>
      <w:pPr>
        <w:ind w:left="740" w:right="60" w:firstLine="645"/>
        <w:spacing w:after="0" w:line="251" w:lineRule="auto"/>
        <w:tabs>
          <w:tab w:leader="none" w:pos="18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respective agreements, representations, warranties, acknowledgments, indemnities and other statements of the Company or its officers and of the Dealer Manager set forth in or made pursuant to this Agreement will remain in full force and effect, regardless of any investigation made by or on behalf of the Dealer Manager or the Company or any of the officers, directors or controlling person of the Company, and will survive delivery of and payment for the Shares. The provisions of Section 2, Section 5(m), Section 7, and Section 18 hereof, and this Section 10(c), shall survive the termination or cancellation of this Agreement.</w:t>
      </w:r>
    </w:p>
    <w:p>
      <w:pPr>
        <w:spacing w:after="0" w:line="181" w:lineRule="exact"/>
        <w:rPr>
          <w:rFonts w:ascii="Times New Roman" w:cs="Times New Roman" w:eastAsia="Times New Roman" w:hAnsi="Times New Roman"/>
          <w:sz w:val="22"/>
          <w:szCs w:val="22"/>
          <w:color w:val="auto"/>
        </w:rPr>
      </w:pPr>
    </w:p>
    <w:p>
      <w:pPr>
        <w:ind w:right="140" w:firstLine="656"/>
        <w:spacing w:after="0" w:line="256" w:lineRule="auto"/>
        <w:tabs>
          <w:tab w:leader="none" w:pos="112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USA Patriot Act</w:t>
      </w:r>
      <w:r>
        <w:rPr>
          <w:rFonts w:ascii="Times New Roman" w:cs="Times New Roman" w:eastAsia="Times New Roman" w:hAnsi="Times New Roman"/>
          <w:sz w:val="22"/>
          <w:szCs w:val="22"/>
          <w:color w:val="auto"/>
        </w:rPr>
        <w:t>. In accordance with the requirements of the USA Patriot Act (Title III of Pub. L. 107-56 (signed into law October 26, 2001)), the Dealer Manager is required to obtain, verify and record information that identifies its clients, including the Company, which information may include the name and address of its clients, as well as other information that will allow the Dealer Manager to properly identify its clients.</w:t>
      </w:r>
    </w:p>
    <w:p>
      <w:pPr>
        <w:spacing w:after="0" w:line="176" w:lineRule="exact"/>
        <w:rPr>
          <w:rFonts w:ascii="Times New Roman" w:cs="Times New Roman" w:eastAsia="Times New Roman" w:hAnsi="Times New Roman"/>
          <w:sz w:val="22"/>
          <w:szCs w:val="22"/>
          <w:color w:val="auto"/>
        </w:rPr>
      </w:pPr>
    </w:p>
    <w:p>
      <w:pPr>
        <w:ind w:right="80" w:firstLine="656"/>
        <w:spacing w:after="0" w:line="268" w:lineRule="auto"/>
        <w:tabs>
          <w:tab w:leader="none" w:pos="113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communications hereunder will be in writing and effective only on receipt, and, if sent to the Dealer Manager, will be mailed or delivered to Citigroup Global Markets Inc. at 388 Greenwich Street, New York, New York 10013 Attention: General Counsel, facsimile number 1-646-291-1469, with a copy to (which shall not constitute notice) Davis Polk &amp; Wardwell LLP, 450 Lexington Avenue, New York, New York 10017, Attention: Derek Dostal; or, if sent to the Company, will be mailed or delivered to Perella Weinberg Partners, 767 Fifth Avenue, New York, New York 10153, 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12" w:name="page113"/>
    <w:bookmarkEnd w:id="112"/>
    <w:p>
      <w:pPr>
        <w:ind w:left="-40" w:right="40" w:firstLine="656"/>
        <w:spacing w:after="0" w:line="257"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their respective successors and the officers and directors and controlling persons referred to in Section 7 hereof, and, except as expressly set forth in Section 5(k) hereof, no other person will have any right or obligation hereunder.</w:t>
      </w:r>
    </w:p>
    <w:p>
      <w:pPr>
        <w:spacing w:after="0" w:line="186" w:lineRule="exact"/>
        <w:rPr>
          <w:rFonts w:ascii="Times New Roman" w:cs="Times New Roman" w:eastAsia="Times New Roman" w:hAnsi="Times New Roman"/>
          <w:sz w:val="22"/>
          <w:szCs w:val="22"/>
          <w:color w:val="auto"/>
        </w:rPr>
      </w:pPr>
    </w:p>
    <w:p>
      <w:pPr>
        <w:ind w:left="-40" w:firstLine="656"/>
        <w:spacing w:after="0" w:line="252"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any documents referred to in it, constitute the whole agreement between the parties and supersede any arrangements, understanding or previous agreement between them relating to the subject matter they cover. In the event of any inconsistency between this Agreement and any documents referred to in it, the terms of this Agreement shall prevail.</w:t>
      </w:r>
    </w:p>
    <w:p>
      <w:pPr>
        <w:spacing w:after="0" w:line="179" w:lineRule="exact"/>
        <w:rPr>
          <w:rFonts w:ascii="Times New Roman" w:cs="Times New Roman" w:eastAsia="Times New Roman" w:hAnsi="Times New Roman"/>
          <w:sz w:val="22"/>
          <w:szCs w:val="22"/>
          <w:color w:val="auto"/>
        </w:rPr>
      </w:pPr>
    </w:p>
    <w:p>
      <w:pPr>
        <w:ind w:left="-40" w:right="60" w:firstLine="656"/>
        <w:spacing w:after="0" w:line="249"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Company hereby submits to the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the Company is subject by a suit upon such judgment. The Company hereby irrevocably waives personal service of process and consents to process being served in any such suit, action or proceeding by mailing a copy thereof via registered or certified mail or overnight delivery (with evidence of delivery) to the Company at the address in effect for notices to it under this Agreement and agrees that such service shall be deemed in every respect effective service of process upon the Company in any such suit or proceeding.</w:t>
      </w:r>
    </w:p>
    <w:p>
      <w:pPr>
        <w:spacing w:after="0" w:line="183" w:lineRule="exact"/>
        <w:rPr>
          <w:rFonts w:ascii="Times New Roman" w:cs="Times New Roman" w:eastAsia="Times New Roman" w:hAnsi="Times New Roman"/>
          <w:sz w:val="22"/>
          <w:szCs w:val="22"/>
          <w:color w:val="auto"/>
        </w:rPr>
      </w:pPr>
    </w:p>
    <w:p>
      <w:pPr>
        <w:ind w:left="-40" w:right="420" w:firstLine="656"/>
        <w:spacing w:after="0" w:line="271"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will be governed by and construed in accordance with the laws of the State of New York applicable to contracts made and to be performed within the State of New York.</w:t>
      </w:r>
    </w:p>
    <w:p>
      <w:pPr>
        <w:spacing w:after="0" w:line="165" w:lineRule="exact"/>
        <w:rPr>
          <w:rFonts w:ascii="Times New Roman" w:cs="Times New Roman" w:eastAsia="Times New Roman" w:hAnsi="Times New Roman"/>
          <w:sz w:val="22"/>
          <w:szCs w:val="22"/>
          <w:color w:val="auto"/>
        </w:rPr>
      </w:pPr>
    </w:p>
    <w:p>
      <w:pPr>
        <w:jc w:val="both"/>
        <w:ind w:left="-40" w:right="400" w:firstLine="656"/>
        <w:spacing w:after="0" w:line="301" w:lineRule="auto"/>
        <w:tabs>
          <w:tab w:leader="none" w:pos="109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b w:val="1"/>
          <w:bCs w:val="1"/>
          <w:color w:val="auto"/>
        </w:rPr>
        <w:t xml:space="preserve"> EACH OF THE PARTIES HERETO HEREBY WAIVES ANY RIGHT TO TRIAL BY JURY IN ANY SUIT OR PROCEEDING ARISING OUT OF OR RELATING TO THIS AGREEMENT.</w:t>
      </w:r>
    </w:p>
    <w:p>
      <w:pPr>
        <w:spacing w:after="0" w:line="129" w:lineRule="exact"/>
        <w:rPr>
          <w:rFonts w:ascii="Times New Roman" w:cs="Times New Roman" w:eastAsia="Times New Roman" w:hAnsi="Times New Roman"/>
          <w:sz w:val="21"/>
          <w:szCs w:val="21"/>
          <w:color w:val="auto"/>
        </w:rPr>
      </w:pPr>
    </w:p>
    <w:p>
      <w:pPr>
        <w:ind w:left="-40" w:right="20" w:firstLine="656"/>
        <w:spacing w:after="0" w:line="251"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ind w:left="-40" w:right="80" w:firstLine="656"/>
        <w:spacing w:after="0" w:line="271" w:lineRule="auto"/>
        <w:tabs>
          <w:tab w:leader="none" w:pos="10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of this Agreement have been inserted for convenience of reference only and shall not be deemed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80"/>
          </w:cols>
          <w:pgMar w:left="360" w:top="1422" w:right="359" w:bottom="1440" w:gutter="0" w:footer="0" w:header="0"/>
        </w:sectPr>
      </w:pPr>
    </w:p>
    <w:bookmarkStart w:id="113" w:name="page114"/>
    <w:bookmarkEnd w:id="113"/>
    <w:p>
      <w:pPr>
        <w:ind w:left="1300" w:right="1520" w:hanging="644"/>
        <w:spacing w:after="0" w:line="448" w:lineRule="auto"/>
        <w:tabs>
          <w:tab w:leader="none" w:pos="11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when used in this Agreement, shall have the meanings indicated.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specified in Rule 501(b) of Regulation D.</w:t>
      </w:r>
    </w:p>
    <w:p>
      <w:pPr>
        <w:spacing w:after="0" w:line="1" w:lineRule="exact"/>
        <w:rPr>
          <w:sz w:val="20"/>
          <w:szCs w:val="20"/>
          <w:color w:val="auto"/>
        </w:rPr>
      </w:pPr>
    </w:p>
    <w:p>
      <w:pPr>
        <w:ind w:right="3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means the Class A common stock of the Company, par value $0.0001 per share, and any other class of securities into which such securities may hereafter be reclassified or changed.</w:t>
      </w:r>
    </w:p>
    <w:p>
      <w:pPr>
        <w:spacing w:after="0" w:line="144"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shall mean the date of commencement (as defined in Rule 13e-4 under the Exchange Act) of the Exchange Offer.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U.S. Securities and Exchange Commission.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time the Registration Statement is declared effective under the Securities Act.</w:t>
      </w:r>
    </w:p>
    <w:p>
      <w:pPr>
        <w:spacing w:after="0" w:line="233" w:lineRule="exact"/>
        <w:rPr>
          <w:sz w:val="20"/>
          <w:szCs w:val="20"/>
          <w:color w:val="auto"/>
        </w:rPr>
      </w:pPr>
    </w:p>
    <w:p>
      <w:pPr>
        <w:ind w:right="1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U.S. Securities Exchange Act of 1934, as amended, and the rules and regulations of the Commission promulgated thereunder.</w:t>
      </w:r>
    </w:p>
    <w:p>
      <w:pPr>
        <w:spacing w:after="0" w:line="158" w:lineRule="exact"/>
        <w:rPr>
          <w:sz w:val="20"/>
          <w:szCs w:val="20"/>
          <w:color w:val="auto"/>
        </w:rPr>
      </w:pPr>
    </w:p>
    <w:p>
      <w:pPr>
        <w:ind w:right="5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Date</w:t>
      </w:r>
      <w:r>
        <w:rPr>
          <w:rFonts w:ascii="Times New Roman" w:cs="Times New Roman" w:eastAsia="Times New Roman" w:hAnsi="Times New Roman"/>
          <w:sz w:val="22"/>
          <w:szCs w:val="22"/>
          <w:color w:val="auto"/>
        </w:rPr>
        <w:t>” shall mean the date on which the Company issues the Shares in exchange for the Warrants pursuant to the Exchange Offer.</w:t>
      </w:r>
    </w:p>
    <w:p>
      <w:pPr>
        <w:spacing w:after="0" w:line="158"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shall mean one minute after 11:59 p.m., Eastern Standard Time, on August 18, 2022, or such later time and date as may be extended by the Company in its sole discretion.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Agent</w:t>
      </w:r>
      <w:r>
        <w:rPr>
          <w:rFonts w:ascii="Times New Roman" w:cs="Times New Roman" w:eastAsia="Times New Roman" w:hAnsi="Times New Roman"/>
          <w:sz w:val="22"/>
          <w:szCs w:val="22"/>
          <w:color w:val="auto"/>
        </w:rPr>
        <w:t>” shall mean D.F. King &amp; Co, Inc.</w:t>
      </w:r>
    </w:p>
    <w:p>
      <w:pPr>
        <w:spacing w:after="0" w:line="220" w:lineRule="exact"/>
        <w:rPr>
          <w:sz w:val="20"/>
          <w:szCs w:val="20"/>
          <w:color w:val="auto"/>
        </w:rPr>
      </w:pPr>
    </w:p>
    <w:p>
      <w:pPr>
        <w:ind w:right="4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 lien, charge, pledge, security interest, encumbrance, right of first refusal, preemptive right or other restriction.</w:t>
      </w:r>
    </w:p>
    <w:p>
      <w:pPr>
        <w:spacing w:after="0" w:line="158"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(i) any material adverse effect on the legality, validity or enforceability of any Transaction Document or (ii) any material adverse change or effect, or any development involving a prospective material adverse change or effect, in or affecting (x) the business, properties, general affairs, management, financial position, stockholders' equity or results of operations of the Company and its subsidiaries, taken as a whole, or (y) the ability of the Company to perform in any material respect on a timely basis its obligations under any Transaction Document.</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Documents</w:t>
      </w:r>
      <w:r>
        <w:rPr>
          <w:rFonts w:ascii="Times New Roman" w:cs="Times New Roman" w:eastAsia="Times New Roman" w:hAnsi="Times New Roman"/>
          <w:sz w:val="22"/>
          <w:szCs w:val="22"/>
          <w:color w:val="auto"/>
        </w:rPr>
        <w:t>” shall mean the Pre-Effective Registration Statement, the Registration Statement, the Preliminary Prospectus, the Prospectus, the accompanying letter of transmittal and consent, the Schedule TO, the Rule 165 Material, the notice of guaranteed delivery, and all other documents filed or to be filed with any federal, state or local government or regulatory agency or authority in connection with the Exchange Offer or the Consent Solicitation, each as prepared or approved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422" w:right="359" w:bottom="1440" w:gutter="0" w:footer="0" w:header="0"/>
        </w:sectPr>
      </w:pPr>
    </w:p>
    <w:bookmarkStart w:id="114" w:name="page115"/>
    <w:bookmarkEnd w:id="114"/>
    <w:p>
      <w:pPr>
        <w:ind w:right="1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Pre-Effective Registration Statement</w:t>
      </w:r>
      <w:r>
        <w:rPr>
          <w:rFonts w:ascii="Times New Roman" w:cs="Times New Roman" w:eastAsia="Times New Roman" w:hAnsi="Times New Roman"/>
          <w:sz w:val="22"/>
          <w:szCs w:val="22"/>
          <w:color w:val="auto"/>
        </w:rPr>
        <w:t>” shall mean the registration statement, filed by the Company with the Commission registering the Exchange Offer under the Securities Act, including exhibits thereto and any documents incorporated by reference therein or deemed part of such registration statement pursuant to Rule 430C under the Securities Act, in the form in which it is initially filed with the Commission.</w:t>
      </w:r>
    </w:p>
    <w:p>
      <w:pPr>
        <w:spacing w:after="0" w:line="176" w:lineRule="exact"/>
        <w:rPr>
          <w:sz w:val="20"/>
          <w:szCs w:val="20"/>
          <w:color w:val="auto"/>
        </w:rPr>
      </w:pPr>
    </w:p>
    <w:p>
      <w:pPr>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Preliminary Prospectus</w:t>
      </w:r>
      <w:r>
        <w:rPr>
          <w:rFonts w:ascii="Times New Roman" w:cs="Times New Roman" w:eastAsia="Times New Roman" w:hAnsi="Times New Roman"/>
          <w:sz w:val="21"/>
          <w:szCs w:val="21"/>
          <w:color w:val="auto"/>
        </w:rPr>
        <w:t>” shall mean the preliminary prospectus that is used prior to the filing of the Prospectus, as amended or supplemented from time to time, including any documents incorporated in the Preliminary Prospectus by reference.</w:t>
      </w:r>
    </w:p>
    <w:p>
      <w:pPr>
        <w:spacing w:after="0" w:line="135" w:lineRule="exact"/>
        <w:rPr>
          <w:sz w:val="20"/>
          <w:szCs w:val="20"/>
          <w:color w:val="auto"/>
        </w:rPr>
      </w:pPr>
    </w:p>
    <w:p>
      <w:pPr>
        <w:ind w:right="1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Placement Warrants</w:t>
      </w:r>
      <w:r>
        <w:rPr>
          <w:rFonts w:ascii="Times New Roman" w:cs="Times New Roman" w:eastAsia="Times New Roman" w:hAnsi="Times New Roman"/>
          <w:sz w:val="22"/>
          <w:szCs w:val="22"/>
          <w:color w:val="auto"/>
        </w:rPr>
        <w:t>” shall refer to the Warrants initially sold as part of the units in a private placement that occurred simultaneously with FinTech Acquisition Corp. IV’s (“</w:t>
      </w:r>
      <w:r>
        <w:rPr>
          <w:rFonts w:ascii="Times New Roman" w:cs="Times New Roman" w:eastAsia="Times New Roman" w:hAnsi="Times New Roman"/>
          <w:sz w:val="22"/>
          <w:szCs w:val="22"/>
          <w:u w:val="single" w:color="auto"/>
          <w:color w:val="auto"/>
        </w:rPr>
        <w:t>FTIV</w:t>
      </w:r>
      <w:r>
        <w:rPr>
          <w:rFonts w:ascii="Times New Roman" w:cs="Times New Roman" w:eastAsia="Times New Roman" w:hAnsi="Times New Roman"/>
          <w:sz w:val="22"/>
          <w:szCs w:val="22"/>
          <w:color w:val="auto"/>
        </w:rPr>
        <w:t>”) initial public offering that closed on September 29, 2020 (the “</w:t>
      </w:r>
      <w:r>
        <w:rPr>
          <w:rFonts w:ascii="Times New Roman" w:cs="Times New Roman" w:eastAsia="Times New Roman" w:hAnsi="Times New Roman"/>
          <w:sz w:val="22"/>
          <w:szCs w:val="22"/>
          <w:u w:val="single" w:color="auto"/>
          <w:color w:val="auto"/>
        </w:rPr>
        <w:t>IPO</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right="1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 action, claim, suit, investigation or proceeding (including, without limitation, an informal investigation or partial proceeding, such as a deposition), whether commenced or threatened.</w:t>
      </w:r>
    </w:p>
    <w:p>
      <w:pPr>
        <w:spacing w:after="0" w:line="158" w:lineRule="exact"/>
        <w:rPr>
          <w:sz w:val="20"/>
          <w:szCs w:val="20"/>
          <w:color w:val="auto"/>
        </w:rPr>
      </w:pPr>
    </w:p>
    <w:p>
      <w:pPr>
        <w:ind w:right="12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Prospectus</w:t>
      </w:r>
      <w:r>
        <w:rPr>
          <w:rFonts w:ascii="Times New Roman" w:cs="Times New Roman" w:eastAsia="Times New Roman" w:hAnsi="Times New Roman"/>
          <w:sz w:val="21"/>
          <w:szCs w:val="21"/>
          <w:color w:val="auto"/>
        </w:rPr>
        <w:t>” shall mean the final prospectus included in the Registration Statement (including any documents incorporated in the Prospectus by reference), except that if the final prospectus furnished to the Dealer Manager for use in connection with the Exchange Offer differs from the prospectus set forth in the Registration Statement (whether or not such prospectus is required to be filed pursuant to Rule 424(b) under the Securities Act), the term “</w:t>
      </w:r>
      <w:r>
        <w:rPr>
          <w:rFonts w:ascii="Times New Roman" w:cs="Times New Roman" w:eastAsia="Times New Roman" w:hAnsi="Times New Roman"/>
          <w:sz w:val="21"/>
          <w:szCs w:val="21"/>
          <w:u w:val="single" w:color="auto"/>
          <w:color w:val="auto"/>
        </w:rPr>
        <w:t>Prospectus</w:t>
      </w:r>
      <w:r>
        <w:rPr>
          <w:rFonts w:ascii="Times New Roman" w:cs="Times New Roman" w:eastAsia="Times New Roman" w:hAnsi="Times New Roman"/>
          <w:sz w:val="21"/>
          <w:szCs w:val="21"/>
          <w:color w:val="auto"/>
        </w:rPr>
        <w:t>” shall refer to the final prospectus furnished to the Dealer Manager for such use (including any documents incorporated in the Prospectus by reference).</w:t>
      </w:r>
    </w:p>
    <w:p>
      <w:pPr>
        <w:spacing w:after="0" w:line="164" w:lineRule="exact"/>
        <w:rPr>
          <w:sz w:val="20"/>
          <w:szCs w:val="20"/>
          <w:color w:val="auto"/>
        </w:rPr>
      </w:pPr>
    </w:p>
    <w:p>
      <w:pPr>
        <w:ind w:right="2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Warrants</w:t>
      </w:r>
      <w:r>
        <w:rPr>
          <w:rFonts w:ascii="Times New Roman" w:cs="Times New Roman" w:eastAsia="Times New Roman" w:hAnsi="Times New Roman"/>
          <w:sz w:val="22"/>
          <w:szCs w:val="22"/>
          <w:color w:val="auto"/>
        </w:rPr>
        <w:t>” shall refer to the redeemable Warrants underlying the units that were initially offered and sold by FTIV in its IPO.</w:t>
      </w:r>
    </w:p>
    <w:p>
      <w:pPr>
        <w:spacing w:after="0" w:line="158"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shall mean the registration statement filed by the Company with the Commission registering the Exchange Offer under the Securities Act, including exhibits thereto and any documents incorporated by reference therein or deemed part of such registration statement pursuant to Rule 430C under the Securities Act, in the form in which it becomes effective and, in the event of any amendment or supplement thereto or the filing of any abbreviated registration statement pursuant to Rule 462(b) under the Securities Act relating thereto after the effective date of such registration statement, shall also mean such registration statement as so amended or supplemented, together with any such abbreviated registration statement.</w:t>
      </w:r>
    </w:p>
    <w:p>
      <w:pPr>
        <w:spacing w:after="0" w:line="44" w:lineRule="exact"/>
        <w:rPr>
          <w:sz w:val="20"/>
          <w:szCs w:val="20"/>
          <w:color w:val="auto"/>
        </w:rPr>
      </w:pPr>
    </w:p>
    <w:p>
      <w:pPr>
        <w:jc w:val="both"/>
        <w:ind w:right="1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165 Material</w:t>
      </w:r>
      <w:r>
        <w:rPr>
          <w:rFonts w:ascii="Times New Roman" w:cs="Times New Roman" w:eastAsia="Times New Roman" w:hAnsi="Times New Roman"/>
          <w:sz w:val="22"/>
          <w:szCs w:val="22"/>
          <w:color w:val="auto"/>
        </w:rPr>
        <w:t>” shall mean any written communication made in connection with or relating to the Exchange Offer in reliance on Rule 165 of the Securities Act, and filed by the Company with the Commission pursuant to Rule 425 under the Securities Act.</w:t>
      </w:r>
    </w:p>
    <w:p>
      <w:pPr>
        <w:spacing w:after="0" w:line="46" w:lineRule="exact"/>
        <w:rPr>
          <w:sz w:val="20"/>
          <w:szCs w:val="20"/>
          <w:color w:val="auto"/>
        </w:rPr>
      </w:pPr>
    </w:p>
    <w:p>
      <w:pPr>
        <w:ind w:right="2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TO</w:t>
      </w:r>
      <w:r>
        <w:rPr>
          <w:rFonts w:ascii="Times New Roman" w:cs="Times New Roman" w:eastAsia="Times New Roman" w:hAnsi="Times New Roman"/>
          <w:sz w:val="22"/>
          <w:szCs w:val="22"/>
          <w:color w:val="auto"/>
        </w:rPr>
        <w:t>” shall mean the tender offer statement filed with the Commission on Schedule TO, including any documents incorporated by reference therein, with respect to the Exchange Offer, including any amendment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115" w:name="page116"/>
    <w:bookmarkEnd w:id="115"/>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U.S. Securities Act of 1933, as amended, and the rules and regulations of the Commission promulgated thereunder.</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and any other documents or agreements executed in connection with the transactions contemplated hereunder.</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shall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60"/>
          </w:cols>
          <w:pgMar w:left="320" w:top="1422" w:right="519" w:bottom="1440" w:gutter="0" w:footer="0" w:header="0"/>
        </w:sectPr>
      </w:pPr>
    </w:p>
    <w:bookmarkStart w:id="116" w:name="page117"/>
    <w:bookmarkEnd w:id="116"/>
    <w:p>
      <w:pPr>
        <w:ind w:firstLine="1296"/>
        <w:spacing w:after="0" w:line="257"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please sign and return to us the enclosed duplicate hereof, whereupon this Agreement and your acceptance shall represent a binding agreement between the Company and the Dealer Manager.</w:t>
      </w:r>
    </w:p>
    <w:p>
      <w:pPr>
        <w:spacing w:after="0" w:line="2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0" w:lineRule="exact"/>
        <w:rPr>
          <w:sz w:val="20"/>
          <w:szCs w:val="20"/>
          <w:color w:val="auto"/>
        </w:rPr>
      </w:pPr>
    </w:p>
    <w:p>
      <w:pPr>
        <w:spacing w:after="0" w:line="3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-158750</wp:posOffset>
            </wp:positionV>
            <wp:extent cx="2871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foregoing Agreement is hereby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confirmed and accepted as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-160020</wp:posOffset>
            </wp:positionV>
            <wp:extent cx="2871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700"/>
          </w:cols>
          <w:pgMar w:left="320" w:top="1422" w:right="8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Dealer Manager Fee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Fee paid to Citigroup Global Markets Inc., as Dealer Manager, shall be equal to $350,000.</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All payments due under the Agreement to which this schedule relates are to be made in U.S. Dollars, free and clear of, and without deduction for, any set-off, claim or applicable taxes except as otherwise required by applicable law. The Dealer Manager shall provide the Company a duly executed Internal Revenue Source W-9 prior to the date of the Agreement. For this purpose,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forms of taxation, duties (including stamp duty), levies, imposts, charges and withholdings (including any related or incidental penalty, fine, interest or surcharge), in each case in the nature of a tax and imposed by a taxing authority, and whether required by the law or regulations of the United States or elsewhere.</w:t>
      </w:r>
    </w:p>
    <w:p>
      <w:pPr>
        <w:spacing w:after="0" w:line="181"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herein shall have the meanings ascribed to them by the Agreement of which this schedule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1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TENDER AND SUPPORT AGREEMENT</w:t>
      </w:r>
    </w:p>
    <w:p>
      <w:pPr>
        <w:spacing w:after="0" w:line="220"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TENDER AND SUPPORT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as of </w:t>
      </w:r>
      <w:r>
        <w:rPr>
          <w:rFonts w:ascii="Times New Roman" w:cs="Times New Roman" w:eastAsia="Times New Roman" w:hAnsi="Times New Roman"/>
          <w:sz w:val="19"/>
          <w:szCs w:val="19"/>
          <w:color w:val="auto"/>
        </w:rPr>
        <w:t>July 21, 2022</w:t>
      </w:r>
      <w:r>
        <w:rPr>
          <w:rFonts w:ascii="Times New Roman" w:cs="Times New Roman" w:eastAsia="Times New Roman" w:hAnsi="Times New Roman"/>
          <w:sz w:val="22"/>
          <w:szCs w:val="22"/>
          <w:color w:val="auto"/>
        </w:rPr>
        <w:t>, by and among Perella Weinberg Partners,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each of the persons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(collectively, the “</w:t>
      </w:r>
      <w:r>
        <w:rPr>
          <w:rFonts w:ascii="Times New Roman" w:cs="Times New Roman" w:eastAsia="Times New Roman" w:hAnsi="Times New Roman"/>
          <w:sz w:val="22"/>
          <w:szCs w:val="22"/>
          <w:b w:val="1"/>
          <w:bCs w:val="1"/>
          <w:color w:val="auto"/>
        </w:rPr>
        <w:t>Warrant Holders,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Warrant Holder</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of the date hereof, each Warrant Holder is: (i) the beneficial owner of warrants sold as part of the units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initial public offering (the “</w:t>
      </w:r>
      <w:r>
        <w:rPr>
          <w:rFonts w:ascii="Times New Roman" w:cs="Times New Roman" w:eastAsia="Times New Roman" w:hAnsi="Times New Roman"/>
          <w:sz w:val="22"/>
          <w:szCs w:val="22"/>
          <w:b w:val="1"/>
          <w:bCs w:val="1"/>
          <w:color w:val="auto"/>
        </w:rPr>
        <w:t>IPO</w:t>
      </w:r>
      <w:r>
        <w:rPr>
          <w:rFonts w:ascii="Times New Roman" w:cs="Times New Roman" w:eastAsia="Times New Roman" w:hAnsi="Times New Roman"/>
          <w:sz w:val="22"/>
          <w:szCs w:val="22"/>
          <w:color w:val="auto"/>
        </w:rPr>
        <w:t>”) (whether they were purchased in the IPO or thereafter in the open market) of FinTech Acquisition Corp. IV (“</w:t>
      </w:r>
      <w:r>
        <w:rPr>
          <w:rFonts w:ascii="Times New Roman" w:cs="Times New Roman" w:eastAsia="Times New Roman" w:hAnsi="Times New Roman"/>
          <w:sz w:val="22"/>
          <w:szCs w:val="22"/>
          <w:b w:val="1"/>
          <w:bCs w:val="1"/>
          <w:color w:val="auto"/>
        </w:rPr>
        <w:t>FTIV</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Public Warrants</w:t>
      </w:r>
      <w:r>
        <w:rPr>
          <w:rFonts w:ascii="Times New Roman" w:cs="Times New Roman" w:eastAsia="Times New Roman" w:hAnsi="Times New Roman"/>
          <w:sz w:val="22"/>
          <w:szCs w:val="22"/>
          <w:color w:val="auto"/>
        </w:rPr>
        <w:t>”), or (ii) the beneficial owner of warrants sold by FTIV as part of private units in a private placement in connection with its IPO (whether they were purchased or received directly from FTIV in connection with the consummation of its IPO or thereafter from FTIV’s sponsor) (the “</w:t>
      </w:r>
      <w:r>
        <w:rPr>
          <w:rFonts w:ascii="Times New Roman" w:cs="Times New Roman" w:eastAsia="Times New Roman" w:hAnsi="Times New Roman"/>
          <w:sz w:val="22"/>
          <w:szCs w:val="22"/>
          <w:b w:val="1"/>
          <w:bCs w:val="1"/>
          <w:color w:val="auto"/>
        </w:rPr>
        <w:t>Private Placement Warrants</w:t>
      </w:r>
      <w:r>
        <w:rPr>
          <w:rFonts w:ascii="Times New Roman" w:cs="Times New Roman" w:eastAsia="Times New Roman" w:hAnsi="Times New Roman"/>
          <w:sz w:val="22"/>
          <w:szCs w:val="22"/>
          <w:color w:val="auto"/>
        </w:rPr>
        <w:t>”, and together with the Public Warrants, the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of the date hereof, there are a total of 7,869,975 Warrants outstanding (consisting of 7,666,642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and 203,333 Private Placement Warrants);</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June 24, 2021, the Company completed its business combination with FTIV, and in connection therewith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was renamed “Perella Weinberg Partners”;</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whole Warrant entitles its holder to purchase one share of Class A common stock, $0.0001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(the “</w:t>
      </w:r>
      <w:r>
        <w:rPr>
          <w:rFonts w:ascii="Times New Roman" w:cs="Times New Roman" w:eastAsia="Times New Roman" w:hAnsi="Times New Roman"/>
          <w:sz w:val="22"/>
          <w:szCs w:val="22"/>
          <w:b w:val="1"/>
          <w:bCs w:val="1"/>
          <w:color w:val="auto"/>
        </w:rPr>
        <w:t>Class A Common Stock</w:t>
      </w:r>
      <w:r>
        <w:rPr>
          <w:rFonts w:ascii="Times New Roman" w:cs="Times New Roman" w:eastAsia="Times New Roman" w:hAnsi="Times New Roman"/>
          <w:sz w:val="22"/>
          <w:szCs w:val="22"/>
          <w:color w:val="auto"/>
        </w:rPr>
        <w:t>”), of the Company, for a purchase price of $11.50, subject to certain adjustments;</w:t>
      </w:r>
    </w:p>
    <w:p>
      <w:pPr>
        <w:spacing w:after="0" w:line="16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is initiating an exchange offer (the “</w:t>
      </w:r>
      <w:r>
        <w:rPr>
          <w:rFonts w:ascii="Times New Roman" w:cs="Times New Roman" w:eastAsia="Times New Roman" w:hAnsi="Times New Roman"/>
          <w:sz w:val="22"/>
          <w:szCs w:val="22"/>
          <w:b w:val="1"/>
          <w:bCs w:val="1"/>
          <w:color w:val="auto"/>
        </w:rPr>
        <w:t>Exchange Offer</w:t>
      </w:r>
      <w:r>
        <w:rPr>
          <w:rFonts w:ascii="Times New Roman" w:cs="Times New Roman" w:eastAsia="Times New Roman" w:hAnsi="Times New Roman"/>
          <w:sz w:val="22"/>
          <w:szCs w:val="22"/>
          <w:color w:val="auto"/>
        </w:rPr>
        <w:t>”) pursuant to a registration statement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S-4 to be filed with the Securities and Exchange Commission (as may be amended and supplemented,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to offer all Warrant holders the opportunity to exchange their Warrants for shares of Class A Common Stock,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an exchange ratio of 0.20 shares of Class A Common Stock per Warrant and subject to other terms and conditions to be disclosed in the Registration Statement;</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concurrent with the Exchange Offer and as part of the Registration Statement, the Company is initiating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solicitation (the “</w:t>
      </w:r>
      <w:r>
        <w:rPr>
          <w:rFonts w:ascii="Times New Roman" w:cs="Times New Roman" w:eastAsia="Times New Roman" w:hAnsi="Times New Roman"/>
          <w:sz w:val="22"/>
          <w:szCs w:val="22"/>
          <w:b w:val="1"/>
          <w:bCs w:val="1"/>
          <w:color w:val="auto"/>
        </w:rPr>
        <w:t>Solicitation</w:t>
      </w:r>
      <w:r>
        <w:rPr>
          <w:rFonts w:ascii="Times New Roman" w:cs="Times New Roman" w:eastAsia="Times New Roman" w:hAnsi="Times New Roman"/>
          <w:sz w:val="22"/>
          <w:szCs w:val="22"/>
          <w:color w:val="auto"/>
        </w:rPr>
        <w:t>”) to solicit the consent of the holders of the Public Warrants to amend, effective upon the completion of the Exchange Offer, the terms of the Warrant Agreement (the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dated September 24, 2020, by and between the Company and Continental Stock Transfer &amp; Trust Company, as amended by Amendment No. 1 to the Warrant Agreement, dated as of November 10, 2021, by and among the Company, Continental Stock Transfer &amp; Trust Company and American Stock Transfer &amp; Trust Company, LLC, as warrant agent, which governs all of the Warrants, to permit the Company to require that each Warrant (including each Private Placement Warrant) that is outstanding upon the closing of the Exchange Offer be converted into 0.18 shares of Class A Common Stock, which is a ratio of 10% less than the exchange ratio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to the Exchange Offer (the “</w:t>
      </w:r>
      <w:r>
        <w:rPr>
          <w:rFonts w:ascii="Times New Roman" w:cs="Times New Roman" w:eastAsia="Times New Roman" w:hAnsi="Times New Roman"/>
          <w:sz w:val="22"/>
          <w:szCs w:val="22"/>
          <w:b w:val="1"/>
          <w:bCs w:val="1"/>
          <w:color w:val="auto"/>
        </w:rPr>
        <w:t>Warrant Amendment</w:t>
      </w:r>
      <w:r>
        <w:rPr>
          <w:rFonts w:ascii="Times New Roman" w:cs="Times New Roman" w:eastAsia="Times New Roman" w:hAnsi="Times New Roman"/>
          <w:sz w:val="22"/>
          <w:szCs w:val="22"/>
          <w:color w:val="auto"/>
        </w:rPr>
        <w:t>”), as more fully described in the Registration Statement; and</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an inducement to the Company’s willingness to initiate the Exchange Offer and the Solicitation,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Holder has agreed to enter into this Agreement.</w:t>
      </w:r>
    </w:p>
    <w:p>
      <w:pPr>
        <w:spacing w:after="0" w:line="16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respective representations, warranties,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set forth herein and for other good and valuable consideration, the receipt and sufficiency of which are hereby acknowledged, the parties hereto, intending to be legally bound, do hereby agree as follows:</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Agreement to Tender</w:t>
      </w:r>
      <w:r>
        <w:rPr>
          <w:rFonts w:ascii="Times New Roman" w:cs="Times New Roman" w:eastAsia="Times New Roman" w:hAnsi="Times New Roman"/>
          <w:sz w:val="22"/>
          <w:szCs w:val="22"/>
          <w:color w:val="auto"/>
        </w:rPr>
        <w:t xml:space="preserve">. Each Warrant Holder shall validly tender or cause to be tendered to the Company and not withdraw or cause to be withdrawn all Warrants set forth opposite such Warrant Holder’s name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free and clear of all liens (except those liens or restrictions identified in Paragraph 1.03), pursuant to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terms of the Exchange Offer as described in the Registration Statement no later than the scheduled or extended expiration time of the Exchange Offer at a ratio of 0.20 shares of Class A Common Stock per Warrant. For the avoidance of doubt, nothing in this Agreement shall restrict the Warrant Holder from acquiring additional Warrants subsequent to the date hereof and such additional Warrants shall not be subject to the terms of this Agreement.</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Agreement to Consent</w:t>
      </w:r>
      <w:r>
        <w:rPr>
          <w:rFonts w:ascii="Times New Roman" w:cs="Times New Roman" w:eastAsia="Times New Roman" w:hAnsi="Times New Roman"/>
          <w:sz w:val="22"/>
          <w:szCs w:val="22"/>
          <w:color w:val="auto"/>
        </w:rPr>
        <w:t xml:space="preserve">. Each Warrant Holder shall deliver to the Company its timely consent with respect to the Solicitation with respect to all of such Warrant Holder’s Subject Warrants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that are Public Warrants in accordance with the terms and conditions of the Solicitation as described in the Registration Statement.</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Ownership of Warrants</w:t>
      </w:r>
      <w:r>
        <w:rPr>
          <w:rFonts w:ascii="Times New Roman" w:cs="Times New Roman" w:eastAsia="Times New Roman" w:hAnsi="Times New Roman"/>
          <w:sz w:val="21"/>
          <w:szCs w:val="21"/>
          <w:color w:val="auto"/>
        </w:rPr>
        <w:t xml:space="preserve">. Each Warrant Holder represents and warrants to the Company, as of the date hereof and as of the date of tender of such Warrant Holder’s Subject Warrants in accordance with this Agreement, that such Warrant Holder is the sole beneficial owner of the number of Warrants set forth opposite such Warrant Holder’s name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and has good and marketable title to such Warrants free and clear of any liens, options, rights, or any other encumbrances, limitations or restrictions whatsoever (other than liens imposed under typical prime brokerage agreements and those restrictions imposed by applicable securities laws, this Agreement and the Warrant Agreement). Each Warrant Holder shall not transfer any Subject Warrants to any person (other than the Company in connection with the Exchange Offer) unless such person acquiring such Warrants signs a joinder to this Agreement agreeing to be bound by all terms and conditions of this Agreement.</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Company Covenants</w:t>
      </w:r>
      <w:r>
        <w:rPr>
          <w:rFonts w:ascii="Times New Roman" w:cs="Times New Roman" w:eastAsia="Times New Roman" w:hAnsi="Times New Roman"/>
          <w:sz w:val="22"/>
          <w:szCs w:val="22"/>
          <w:color w:val="auto"/>
        </w:rPr>
        <w:t>. The Company agrees that it shall take all steps reasonably necessary or desirable to commence the Exchange Offer and Solicitation as soon as practicable consistent with this Agreement, and agrees to take all steps necessary to update the Registration Statement as required by applicable laws and regulation, and that the Registration Statement, when declared effective, will comply in all material respects with all applicable Securities and Exchange Commission requirements. The terms of the Exchange Offer and Solicitation shall provide that the Exchange Offer and Solicitation may not be withdrawn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2"/>
          <w:szCs w:val="22"/>
          <w:color w:val="auto"/>
        </w:rPr>
        <w:t>Company unless the conditions to the Exchange Offer and Solicitation are not satisfied or waived prior to the expiration date (as may be extended) of the Exchange Offer and Solicitation.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parties hereto agree that irreparable damage would occur if any provision of this Agreement were not performed in accordance with the terms hereof and that the parties shall be entitled to seek an injunction or injunctions to prevent breaches of this Agreement or to enforce specifically the performance of the terms and provisions hereof, in addition to any other remedy to which they are entitled at law or in equity.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shall terminate as to all Warrant Holders (a) upon written notice to all the Warrant Holders by the Company, or upon the earlier of (i) the date the Company’s board of directors or a committee thereof determines to no longer pursue the Exchange Offer and the Solicitation, and (ii) September 21, 2022; or (b) if the Company fails to commence the Exchange Offer and Solicitation by July 29, 2022.</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Warrant Holder Obligations Several and Not Joint</w:t>
      </w:r>
      <w:r>
        <w:rPr>
          <w:rFonts w:ascii="Times New Roman" w:cs="Times New Roman" w:eastAsia="Times New Roman" w:hAnsi="Times New Roman"/>
          <w:sz w:val="22"/>
          <w:szCs w:val="22"/>
          <w:color w:val="auto"/>
        </w:rPr>
        <w:t>. The obligations of each Warrant Holder hereunder shall be several and not joint, and no Warrant Holder shall be liable for any breach of the terms of this Agreement by any other Warrant Holder.</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1.09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signed in counterparts (which may include counterparts delivered by any standard form of telecommunication), each of which shall be an original and all of which together shall constitute one and the same instrument. The words “execution,” “signed,” “signature,” and words of like import in this Agreement or in any other certificate, agreement or document related to this Agreement,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21" w:name="page122"/>
    <w:bookmarkEnd w:id="121"/>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date first above written.</w:t>
      </w:r>
    </w:p>
    <w:p>
      <w:pPr>
        <w:spacing w:after="0" w:line="18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9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7" w:lineRule="exact"/>
        <w:rPr>
          <w:sz w:val="20"/>
          <w:szCs w:val="20"/>
          <w:color w:val="auto"/>
        </w:rPr>
      </w:pPr>
    </w:p>
    <w:tbl>
      <w:tblPr>
        <w:tblLayout w:type="fixed"/>
        <w:tblInd w:w="5280" w:type="dxa"/>
        <w:tblCellMar>
          <w:top w:w="0" w:type="dxa"/>
          <w:left w:w="0" w:type="dxa"/>
          <w:bottom w:w="0" w:type="dxa"/>
          <w:right w:w="0" w:type="dxa"/>
        </w:tblCellMar>
      </w:tblP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Gary Barancik</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Gary Barancik</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PWP Tender and Support Agreement]</w:t>
      </w:r>
    </w:p>
    <w:p>
      <w:pPr>
        <w:sectPr>
          <w:pgSz w:w="11900" w:h="16838" w:orient="portrait"/>
          <w:cols w:equalWidth="0" w:num="1">
            <w:col w:w="11240"/>
          </w:cols>
          <w:pgMar w:left="320" w:top="1422" w:right="339" w:bottom="1440" w:gutter="0" w:footer="0" w:header="0"/>
        </w:sectPr>
      </w:pPr>
    </w:p>
    <w:bookmarkStart w:id="122" w:name="page123"/>
    <w:bookmarkEnd w:id="122"/>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date first above written.</w:t>
      </w:r>
    </w:p>
    <w:p>
      <w:pPr>
        <w:spacing w:after="0" w:line="1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91" w:lineRule="exact"/>
        <w:rPr>
          <w:sz w:val="20"/>
          <w:szCs w:val="20"/>
          <w:color w:val="auto"/>
        </w:rPr>
      </w:pPr>
    </w:p>
    <w:tbl>
      <w:tblPr>
        <w:tblLayout w:type="fixed"/>
        <w:tblInd w:w="5280" w:type="dxa"/>
        <w:tblCellMar>
          <w:top w:w="0" w:type="dxa"/>
          <w:left w:w="0" w:type="dxa"/>
          <w:bottom w:w="0" w:type="dxa"/>
          <w:right w:w="0" w:type="dxa"/>
        </w:tblCellMar>
      </w:tblP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ARISTEIA CAPITAL, L.L.C.</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William R. Techar</w:t>
            </w:r>
          </w:p>
        </w:tc>
        <w:tc>
          <w:tcPr>
            <w:tcW w:w="0" w:type="dxa"/>
            <w:vAlign w:val="bottom"/>
          </w:tcPr>
          <w:p>
            <w:pPr>
              <w:spacing w:after="0"/>
              <w:rPr>
                <w:sz w:val="1"/>
                <w:szCs w:val="1"/>
                <w:color w:val="auto"/>
              </w:rPr>
            </w:pPr>
          </w:p>
        </w:tc>
      </w:tr>
      <w:tr>
        <w:trPr>
          <w:trHeight w:val="251"/>
        </w:trPr>
        <w:tc>
          <w:tcPr>
            <w:tcW w:w="9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William R. Techar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Co-Chief Investment Officer</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Managing Partner</w:t>
            </w:r>
          </w:p>
        </w:tc>
        <w:tc>
          <w:tcPr>
            <w:tcW w:w="0" w:type="dxa"/>
            <w:vAlign w:val="bottom"/>
          </w:tcPr>
          <w:p>
            <w:pPr>
              <w:spacing w:after="0"/>
              <w:rPr>
                <w:sz w:val="1"/>
                <w:szCs w:val="1"/>
                <w:color w:val="auto"/>
              </w:rPr>
            </w:pPr>
          </w:p>
        </w:tc>
      </w:tr>
      <w:tr>
        <w:trPr>
          <w:trHeight w:val="270"/>
        </w:trPr>
        <w:tc>
          <w:tcPr>
            <w:tcW w:w="920" w:type="dxa"/>
            <w:vAlign w:val="bottom"/>
            <w:vMerge w:val="continue"/>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Aristeia Capital, L.L.C.</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Andrew B. David</w:t>
            </w:r>
          </w:p>
        </w:tc>
        <w:tc>
          <w:tcPr>
            <w:tcW w:w="0" w:type="dxa"/>
            <w:vAlign w:val="bottom"/>
          </w:tcPr>
          <w:p>
            <w:pPr>
              <w:spacing w:after="0"/>
              <w:rPr>
                <w:sz w:val="1"/>
                <w:szCs w:val="1"/>
                <w:color w:val="auto"/>
              </w:rPr>
            </w:pPr>
          </w:p>
        </w:tc>
      </w:tr>
      <w:tr>
        <w:trPr>
          <w:trHeight w:val="251"/>
        </w:trPr>
        <w:tc>
          <w:tcPr>
            <w:tcW w:w="9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Andrew B. David</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Chief Operating Officer</w:t>
            </w:r>
          </w:p>
        </w:tc>
        <w:tc>
          <w:tcPr>
            <w:tcW w:w="0" w:type="dxa"/>
            <w:vAlign w:val="bottom"/>
          </w:tcPr>
          <w:p>
            <w:pPr>
              <w:spacing w:after="0"/>
              <w:rPr>
                <w:sz w:val="1"/>
                <w:szCs w:val="1"/>
                <w:color w:val="auto"/>
              </w:rPr>
            </w:pPr>
          </w:p>
        </w:tc>
      </w:tr>
      <w:tr>
        <w:trPr>
          <w:trHeight w:val="282"/>
        </w:trPr>
        <w:tc>
          <w:tcPr>
            <w:tcW w:w="920" w:type="dxa"/>
            <w:vAlign w:val="bottom"/>
            <w:vMerge w:val="continue"/>
          </w:tcPr>
          <w:p>
            <w:pPr>
              <w:spacing w:after="0"/>
              <w:rPr>
                <w:sz w:val="24"/>
                <w:szCs w:val="24"/>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Aristeia Capital, L.L.C.</w:t>
            </w:r>
          </w:p>
        </w:tc>
        <w:tc>
          <w:tcPr>
            <w:tcW w:w="0" w:type="dxa"/>
            <w:vAlign w:val="bottom"/>
          </w:tcPr>
          <w:p>
            <w:pPr>
              <w:spacing w:after="0"/>
              <w:rPr>
                <w:sz w:val="1"/>
                <w:szCs w:val="1"/>
                <w:color w:val="auto"/>
              </w:rPr>
            </w:pPr>
          </w:p>
        </w:tc>
      </w:tr>
      <w:tr>
        <w:trPr>
          <w:trHeight w:val="391"/>
        </w:trPr>
        <w:tc>
          <w:tcPr>
            <w:tcW w:w="5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HOLDER:</w:t>
            </w:r>
          </w:p>
        </w:tc>
        <w:tc>
          <w:tcPr>
            <w:tcW w:w="0" w:type="dxa"/>
            <w:vAlign w:val="bottom"/>
          </w:tcPr>
          <w:p>
            <w:pPr>
              <w:spacing w:after="0"/>
              <w:rPr>
                <w:sz w:val="1"/>
                <w:szCs w:val="1"/>
                <w:color w:val="auto"/>
              </w:rPr>
            </w:pPr>
          </w:p>
        </w:tc>
      </w:tr>
      <w:tr>
        <w:trPr>
          <w:trHeight w:val="528"/>
        </w:trPr>
        <w:tc>
          <w:tcPr>
            <w:tcW w:w="92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DIFESA MASTER FUND, LP</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/s/Andrew Cohen</w:t>
            </w:r>
          </w:p>
        </w:tc>
        <w:tc>
          <w:tcPr>
            <w:tcW w:w="0" w:type="dxa"/>
            <w:vAlign w:val="bottom"/>
          </w:tcPr>
          <w:p>
            <w:pPr>
              <w:spacing w:after="0"/>
              <w:rPr>
                <w:sz w:val="1"/>
                <w:szCs w:val="1"/>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Andrew Cohen</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CIO</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54" w:lineRule="exact"/>
        <w:rPr>
          <w:sz w:val="20"/>
          <w:szCs w:val="20"/>
          <w:color w:val="auto"/>
        </w:rPr>
      </w:pPr>
    </w:p>
    <w:tbl>
      <w:tblPr>
        <w:tblLayout w:type="fixed"/>
        <w:tblInd w:w="52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INTEGRATED CORE STRATEGIES (US) LLC</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w w:val="99"/>
              </w:rPr>
              <w:t>By: Integrated Holding Group LP, its Managing Member</w:t>
            </w:r>
          </w:p>
        </w:tc>
      </w:t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 Millennium Management LLC, its General Partner</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Mark Meskin</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Mark Meskin</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Trading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PWP Tender and Support Agreement]</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54" w:lineRule="exact"/>
        <w:rPr>
          <w:sz w:val="20"/>
          <w:szCs w:val="20"/>
          <w:color w:val="auto"/>
        </w:rPr>
      </w:pPr>
    </w:p>
    <w:tbl>
      <w:tblPr>
        <w:tblLayout w:type="fixed"/>
        <w:tblInd w:w="416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ICS OPPORTUNITIES, LTD</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By: Millennium International Management LP, its</w:t>
            </w:r>
          </w:p>
        </w:tc>
      </w:t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Investment Manager</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Mark Meskin</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Mark Meskin</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Trading Officer</w:t>
            </w:r>
          </w:p>
        </w:tc>
      </w:tr>
    </w:tbl>
    <w:p>
      <w:pPr>
        <w:spacing w:after="0" w:line="10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54" w:lineRule="exact"/>
        <w:rPr>
          <w:sz w:val="20"/>
          <w:szCs w:val="20"/>
          <w:color w:val="auto"/>
        </w:rPr>
      </w:pPr>
    </w:p>
    <w:tbl>
      <w:tblPr>
        <w:tblLayout w:type="fixed"/>
        <w:tblInd w:w="416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NANTAHALA CAPITAL PARTNERS II LIMITED</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PARTNERSHIP</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By: Nantahala Capital Management, LLC, its General</w:t>
            </w:r>
          </w:p>
        </w:tc>
      </w:t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Wilmot Harkey</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Wilmot Harkey</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Manager</w:t>
            </w:r>
          </w:p>
        </w:tc>
      </w:tr>
    </w:tbl>
    <w:p>
      <w:pPr>
        <w:spacing w:after="0" w:line="9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54" w:lineRule="exact"/>
        <w:rPr>
          <w:sz w:val="20"/>
          <w:szCs w:val="20"/>
          <w:color w:val="auto"/>
        </w:rPr>
      </w:pPr>
    </w:p>
    <w:tbl>
      <w:tblPr>
        <w:tblLayout w:type="fixed"/>
        <w:tblInd w:w="416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NANTAHALA CAPITAL PARTNERS LIMITED</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PARTNERSHIP</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By: Nantahala Capital Management, LLC, its General</w:t>
            </w:r>
          </w:p>
        </w:tc>
      </w:t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Wilmot Harkey</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Wilmot Harkey</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Manager</w:t>
            </w:r>
          </w:p>
        </w:tc>
      </w:tr>
    </w:tbl>
    <w:p>
      <w:pPr>
        <w:spacing w:after="0" w:line="10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55" w:lineRule="exact"/>
        <w:rPr>
          <w:sz w:val="20"/>
          <w:szCs w:val="20"/>
          <w:color w:val="auto"/>
        </w:rPr>
      </w:pPr>
    </w:p>
    <w:tbl>
      <w:tblPr>
        <w:tblLayout w:type="fixed"/>
        <w:tblInd w:w="416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NCP QR LP</w:t>
            </w: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By: Nantahala Capital Management, LLC, its General</w:t>
            </w:r>
          </w:p>
        </w:tc>
      </w:t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Wilmot Harkey</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Wilmot Harkey</w:t>
            </w: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 PWP Tender and Support Agreement]</w:t>
      </w:r>
    </w:p>
    <w:p>
      <w:pPr>
        <w:sectPr>
          <w:pgSz w:w="11900" w:h="16838" w:orient="portrait"/>
          <w:cols w:equalWidth="0" w:num="1">
            <w:col w:w="10120"/>
          </w:cols>
          <w:pgMar w:left="1440" w:top="1440" w:right="339" w:bottom="1440" w:gutter="0" w:footer="0" w:header="0"/>
        </w:sectPr>
      </w:pPr>
    </w:p>
    <w:bookmarkStart w:id="124" w:name="page125"/>
    <w:bookmarkEnd w:id="124"/>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54" w:lineRule="exact"/>
        <w:rPr>
          <w:sz w:val="20"/>
          <w:szCs w:val="20"/>
          <w:color w:val="auto"/>
        </w:rPr>
      </w:pPr>
    </w:p>
    <w:tbl>
      <w:tblPr>
        <w:tblLayout w:type="fixed"/>
        <w:tblInd w:w="416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BLACKWELL PARTNERS LLC - SERIES A, solely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with respect to the portion of its assets for which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Nantahala Capital Management, LLC acts as its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Investment Manager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By: Nantahala Capital Management, LLC, its General</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Wilmot Harkey</w:t>
            </w:r>
          </w:p>
        </w:tc>
        <w:tc>
          <w:tcPr>
            <w:tcW w:w="0" w:type="dxa"/>
            <w:vAlign w:val="bottom"/>
          </w:tcPr>
          <w:p>
            <w:pPr>
              <w:spacing w:after="0"/>
              <w:rPr>
                <w:sz w:val="1"/>
                <w:szCs w:val="1"/>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22"/>
                <w:szCs w:val="22"/>
                <w:color w:val="auto"/>
              </w:rPr>
              <w:t>Wilmot Harkey</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r>
        <w:trPr>
          <w:trHeight w:val="391"/>
        </w:trPr>
        <w:tc>
          <w:tcPr>
            <w:tcW w:w="5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HOLDER:</w:t>
            </w:r>
          </w:p>
        </w:tc>
        <w:tc>
          <w:tcPr>
            <w:tcW w:w="0" w:type="dxa"/>
            <w:vAlign w:val="bottom"/>
          </w:tcPr>
          <w:p>
            <w:pPr>
              <w:spacing w:after="0"/>
              <w:rPr>
                <w:sz w:val="1"/>
                <w:szCs w:val="1"/>
                <w:color w:val="auto"/>
              </w:rPr>
            </w:pPr>
          </w:p>
        </w:tc>
      </w:tr>
      <w:tr>
        <w:trPr>
          <w:trHeight w:val="81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Gerard Moore</w:t>
            </w:r>
          </w:p>
        </w:tc>
        <w:tc>
          <w:tcPr>
            <w:tcW w:w="0" w:type="dxa"/>
            <w:vAlign w:val="bottom"/>
          </w:tcPr>
          <w:p>
            <w:pPr>
              <w:spacing w:after="0"/>
              <w:rPr>
                <w:sz w:val="1"/>
                <w:szCs w:val="1"/>
                <w:color w:val="auto"/>
              </w:rPr>
            </w:pPr>
          </w:p>
        </w:tc>
      </w:tr>
      <w:tr>
        <w:trPr>
          <w:trHeight w:val="251"/>
        </w:trPr>
        <w:tc>
          <w:tcPr>
            <w:tcW w:w="9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Gerard Moore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Chief Financial Officer of Philadelphia Financial</w:t>
            </w: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Management of San Francisco, LLC, General Partner of</w:t>
            </w:r>
          </w:p>
        </w:tc>
        <w:tc>
          <w:tcPr>
            <w:tcW w:w="0" w:type="dxa"/>
            <w:vAlign w:val="bottom"/>
          </w:tcPr>
          <w:p>
            <w:pPr>
              <w:spacing w:after="0"/>
              <w:rPr>
                <w:sz w:val="1"/>
                <w:szCs w:val="1"/>
                <w:color w:val="auto"/>
              </w:rPr>
            </w:pPr>
          </w:p>
        </w:tc>
      </w:tr>
      <w:tr>
        <w:trPr>
          <w:trHeight w:val="282"/>
        </w:trPr>
        <w:tc>
          <w:tcPr>
            <w:tcW w:w="920" w:type="dxa"/>
            <w:vAlign w:val="bottom"/>
            <w:vMerge w:val="continue"/>
          </w:tcPr>
          <w:p>
            <w:pPr>
              <w:spacing w:after="0"/>
              <w:rPr>
                <w:sz w:val="24"/>
                <w:szCs w:val="24"/>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Warrant Holders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 PWP Tender and Support Agreement]</w:t>
      </w:r>
    </w:p>
    <w:p>
      <w:pPr>
        <w:sectPr>
          <w:pgSz w:w="11900" w:h="16838" w:orient="portrait"/>
          <w:cols w:equalWidth="0" w:num="1">
            <w:col w:w="10120"/>
          </w:cols>
          <w:pgMar w:left="1440" w:top="1440" w:right="33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3760" w:type="dxa"/>
            <w:vAlign w:val="bottom"/>
            <w:tcBorders>
              <w:top w:val="single" w:sz="8" w:color="auto"/>
              <w:left w:val="single" w:sz="8" w:color="auto"/>
              <w:right w:val="single" w:sz="8" w:color="auto"/>
            </w:tcBorders>
            <w:shd w:val="clear" w:color="auto" w:fill="F2F2F2"/>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7"/>
              </w:rPr>
              <w:t>Name of Warrant Holder</w:t>
            </w:r>
          </w:p>
        </w:tc>
        <w:tc>
          <w:tcPr>
            <w:tcW w:w="3740" w:type="dxa"/>
            <w:vAlign w:val="bottom"/>
            <w:tcBorders>
              <w:top w:val="single" w:sz="8" w:color="auto"/>
              <w:right w:val="single" w:sz="8" w:color="auto"/>
            </w:tcBorders>
            <w:shd w:val="clear" w:color="auto" w:fill="F2F2F2"/>
          </w:tcPr>
          <w:p>
            <w:pPr>
              <w:ind w:left="880"/>
              <w:spacing w:after="0" w:line="239" w:lineRule="exact"/>
              <w:rPr>
                <w:sz w:val="20"/>
                <w:szCs w:val="20"/>
                <w:color w:val="auto"/>
              </w:rPr>
            </w:pPr>
            <w:r>
              <w:rPr>
                <w:rFonts w:ascii="Times New Roman" w:cs="Times New Roman" w:eastAsia="Times New Roman" w:hAnsi="Times New Roman"/>
                <w:sz w:val="22"/>
                <w:szCs w:val="22"/>
                <w:b w:val="1"/>
                <w:bCs w:val="1"/>
                <w:color w:val="auto"/>
              </w:rPr>
              <w:t>Number of Warrants</w:t>
            </w:r>
          </w:p>
        </w:tc>
        <w:tc>
          <w:tcPr>
            <w:tcW w:w="3760" w:type="dxa"/>
            <w:vAlign w:val="bottom"/>
            <w:tcBorders>
              <w:top w:val="single" w:sz="8" w:color="auto"/>
              <w:right w:val="single" w:sz="8" w:color="auto"/>
            </w:tcBorders>
            <w:shd w:val="clear" w:color="auto" w:fill="F2F2F2"/>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9"/>
              </w:rPr>
              <w:t>Number of Public</w:t>
            </w:r>
          </w:p>
        </w:tc>
      </w:tr>
      <w:tr>
        <w:trPr>
          <w:trHeight w:val="287"/>
        </w:trPr>
        <w:tc>
          <w:tcPr>
            <w:tcW w:w="3760" w:type="dxa"/>
            <w:vAlign w:val="bottom"/>
            <w:tcBorders>
              <w:left w:val="single" w:sz="8" w:color="auto"/>
              <w:bottom w:val="single" w:sz="8" w:color="auto"/>
              <w:right w:val="single" w:sz="8" w:color="auto"/>
            </w:tcBorders>
            <w:shd w:val="clear" w:color="auto" w:fill="F2F2F2"/>
          </w:tcPr>
          <w:p>
            <w:pPr>
              <w:spacing w:after="0"/>
              <w:rPr>
                <w:sz w:val="24"/>
                <w:szCs w:val="24"/>
                <w:color w:val="auto"/>
              </w:rPr>
            </w:pPr>
          </w:p>
        </w:tc>
        <w:tc>
          <w:tcPr>
            <w:tcW w:w="3740" w:type="dxa"/>
            <w:vAlign w:val="bottom"/>
            <w:tcBorders>
              <w:bottom w:val="single" w:sz="8" w:color="auto"/>
              <w:right w:val="single" w:sz="8" w:color="auto"/>
            </w:tcBorders>
            <w:shd w:val="clear" w:color="auto" w:fill="F2F2F2"/>
          </w:tcPr>
          <w:p>
            <w:pPr>
              <w:spacing w:after="0"/>
              <w:rPr>
                <w:sz w:val="24"/>
                <w:szCs w:val="24"/>
                <w:color w:val="auto"/>
              </w:rPr>
            </w:pPr>
          </w:p>
        </w:tc>
        <w:tc>
          <w:tcPr>
            <w:tcW w:w="37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Warrants</w:t>
            </w:r>
          </w:p>
        </w:tc>
      </w:tr>
      <w:tr>
        <w:trPr>
          <w:trHeight w:val="25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Aristeia Master Fund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409,390</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409,390</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ASIG International Limited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38,196</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38,196</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Blue Peak Limited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108,883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108,883</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DS Liquid Div RVA ARST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33,516</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33,516</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Windermere Cayman Fund Limited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12,628</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12,628</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Difesa Master Fund,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369,002</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369,002</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Integrated Core Strategies (US) LLC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62,736</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62,736</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ICS Opportunities, Ltd.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1,999,600</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1,999,600</w:t>
            </w:r>
          </w:p>
        </w:tc>
      </w:tr>
      <w:tr>
        <w:trPr>
          <w:trHeight w:val="187"/>
        </w:trPr>
        <w:tc>
          <w:tcPr>
            <w:tcW w:w="37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Nantahala Capital Partners II Limited</w:t>
            </w:r>
          </w:p>
        </w:tc>
        <w:tc>
          <w:tcPr>
            <w:tcW w:w="37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155,070</w:t>
            </w:r>
          </w:p>
        </w:tc>
        <w:tc>
          <w:tcPr>
            <w:tcW w:w="37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rPr>
              <w:t>137,840</w:t>
            </w:r>
          </w:p>
        </w:tc>
      </w:tr>
      <w:tr>
        <w:trPr>
          <w:trHeight w:val="252"/>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Partnership</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187"/>
        </w:trPr>
        <w:tc>
          <w:tcPr>
            <w:tcW w:w="37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Nantahala Capital Partners Limited</w:t>
            </w:r>
          </w:p>
        </w:tc>
        <w:tc>
          <w:tcPr>
            <w:tcW w:w="37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53,667</w:t>
            </w:r>
          </w:p>
        </w:tc>
        <w:tc>
          <w:tcPr>
            <w:tcW w:w="37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47,704</w:t>
            </w:r>
          </w:p>
        </w:tc>
      </w:tr>
      <w:tr>
        <w:trPr>
          <w:trHeight w:val="252"/>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Partnership</w:t>
            </w: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NCP QR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63,915</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56,814</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Blackwell Partners LLC - Series A</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136,476</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121,312</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Boathouse Row I,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72,486</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72,486</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Boathouse Row II, L.P.</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50,066</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50,066</w:t>
            </w:r>
          </w:p>
        </w:tc>
      </w:tr>
    </w:tbl>
    <w:p>
      <w:pPr>
        <w:sectPr>
          <w:pgSz w:w="11900" w:h="16838" w:orient="portrait"/>
          <w:cols w:equalWidth="0" w:num="1">
            <w:col w:w="11260"/>
          </w:cols>
          <w:pgMar w:left="320" w:top="1418"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333333"/>
        </w:rPr>
        <w:t>We consent to the reference to our firm under the caption "Experts" in the Registration Statement on Form S-4 and related Prospectus/Offer to Exchange of Perella Weinberg Partners for the offer to exchange Warrants to acquire shares of Class A Common Stock of Perella Weinberg Partners for Shares of Class A Common Stock of Perella Weinberg Partners and Consent Solicitation, and to the incorporation by reference therein of our report dated March 11, 2022, with respect to the consolidated financial statements of Perella Weinberg Partners included in its Amendment No. 1 to the Annual Report (Form 10-K/A) for the year ended December 31, 2021, filed with the Securities and Exchange Commission.</w:t>
      </w:r>
    </w:p>
    <w:p>
      <w:pPr>
        <w:spacing w:after="0" w:line="278"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20, 2022</w:t>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LETTER OF TRANSMITTAL AND CONSENT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 of Perella Weinberg Partners for Shares of</w:t>
      </w:r>
    </w:p>
    <w:p>
      <w:pPr>
        <w:spacing w:after="0" w:line="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Class A Common Stock of Perella Weinberg Partners and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6515100" cy="857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6515100" cy="857250"/>
                    </a:xfrm>
                    <a:prstGeom prst="rect">
                      <a:avLst/>
                    </a:prstGeom>
                    <a:noFill/>
                  </pic:spPr>
                </pic:pic>
              </a:graphicData>
            </a:graphic>
          </wp:anchor>
        </w:drawing>
      </w:r>
    </w:p>
    <w:p>
      <w:pPr>
        <w:spacing w:after="0" w:line="127" w:lineRule="exact"/>
        <w:rPr>
          <w:sz w:val="20"/>
          <w:szCs w:val="20"/>
          <w:color w:val="auto"/>
        </w:rPr>
      </w:pPr>
    </w:p>
    <w:p>
      <w:pPr>
        <w:ind w:left="20" w:right="660"/>
        <w:spacing w:after="0" w:line="230" w:lineRule="auto"/>
        <w:rPr>
          <w:sz w:val="20"/>
          <w:szCs w:val="20"/>
          <w:color w:val="auto"/>
        </w:rPr>
      </w:pPr>
      <w:r>
        <w:rPr>
          <w:rFonts w:ascii="Times New Roman" w:cs="Times New Roman" w:eastAsia="Times New Roman" w:hAnsi="Times New Roman"/>
          <w:sz w:val="17"/>
          <w:szCs w:val="17"/>
          <w:b w:val="1"/>
          <w:bCs w:val="1"/>
          <w:color w:val="auto"/>
        </w:rPr>
        <w:t>THE OFFER AND CONSENT SOLICITATION (AS DEFINED BELOW) AND WITHDRAWAL RIGHTS WILL EXPIRE AT ONE MINUTE AFTER 11:59 P.M., EASTERN STANDARD TIME, ON AUGUST 18, 2022, OR SUCH LATER TIME AND DATE TO WHICH WE MAY EXTEND. PUBLIC WARRANTS (AS DEFINED BELOW) AND PRIVATE PLACEMENT WARRANTS</w:t>
      </w:r>
    </w:p>
    <w:p>
      <w:pPr>
        <w:spacing w:after="0" w:line="2" w:lineRule="exact"/>
        <w:rPr>
          <w:sz w:val="20"/>
          <w:szCs w:val="20"/>
          <w:color w:val="auto"/>
        </w:rPr>
      </w:pPr>
    </w:p>
    <w:p>
      <w:pPr>
        <w:ind w:left="20" w:right="580"/>
        <w:spacing w:after="0" w:line="220" w:lineRule="auto"/>
        <w:rPr>
          <w:sz w:val="20"/>
          <w:szCs w:val="20"/>
          <w:color w:val="auto"/>
        </w:rPr>
      </w:pPr>
      <w:r>
        <w:rPr>
          <w:rFonts w:ascii="Times New Roman" w:cs="Times New Roman" w:eastAsia="Times New Roman" w:hAnsi="Times New Roman"/>
          <w:sz w:val="17"/>
          <w:szCs w:val="17"/>
          <w:b w:val="1"/>
          <w:bCs w:val="1"/>
          <w:color w:val="auto"/>
        </w:rPr>
        <w:t>(AS DEFINED BELOW) (COLLECTIVELY, THE “WARRANTS”) TENDERED PURSUANT TO THE OFFER AND CONSENT SOLICITATION MAY BE WITHDRAWN PRIOR TO THE EXPIRATION DATE (AS DEFINED BELOW). CONSENTS MAY BE REVOKED ONLY BY WITHDRAWING THE TENDER OF THE RELATED WARRANTS AND THE WITHDRAWAL OF ANY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WARRANTS WILL AUTOMATICALLY CONSTITUTE A REVOCATION OF THE RELATED CONSENTS.</w:t>
      </w:r>
    </w:p>
    <w:p>
      <w:pPr>
        <w:spacing w:after="0" w:line="19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i w:val="1"/>
          <w:iCs w:val="1"/>
          <w:color w:val="auto"/>
        </w:rPr>
        <w:t>The Exchange Agent for the Offer and Consent Solicitation is:</w:t>
      </w:r>
    </w:p>
    <w:p>
      <w:pPr>
        <w:spacing w:after="0" w:line="6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AMERICAN STOCK TRANSFER &amp; TRUST COMPANY, LLC</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3200" w:type="dxa"/>
            <w:vAlign w:val="bottom"/>
            <w:gridSpan w:val="2"/>
            <w:vMerge w:val="restart"/>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By first class mail:</w:t>
            </w:r>
          </w:p>
        </w:tc>
        <w:tc>
          <w:tcPr>
            <w:tcW w:w="426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If delivering by hand, express mail, courier,</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20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33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or other expedited service: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60" w:type="dxa"/>
            <w:vAlign w:val="bottom"/>
            <w:gridSpan w:val="3"/>
          </w:tcPr>
          <w:p>
            <w:pPr>
              <w:jc w:val="center"/>
              <w:ind w:right="920"/>
              <w:spacing w:after="0" w:line="136" w:lineRule="exact"/>
              <w:rPr>
                <w:sz w:val="20"/>
                <w:szCs w:val="20"/>
                <w:color w:val="auto"/>
              </w:rPr>
            </w:pPr>
            <w:r>
              <w:rPr>
                <w:rFonts w:ascii="Times New Roman" w:cs="Times New Roman" w:eastAsia="Times New Roman" w:hAnsi="Times New Roman"/>
                <w:sz w:val="15"/>
                <w:szCs w:val="15"/>
                <w:color w:val="auto"/>
              </w:rPr>
              <w:t>American Stock Transfer &amp; Trust Co., LLC</w:t>
            </w:r>
          </w:p>
        </w:tc>
        <w:tc>
          <w:tcPr>
            <w:tcW w:w="900" w:type="dxa"/>
            <w:vAlign w:val="bottom"/>
          </w:tcPr>
          <w:p>
            <w:pPr>
              <w:spacing w:after="0"/>
              <w:rPr>
                <w:sz w:val="11"/>
                <w:szCs w:val="11"/>
                <w:color w:val="auto"/>
              </w:rPr>
            </w:pPr>
          </w:p>
        </w:tc>
        <w:tc>
          <w:tcPr>
            <w:tcW w:w="660" w:type="dxa"/>
            <w:vAlign w:val="bottom"/>
          </w:tcPr>
          <w:p>
            <w:pPr>
              <w:ind w:left="100"/>
              <w:spacing w:after="0" w:line="136" w:lineRule="exact"/>
              <w:rPr>
                <w:sz w:val="20"/>
                <w:szCs w:val="20"/>
                <w:color w:val="auto"/>
              </w:rPr>
            </w:pPr>
            <w:r>
              <w:rPr>
                <w:rFonts w:ascii="Times New Roman" w:cs="Times New Roman" w:eastAsia="Times New Roman" w:hAnsi="Times New Roman"/>
                <w:sz w:val="15"/>
                <w:szCs w:val="15"/>
                <w:color w:val="auto"/>
                <w:w w:val="91"/>
              </w:rPr>
              <w:t>American</w:t>
            </w:r>
          </w:p>
        </w:tc>
        <w:tc>
          <w:tcPr>
            <w:tcW w:w="19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Stock Transfer &amp; Trust</w:t>
            </w:r>
          </w:p>
        </w:tc>
        <w:tc>
          <w:tcPr>
            <w:tcW w:w="72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auto"/>
              </w:rPr>
              <w:t>Co., LLC</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200" w:type="dxa"/>
            <w:vAlign w:val="bottom"/>
            <w:gridSpan w:val="2"/>
          </w:tcPr>
          <w:p>
            <w:pPr>
              <w:jc w:val="center"/>
              <w:ind w:right="1760"/>
              <w:spacing w:after="0" w:line="176" w:lineRule="exact"/>
              <w:rPr>
                <w:sz w:val="20"/>
                <w:szCs w:val="20"/>
                <w:color w:val="auto"/>
              </w:rPr>
            </w:pPr>
            <w:r>
              <w:rPr>
                <w:rFonts w:ascii="Times New Roman" w:cs="Times New Roman" w:eastAsia="Times New Roman" w:hAnsi="Times New Roman"/>
                <w:sz w:val="18"/>
                <w:szCs w:val="18"/>
                <w:color w:val="auto"/>
              </w:rPr>
              <w:t>Operations Center</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00" w:type="dxa"/>
            <w:vAlign w:val="bottom"/>
            <w:gridSpan w:val="3"/>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auto"/>
              </w:rPr>
              <w:t>Operations Center</w:t>
            </w:r>
          </w:p>
        </w:tc>
        <w:tc>
          <w:tcPr>
            <w:tcW w:w="0" w:type="dxa"/>
            <w:vAlign w:val="bottom"/>
          </w:tcPr>
          <w:p>
            <w:pPr>
              <w:spacing w:after="0"/>
              <w:rPr>
                <w:sz w:val="1"/>
                <w:szCs w:val="1"/>
                <w:color w:val="auto"/>
              </w:rPr>
            </w:pPr>
          </w:p>
        </w:tc>
      </w:tr>
      <w:tr>
        <w:trPr>
          <w:trHeight w:val="189"/>
        </w:trPr>
        <w:tc>
          <w:tcPr>
            <w:tcW w:w="4060" w:type="dxa"/>
            <w:vAlign w:val="bottom"/>
            <w:gridSpan w:val="3"/>
          </w:tcPr>
          <w:p>
            <w:pPr>
              <w:jc w:val="center"/>
              <w:ind w:right="900"/>
              <w:spacing w:after="0" w:line="189" w:lineRule="exact"/>
              <w:rPr>
                <w:sz w:val="20"/>
                <w:szCs w:val="20"/>
                <w:color w:val="auto"/>
              </w:rPr>
            </w:pPr>
            <w:r>
              <w:rPr>
                <w:rFonts w:ascii="Times New Roman" w:cs="Times New Roman" w:eastAsia="Times New Roman" w:hAnsi="Times New Roman"/>
                <w:sz w:val="18"/>
                <w:szCs w:val="18"/>
                <w:color w:val="auto"/>
                <w:w w:val="99"/>
              </w:rPr>
              <w:t>Attn: Reorganization Department</w:t>
            </w:r>
          </w:p>
        </w:tc>
        <w:tc>
          <w:tcPr>
            <w:tcW w:w="900" w:type="dxa"/>
            <w:vAlign w:val="bottom"/>
          </w:tcPr>
          <w:p>
            <w:pPr>
              <w:spacing w:after="0"/>
              <w:rPr>
                <w:sz w:val="16"/>
                <w:szCs w:val="16"/>
                <w:color w:val="auto"/>
              </w:rPr>
            </w:pPr>
          </w:p>
        </w:tc>
        <w:tc>
          <w:tcPr>
            <w:tcW w:w="33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Attn: Reorganization Department</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3200" w:type="dxa"/>
            <w:vAlign w:val="bottom"/>
            <w:gridSpan w:val="2"/>
          </w:tcPr>
          <w:p>
            <w:pPr>
              <w:jc w:val="center"/>
              <w:ind w:right="1760"/>
              <w:spacing w:after="0" w:line="176" w:lineRule="exact"/>
              <w:rPr>
                <w:sz w:val="20"/>
                <w:szCs w:val="20"/>
                <w:color w:val="auto"/>
              </w:rPr>
            </w:pPr>
            <w:r>
              <w:rPr>
                <w:rFonts w:ascii="Times New Roman" w:cs="Times New Roman" w:eastAsia="Times New Roman" w:hAnsi="Times New Roman"/>
                <w:sz w:val="18"/>
                <w:szCs w:val="18"/>
                <w:color w:val="auto"/>
                <w:w w:val="99"/>
              </w:rPr>
              <w:t>6201 15th Avenue</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00" w:type="dxa"/>
            <w:vAlign w:val="bottom"/>
            <w:gridSpan w:val="3"/>
          </w:tcPr>
          <w:p>
            <w:pPr>
              <w:jc w:val="center"/>
              <w:ind w:right="660"/>
              <w:spacing w:after="0" w:line="176" w:lineRule="exact"/>
              <w:rPr>
                <w:sz w:val="20"/>
                <w:szCs w:val="20"/>
                <w:color w:val="auto"/>
              </w:rPr>
            </w:pPr>
            <w:r>
              <w:rPr>
                <w:rFonts w:ascii="Times New Roman" w:cs="Times New Roman" w:eastAsia="Times New Roman" w:hAnsi="Times New Roman"/>
                <w:sz w:val="18"/>
                <w:szCs w:val="18"/>
                <w:color w:val="auto"/>
                <w:w w:val="99"/>
              </w:rPr>
              <w:t>6201 15th Avenue</w:t>
            </w:r>
          </w:p>
        </w:tc>
        <w:tc>
          <w:tcPr>
            <w:tcW w:w="0" w:type="dxa"/>
            <w:vAlign w:val="bottom"/>
          </w:tcPr>
          <w:p>
            <w:pPr>
              <w:spacing w:after="0"/>
              <w:rPr>
                <w:sz w:val="1"/>
                <w:szCs w:val="1"/>
                <w:color w:val="auto"/>
              </w:rPr>
            </w:pPr>
          </w:p>
        </w:tc>
      </w:tr>
      <w:tr>
        <w:trPr>
          <w:trHeight w:val="234"/>
        </w:trPr>
        <w:tc>
          <w:tcPr>
            <w:tcW w:w="40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8"/>
              </w:rPr>
              <w:t>Brooklyn, New York 11219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For assistance call (877) 248-6417 or (718) 921-8317</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THE METHOD OF DELIVERY OF THIS LETTER OF TRANSMITTAL AND CONSENT, THE WARRANTS AND ALL OTHER REQUIRED DOCUMENTS, INCLUDING DELIVERY THROUGH BOOK-ENTRY TRANSFER, IS AT THE OPTION AND RISK OF THE TENDERING WARRANT HOLDER, AND EXCEPT AS OTHERWISE PROVIDED IN THE INSTRUCTIONS BELOW, THE DELIVERY WILL BE DEEMED MADE ONLY WHEN ACTUALLY RECEIVED BY THE EXCHANGE AGENT. IF DELIVERY IS BY MAIL, REGISTERED MAIL WITH RETURN RECEIPT REQUESTED, PROPERLY INSURED, IS RECOMMENDED. THE WARRANT HOLDER HAS THE RESPONSIBILITY TO CAUSE THIS LETTER OF TRANSMITTAL AND CONSENT, THE TENDERED WARRANTS AND ANY OTHER DOCUMENTS TO BE TIMELY DELIVERED. IN ALL CASES, SUFFICIENT TIME SHOULD BE ALLOWED TO ENSURE TIMELY DELIVERY. PLEASE READ THIS ENTIRE LETTER OF TRANSMITTAL AND CONSENT, INCLUDING THE INSTRUCTIONS, CAREFULLY BEFORE COMPLETING THIS LETTER OF TRANSMITTAL AND CONSENT.</w:t>
      </w:r>
    </w:p>
    <w:p>
      <w:pPr>
        <w:spacing w:after="0" w:line="7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WARRANTS TENDERED</w:t>
      </w:r>
    </w:p>
    <w:p>
      <w:pPr>
        <w:spacing w:after="0" w:line="31" w:lineRule="exact"/>
        <w:rPr>
          <w:sz w:val="20"/>
          <w:szCs w:val="20"/>
          <w:color w:val="auto"/>
        </w:rPr>
      </w:pPr>
    </w:p>
    <w:p>
      <w:pPr>
        <w:ind w:right="720"/>
        <w:spacing w:after="0" w:line="260" w:lineRule="auto"/>
        <w:rPr>
          <w:sz w:val="20"/>
          <w:szCs w:val="20"/>
          <w:color w:val="auto"/>
        </w:rPr>
      </w:pPr>
      <w:r>
        <w:rPr>
          <w:rFonts w:ascii="Times New Roman" w:cs="Times New Roman" w:eastAsia="Times New Roman" w:hAnsi="Times New Roman"/>
          <w:sz w:val="18"/>
          <w:szCs w:val="18"/>
          <w:color w:val="auto"/>
        </w:rPr>
        <w:t>List below the Warrants to which this Letter of Transmittal and Consent relates. If the space below is inadequate, list the registered Warrant certificate numbers on a separate signed schedule and affix the list to this Letter of Transmittal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3985895" cy="258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3985895" cy="2588895"/>
                    </a:xfrm>
                    <a:prstGeom prst="rect">
                      <a:avLst/>
                    </a:prstGeom>
                    <a:noFill/>
                  </pic:spPr>
                </pic:pic>
              </a:graphicData>
            </a:graphic>
          </wp:anchor>
        </w:drawing>
      </w:r>
    </w:p>
    <w:p>
      <w:pPr>
        <w:spacing w:after="0" w:line="3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8100" w:type="dxa"/>
            <w:vAlign w:val="bottom"/>
            <w:gridSpan w:val="2"/>
          </w:tcPr>
          <w:p>
            <w:pPr>
              <w:jc w:val="center"/>
              <w:ind w:right="2479"/>
              <w:spacing w:after="0"/>
              <w:rPr>
                <w:sz w:val="20"/>
                <w:szCs w:val="20"/>
                <w:color w:val="auto"/>
              </w:rPr>
            </w:pPr>
            <w:r>
              <w:rPr>
                <w:rFonts w:ascii="Times New Roman" w:cs="Times New Roman" w:eastAsia="Times New Roman" w:hAnsi="Times New Roman"/>
                <w:sz w:val="16"/>
                <w:szCs w:val="16"/>
                <w:b w:val="1"/>
                <w:bCs w:val="1"/>
                <w:color w:val="auto"/>
              </w:rPr>
              <w:t>Name(s) and Address of Registered Holder(s)</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980" w:type="dxa"/>
            <w:vAlign w:val="bottom"/>
            <w:vMerge w:val="restart"/>
          </w:tcPr>
          <w:p>
            <w:pPr>
              <w:jc w:val="center"/>
              <w:ind w:right="364"/>
              <w:spacing w:after="0"/>
              <w:rPr>
                <w:sz w:val="20"/>
                <w:szCs w:val="20"/>
                <w:color w:val="auto"/>
              </w:rPr>
            </w:pPr>
            <w:r>
              <w:rPr>
                <w:rFonts w:ascii="Times New Roman" w:cs="Times New Roman" w:eastAsia="Times New Roman" w:hAnsi="Times New Roman"/>
                <w:sz w:val="14"/>
                <w:szCs w:val="14"/>
                <w:color w:val="auto"/>
              </w:rPr>
              <w:t>If there is any error in the name or address shown below, please make the necessary corrections.</w:t>
            </w:r>
          </w:p>
        </w:tc>
        <w:tc>
          <w:tcPr>
            <w:tcW w:w="21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5980" w:type="dxa"/>
            <w:vAlign w:val="bottom"/>
            <w:vMerge w:val="continue"/>
          </w:tcPr>
          <w:p>
            <w:pPr>
              <w:spacing w:after="0"/>
              <w:rPr>
                <w:sz w:val="11"/>
                <w:szCs w:val="11"/>
                <w:color w:val="auto"/>
              </w:rPr>
            </w:pPr>
          </w:p>
        </w:tc>
        <w:tc>
          <w:tcPr>
            <w:tcW w:w="21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Certificate No(s)</w:t>
            </w:r>
          </w:p>
        </w:tc>
        <w:tc>
          <w:tcPr>
            <w:tcW w:w="1780" w:type="dxa"/>
            <w:vAlign w:val="bottom"/>
            <w:vMerge w:val="restart"/>
          </w:tcPr>
          <w:p>
            <w:pPr>
              <w:ind w:left="400"/>
              <w:spacing w:after="0" w:line="155" w:lineRule="exact"/>
              <w:rPr>
                <w:sz w:val="20"/>
                <w:szCs w:val="20"/>
                <w:color w:val="auto"/>
              </w:rPr>
            </w:pPr>
            <w:r>
              <w:rPr>
                <w:rFonts w:ascii="Times New Roman" w:cs="Times New Roman" w:eastAsia="Times New Roman" w:hAnsi="Times New Roman"/>
                <w:sz w:val="16"/>
                <w:szCs w:val="16"/>
                <w:color w:val="auto"/>
              </w:rPr>
              <w:t>Number of</w:t>
            </w:r>
          </w:p>
        </w:tc>
        <w:tc>
          <w:tcPr>
            <w:tcW w:w="0" w:type="dxa"/>
            <w:vAlign w:val="bottom"/>
          </w:tcPr>
          <w:p>
            <w:pPr>
              <w:spacing w:after="0"/>
              <w:rPr>
                <w:sz w:val="1"/>
                <w:szCs w:val="1"/>
                <w:color w:val="auto"/>
              </w:rPr>
            </w:pPr>
          </w:p>
        </w:tc>
      </w:tr>
      <w:tr>
        <w:trPr>
          <w:trHeight w:val="28"/>
        </w:trPr>
        <w:tc>
          <w:tcPr>
            <w:tcW w:w="5980" w:type="dxa"/>
            <w:vAlign w:val="bottom"/>
          </w:tcPr>
          <w:p>
            <w:pPr>
              <w:spacing w:after="0"/>
              <w:rPr>
                <w:sz w:val="2"/>
                <w:szCs w:val="2"/>
                <w:color w:val="auto"/>
              </w:rPr>
            </w:pPr>
          </w:p>
        </w:tc>
        <w:tc>
          <w:tcPr>
            <w:tcW w:w="2120" w:type="dxa"/>
            <w:vAlign w:val="bottom"/>
            <w:vMerge w:val="continue"/>
          </w:tcPr>
          <w:p>
            <w:pPr>
              <w:spacing w:after="0"/>
              <w:rPr>
                <w:sz w:val="2"/>
                <w:szCs w:val="2"/>
                <w:color w:val="auto"/>
              </w:rPr>
            </w:pPr>
          </w:p>
        </w:tc>
        <w:tc>
          <w:tcPr>
            <w:tcW w:w="1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-244475</wp:posOffset>
            </wp:positionV>
            <wp:extent cx="2477770" cy="2314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24777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TOTAL WARRANTS</w:t>
      </w:r>
    </w:p>
    <w:p>
      <w:pPr>
        <w:sectPr>
          <w:pgSz w:w="11900" w:h="16838" w:orient="portrait"/>
          <w:cols w:equalWidth="0" w:num="1">
            <w:col w:w="10740"/>
          </w:cols>
          <w:pgMar w:left="8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740"/>
          </w:cols>
          <w:pgMar w:left="820" w:top="104" w:right="339" w:bottom="1440" w:gutter="0" w:footer="0" w:header="0"/>
          <w:type w:val="continuous"/>
        </w:sectPr>
      </w:pPr>
    </w:p>
    <w:bookmarkStart w:id="128" w:name="page129"/>
    <w:bookmarkEnd w:id="128"/>
    <w:p>
      <w:pPr>
        <w:jc w:val="both"/>
        <w:ind w:left="6" w:hanging="6"/>
        <w:spacing w:after="0" w:line="268" w:lineRule="auto"/>
        <w:tabs>
          <w:tab w:leader="none" w:pos="348" w:val="left"/>
        </w:tabs>
        <w:numPr>
          <w:ilvl w:val="0"/>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THE WARRANTS LISTED ABOVE ARE BEING DELIVERED BY BOOK-ENTRY TRANSFER MADE TO THE ACCOUNT MAINTAINED BY THE EXCHANGE AGENT WITH DTC AND COMPLETE THE FOLLOWING (FOR USE BY ELIGIBLE INSTITUTIONS ONLY):</w:t>
      </w:r>
    </w:p>
    <w:p>
      <w:pPr>
        <w:spacing w:after="0" w:line="215"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17145</wp:posOffset>
            </wp:positionV>
            <wp:extent cx="3831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51"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17145</wp:posOffset>
            </wp:positionV>
            <wp:extent cx="38315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151"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17145</wp:posOffset>
            </wp:positionV>
            <wp:extent cx="3831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5" w:lineRule="exact"/>
        <w:rPr>
          <w:sz w:val="20"/>
          <w:szCs w:val="20"/>
          <w:color w:val="auto"/>
        </w:rPr>
      </w:pPr>
    </w:p>
    <w:p>
      <w:pPr>
        <w:ind w:left="6" w:right="40"/>
        <w:spacing w:after="0" w:line="255" w:lineRule="auto"/>
        <w:rPr>
          <w:sz w:val="20"/>
          <w:szCs w:val="20"/>
          <w:color w:val="auto"/>
        </w:rPr>
      </w:pPr>
      <w:r>
        <w:rPr>
          <w:rFonts w:ascii="Times New Roman" w:cs="Times New Roman" w:eastAsia="Times New Roman" w:hAnsi="Times New Roman"/>
          <w:sz w:val="18"/>
          <w:szCs w:val="18"/>
          <w:color w:val="auto"/>
        </w:rPr>
        <w:t>By crediting the Warrants to the exchange agent’s account at DTC using ATOP and by complying with applicable ATOP procedures with respect to the Offer and Consent Solicitation, including, if applicable, transmitting to the exchange agent an Agent’s Message in which the holder of the Warrants acknowledges and agrees to be bound by the terms of, and makes the representations and warranties contained in, this Letter of Transmittal and Consent, the participant in DTC confirms on behalf of itself and the beneficial owner(s) of such Warrants all provisions of this Letter of Transmittal and Consent (including consent to the Warrant Amendment, if applicable, and all representations and warranties) applicable to it and such beneficial owner(s) as fully as if it had completed the required information and executed and transmitted this Letter of Transmittal and Consent to the exchange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46"/>
          </w:cols>
          <w:pgMar w:left="814" w:top="1008" w:right="339" w:bottom="1440" w:gutter="0" w:footer="0" w:header="0"/>
        </w:sectPr>
      </w:pPr>
    </w:p>
    <w:bookmarkStart w:id="129" w:name="page130"/>
    <w:bookmarkEnd w:id="129"/>
    <w:p>
      <w:pPr>
        <w:ind w:right="20"/>
        <w:spacing w:after="0" w:line="256" w:lineRule="auto"/>
        <w:rPr>
          <w:sz w:val="20"/>
          <w:szCs w:val="20"/>
          <w:color w:val="auto"/>
        </w:rPr>
      </w:pPr>
      <w:r>
        <w:rPr>
          <w:rFonts w:ascii="Times New Roman" w:cs="Times New Roman" w:eastAsia="Times New Roman" w:hAnsi="Times New Roman"/>
          <w:sz w:val="18"/>
          <w:szCs w:val="18"/>
          <w:color w:val="auto"/>
        </w:rPr>
        <w:t>Perella Weinberg Partners, a Delaware corporation (the “Company,” “we,” “our” and “us”), has delivered to the undersigned a copy of the Prospectus/Offer to Exchange dated July 22, 2022 (the “Prospectus/Offer to Exchange”) of the Company and this Letter of Transmittal and Consent (as it may be supplemented and amended from time to time, this “Letter of Transmittal and Consent”), which together set forth the offer of the Company to each holder of the Warrants to purchase shares of Class A Common Stock, par value $0.0001 per share (the “Class A Common Stock”), of the Company, the opportunity to receive 0.20 shares of Class A Common Stock in exchange for each Warrant tendered by the holder (“Warrant Holder”) and exchanged pursuant to the offer (the “Offer”).</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Offer is being made to all holders of the Company’s Warrants. The Warrants sold as part of the units in FinTech Acquisition Corp. IV’s (“FTIV”) initial public offering of FTIV’s securities on September 29, 2020 (“IPO”) (whether they were purchased in the IPO or thereafter in the open market) are referred to herein as the “Public Warrants.” The Warrants sold as part of the units in a private placement that occurred simultaneously with the IPO are referred to herein as the “Private Placement Warrants.” Each Warrant entitles the holder to purchase one share of our Class A Common Stock at a price of $11.50 per share, subject to adjustment. The terms of the Private Placement Warrants are identical to the Public Warrants, except that the Private Placement Warrants are exercisable for cash or on a cashless basis and are not redeemable by the Company, in each case, so long as they are still held by FinTech Investor Holdings IV, LLC or FinTech Masala Advisors, LLC or their permitted transferees. The Warrants are quoted on the Nasdaq Global Select Market (the “Nasdaq”) under the symbol “PWPPW.” As of July 19, 2022, 7,869,975 Warrants, consisting of 7,666,642 Public Warrants and 203,333 Private Placement Warrants, were outstanding. Pursuant to the Offer, the Company is offering up to an aggregate of 1,573,995 shares of Class A Common Stock in exchange for all of the Warrants.</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Concurrently with the Offer, the Company is also soliciting consents (the “Consent Solicitation”) from holders of the Public Warrants (the “Consent Warrants”) to amend the warrant agreement, dated as of September 24, 2020 (the “Warrant Agreement”), by and between the Company (f/k/a FinTech Acquisition Corp. IV) and Continental Stock Transfer &amp; Trust Company, as amended by Amendment No. 1 to Warrant Agreement, dated as of November 10, 2021, by and among the Company, Continental Stock Transfer &amp; Trust Company and American Stock Transfer &amp; Trust Company, LLC, as warrant agent, which governs all of the Warrants, to permit the Company to require that each Warrant (including each Private Placement Warrant) that is outstanding upon the closing of the Offer be converted into 0.18 shares of Class A Common Stock, which is a ratio 10% less than the exchange ratio applicable to the Offer (the “Warrant Amendment”). Pursuant to the terms of the Warrant Agreement, the adoption of the Warrant Amendment will require the consent of holders of at least 65% of the outstanding Public Warrants.</w:t>
      </w:r>
    </w:p>
    <w:p>
      <w:pPr>
        <w:spacing w:after="0" w:line="1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Parties representing approximately 45.9% of the Public Warrants have agreed to tender their Warrants in the Offer and to consent to the Warrant Amendment in the Consent Solicitation pursuant to a tender and support agreement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Holders of the Consent Warrants may not consent to the Warrant Amendment without tendering the Consent Warrants in the Offer and holders may not tender such Warrants without consenting to the Warrant Amendment. The consent to the Warrant Amendment is a part of this Letter of Transmittal and Consent relating to the Warrants, and therefore by tendering the Consent Warrants for exchange holders will be delivering to us their consent. Holders of Consent Warrants may revoke consent at any time prior to the Expiration Date (as defined below) by withdrawing the Consent Warrants holders have tendered in the Offer.</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Warrants not exchanged for shares of Class A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conversion of all outstanding Warrants (including Private Placement Warrants) to shares of Class A Common Stock as provided in the Warrant Amendment.</w:t>
      </w:r>
    </w:p>
    <w:p>
      <w:pPr>
        <w:spacing w:after="0" w:line="1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Offer and Consent Solicitation is made solely upon the terms and conditions in the Prospectus/Offer to Exchange and this Letter of Transmittal and Consent. The Offer and Consent Solicitation will expire at one minute after 11:59 p.m., Eastern Standard Time, on August 18, 2022, or such later time and date to which we may extend (the period during which the Offer and Consent Solicitation is open, giving effect to any withdrawal or extension, is referred to as the “Offer Period,” and the date and time at which the Offer Period ends is referred to as the “Expiration Date”).</w:t>
      </w:r>
    </w:p>
    <w:p>
      <w:pPr>
        <w:spacing w:after="0" w:line="11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Each holder whose Warrants are exchanged pursuant to the Offer and Consent Solicitation will receive 0.20 shares of Class A Common Stock for each Warrant tendered by such holder and exchanged. Any Warrant Holder that participates in the Offer and Consent Solicitation may tender less than all of its Warrants for exchange.</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pursuant to the Offer. In lieu of issuing fractional shares, any holder of Warrants who would otherwise have been entitled to receive fractional shares pursuant to the Offer will, after aggregating all such</w:t>
      </w:r>
    </w:p>
    <w:p>
      <w:pPr>
        <w:sectPr>
          <w:pgSz w:w="11900" w:h="16838" w:orient="portrait"/>
          <w:cols w:equalWidth="0" w:num="1">
            <w:col w:w="10720"/>
          </w:cols>
          <w:pgMar w:left="8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720"/>
          </w:cols>
          <w:pgMar w:left="820" w:top="1012" w:right="359" w:bottom="1440" w:gutter="0" w:footer="0" w:header="0"/>
          <w:type w:val="continuous"/>
        </w:sectPr>
      </w:pPr>
    </w:p>
    <w:bookmarkStart w:id="130" w:name="page131"/>
    <w:bookmarkEnd w:id="130"/>
    <w:p>
      <w:pPr>
        <w:ind w:right="20"/>
        <w:spacing w:after="0" w:line="266" w:lineRule="auto"/>
        <w:rPr>
          <w:sz w:val="20"/>
          <w:szCs w:val="20"/>
          <w:color w:val="auto"/>
        </w:rPr>
      </w:pPr>
      <w:r>
        <w:rPr>
          <w:rFonts w:ascii="Times New Roman" w:cs="Times New Roman" w:eastAsia="Times New Roman" w:hAnsi="Times New Roman"/>
          <w:sz w:val="18"/>
          <w:szCs w:val="18"/>
          <w:color w:val="auto"/>
        </w:rPr>
        <w:t>fractional shares of such holder, be paid cash (without interest) in an amount equal to such fractional part of a share multiplied by the last sale price of Class A Common Stock on the Nasdaq on the last trading day of the Offer Period. The Company’s obligation to complete the Offer is not conditioned on the receipt of a minimum number of tendered Warrants.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withdraw the Offer and Consent Solicitation only if the conditions to the Offer and Consent Solicitation are not satisfied or waived prior to the Expiration Date. Promptly upon any such withdrawal, we will return the tendered Warrants to the holders (and, in the case of any Consent Warrants, the consent to the Warrant Amendment will be revoked).</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Letter of Transmittal and Consent is to be used to accept the Offer and Consent Solicitation if the applicable Warrants are to be tendered by effecting a book-entry transfer into the exchange agent’s account at the Depository Trust Company (“DTC”) and instructions are not being transmitted through DTC’s Automated Tender Offer Program (“ATOP”). Except in instances where a holder intends to tender Warrants through ATOP, the holder should complete, execute and deliver this Letter of Transmittal and Consent to indicate the action it desires to take with respect to the Offer and Consent Solicitation.</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Holders of Warrants tendering Warrants by book-entry transfer to the exchange agent’s account at DTC may execute the tender through ATOP, and in that case need not complete, execute and deliver this Letter of Transmittal and Consent. DTC participants accepting the Offer and Consent Solicitation may transmit their acceptance to DTC, which will verify the acceptance and execute a book-entry delivery to the exchange agent’s account at DTC. DTC will then send an “Agent’s Message” to the exchange agent for its acceptance. Delivery of the Agent’s Message by DTC will satisfy the terms of the Offer and Consent Solicitation as to execution and delivery of a Letter of Transmittal and Consent by the DTC participant identified in the Agent’s Message.</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used in this Letter of Transmittal and Consent, with respect to the tender procedures set forth herein, the term “registered holder” means any person in whose name Warrants are registered on the books of the Company or who is listed as a participant in a clearing agency’s security position listing with respect to the Warrants.</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OFFER AND CONSENT SOLICITATION IS NOT MADE TO THOSE HOLDERS WHO RESIDE IN STATES OR OTHER JURISDICTIONS WHERE AN OFFER, SOLICITATION OR SALE WOULD BE UNLAWFUL.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w:t>
      </w:r>
    </w:p>
    <w:p>
      <w:pPr>
        <w:spacing w:after="0" w:line="13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PLEASE SEE THE INSTRUCTIONS TO THIS LETTER OF TRANSMITTAL AND CONSENT BEGINNING ON PAGE 9 FOR THE PROPER USE AND DELIVERY OF THIS LETTER OF TRANSMITTAL AND CONSENT.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20"/>
          </w:cols>
          <w:pgMar w:left="820" w:top="1012" w:right="459" w:bottom="1440" w:gutter="0" w:footer="0" w:header="0"/>
        </w:sectPr>
      </w:pPr>
    </w:p>
    <w:bookmarkStart w:id="131" w:name="page132"/>
    <w:bookmarkEnd w:id="131"/>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 PLEASE READ THE</w:t>
      </w:r>
    </w:p>
    <w:p>
      <w:pPr>
        <w:spacing w:after="0" w:line="31"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ACCOMPANYING INSTRUCTIONS CAREFULLY.</w:t>
      </w:r>
    </w:p>
    <w:p>
      <w:pPr>
        <w:spacing w:after="0" w:line="15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c/o American Stock Transfer &amp; Trust Company, LLC, as Exchange Agent</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Attn: Reorganization Department</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153" w:lineRule="exact"/>
        <w:rPr>
          <w:sz w:val="20"/>
          <w:szCs w:val="20"/>
          <w:color w:val="auto"/>
        </w:rPr>
      </w:pPr>
    </w:p>
    <w:p>
      <w:pPr>
        <w:ind w:left="6" w:right="160"/>
        <w:spacing w:after="0" w:line="282" w:lineRule="auto"/>
        <w:rPr>
          <w:sz w:val="20"/>
          <w:szCs w:val="20"/>
          <w:color w:val="auto"/>
        </w:rPr>
      </w:pPr>
      <w:r>
        <w:rPr>
          <w:rFonts w:ascii="Times New Roman" w:cs="Times New Roman" w:eastAsia="Times New Roman" w:hAnsi="Times New Roman"/>
          <w:sz w:val="18"/>
          <w:szCs w:val="18"/>
          <w:color w:val="auto"/>
        </w:rPr>
        <w:t>Upon and subject to the terms and conditions set forth in the Prospectus/Offer to Exchange and in this Letter of Transmittal and Consent, receipt of which is hereby acknowledged, the undersigned hereby:</w:t>
      </w:r>
    </w:p>
    <w:p>
      <w:pPr>
        <w:spacing w:after="0" w:line="108" w:lineRule="exact"/>
        <w:rPr>
          <w:sz w:val="20"/>
          <w:szCs w:val="20"/>
          <w:color w:val="auto"/>
        </w:rPr>
      </w:pPr>
    </w:p>
    <w:p>
      <w:pPr>
        <w:ind w:left="486" w:hanging="486"/>
        <w:spacing w:after="0" w:line="282" w:lineRule="auto"/>
        <w:tabs>
          <w:tab w:leader="none" w:pos="35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tenders to the Company for exchange pursuant to the Offer and Consent Solicitation the number of Warrants indicated above under “Description of Warrants Tendered—Number of Warrants Tendered;”</w:t>
      </w:r>
    </w:p>
    <w:p>
      <w:pPr>
        <w:spacing w:after="0" w:line="107" w:lineRule="exact"/>
        <w:rPr>
          <w:rFonts w:ascii="Times New Roman" w:cs="Times New Roman" w:eastAsia="Times New Roman" w:hAnsi="Times New Roman"/>
          <w:sz w:val="18"/>
          <w:szCs w:val="18"/>
          <w:color w:val="auto"/>
        </w:rPr>
      </w:pPr>
    </w:p>
    <w:p>
      <w:pPr>
        <w:ind w:left="486" w:right="860" w:hanging="486"/>
        <w:spacing w:after="0" w:line="282" w:lineRule="auto"/>
        <w:tabs>
          <w:tab w:leader="none" w:pos="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subscribes for the Class A Common Stock issuable upon the exchange of such tendered Warrants pursuant to the Offer and Consent Solicitation, being 0.20 shares of Class A Common Stock for each Warrant so tendered for exchange; and</w:t>
      </w:r>
    </w:p>
    <w:p>
      <w:pPr>
        <w:spacing w:after="0" w:line="107" w:lineRule="exact"/>
        <w:rPr>
          <w:rFonts w:ascii="Times New Roman" w:cs="Times New Roman" w:eastAsia="Times New Roman" w:hAnsi="Times New Roman"/>
          <w:sz w:val="18"/>
          <w:szCs w:val="18"/>
          <w:color w:val="auto"/>
        </w:rPr>
      </w:pPr>
    </w:p>
    <w:p>
      <w:pPr>
        <w:ind w:left="486" w:right="980" w:hanging="486"/>
        <w:spacing w:after="0" w:line="282" w:lineRule="auto"/>
        <w:tabs>
          <w:tab w:leader="none" w:pos="45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indicated above under “Description of Warrants Tendered” include any Consent Warrants, consents to the Warrant Amendment.</w:t>
      </w:r>
    </w:p>
    <w:p>
      <w:pPr>
        <w:spacing w:after="0" w:line="108" w:lineRule="exact"/>
        <w:rPr>
          <w:sz w:val="20"/>
          <w:szCs w:val="20"/>
          <w:color w:val="auto"/>
        </w:rPr>
      </w:pPr>
    </w:p>
    <w:p>
      <w:pPr>
        <w:ind w:left="6" w:right="160"/>
        <w:spacing w:after="0" w:line="258" w:lineRule="auto"/>
        <w:rPr>
          <w:sz w:val="20"/>
          <w:szCs w:val="20"/>
          <w:color w:val="auto"/>
        </w:rPr>
      </w:pPr>
      <w:r>
        <w:rPr>
          <w:rFonts w:ascii="Times New Roman" w:cs="Times New Roman" w:eastAsia="Times New Roman" w:hAnsi="Times New Roman"/>
          <w:sz w:val="18"/>
          <w:szCs w:val="18"/>
          <w:color w:val="auto"/>
        </w:rPr>
        <w:t>Except as stated in the Prospectus/Offer to Exchange, the tender made hereby is irrevocable. The undersigned understands that this tender will remain in full force and effect unless and until such tender is withdrawn and revoked in accordance with the procedures set forth in the Prospectus/Offer to Exchange and this Letter of Transmittal and Consent. The undersigned understands that this tender may not be withdrawn after the Expiration Date, and that a notice of withdrawal will be effective only if delivered to the Exchange Agent in accordance with the specific withdrawal procedures set forth in the Prospectus/Offer to Exchange.</w:t>
      </w:r>
    </w:p>
    <w:p>
      <w:pPr>
        <w:spacing w:after="0" w:line="129" w:lineRule="exact"/>
        <w:rPr>
          <w:sz w:val="20"/>
          <w:szCs w:val="20"/>
          <w:color w:val="auto"/>
        </w:rPr>
      </w:pPr>
    </w:p>
    <w:p>
      <w:pPr>
        <w:jc w:val="both"/>
        <w:ind w:left="6" w:right="260"/>
        <w:spacing w:after="0" w:line="261" w:lineRule="auto"/>
        <w:rPr>
          <w:sz w:val="20"/>
          <w:szCs w:val="20"/>
          <w:color w:val="auto"/>
        </w:rPr>
      </w:pPr>
      <w:r>
        <w:rPr>
          <w:rFonts w:ascii="Times New Roman" w:cs="Times New Roman" w:eastAsia="Times New Roman" w:hAnsi="Times New Roman"/>
          <w:sz w:val="18"/>
          <w:szCs w:val="18"/>
          <w:color w:val="auto"/>
        </w:rPr>
        <w:t>If the undersigned holds Warrants for beneficial owners, the undersigned represents that it has received from each beneficial owner thereof a duly completed and executed form of “Instructions Form” in the form attached to the “Letter to Clients of Brokers, Dealers, Commercial Banks, Trust Companies and Other Nominees” which was sent to the undersigned by the Company with this Letter of Transmittal and Consent, instructing the undersigned to take the action described in this Letter of Transmittal and Consent.</w:t>
      </w:r>
    </w:p>
    <w:p>
      <w:pPr>
        <w:spacing w:after="0" w:line="126" w:lineRule="exact"/>
        <w:rPr>
          <w:sz w:val="20"/>
          <w:szCs w:val="20"/>
          <w:color w:val="auto"/>
        </w:rPr>
      </w:pPr>
    </w:p>
    <w:p>
      <w:pPr>
        <w:ind w:left="6" w:right="100"/>
        <w:spacing w:after="0" w:line="258" w:lineRule="auto"/>
        <w:rPr>
          <w:sz w:val="20"/>
          <w:szCs w:val="20"/>
          <w:color w:val="auto"/>
        </w:rPr>
      </w:pPr>
      <w:r>
        <w:rPr>
          <w:rFonts w:ascii="Times New Roman" w:cs="Times New Roman" w:eastAsia="Times New Roman" w:hAnsi="Times New Roman"/>
          <w:sz w:val="18"/>
          <w:szCs w:val="18"/>
          <w:color w:val="auto"/>
        </w:rPr>
        <w:t>If the undersigned is not the registered holder of the Warrants indicated under “Description of Warrants Tendered” above or such holder’s legal representative or attorney-in-fact (or, in the case of Warrants held through DTC, the DTC participant for whose account such Warrants are held), then the undersigned has obtained a properly completed irrevocable proxy that authorizes the undersigned (or the undersigned’s legal representative or attorney-in fact) to deliver a consent in respect of such Warrants on behalf of the holder thereof, and such proxy is being delivered to the Exchange Agent with this Letter of Transmittal and Consent.</w:t>
      </w:r>
    </w:p>
    <w:p>
      <w:pPr>
        <w:spacing w:after="0" w:line="129"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upon and subject to the terms and conditions set forth in the Prospectus/Offer to Exchange and this Letter of Transmittal and Consent, any Warrants properly tendered and not withdrawn which are accepted for exchange will be exchanged for shares of Class A Common Stock. The undersigned understands that, under certain circumstances, the Company may not be required to accept any of the Warrants tendered (including any Warrants tendered after the Expiration Date). If any Warrants are not accepted for exchange for any reason or if tendered Warrants are withdrawn, such unexchanged or withdrawn Warrants will be returned without expense to the tendering holder, if applicable, and, in the case of any consent warrants, the consent to the Warrant Amendment will be revoked.</w:t>
      </w:r>
    </w:p>
    <w:p>
      <w:pPr>
        <w:spacing w:after="0" w:line="133"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upon and subject to the terms and conditions set forth in the Prospectus/Offer to Exchange and this Letter of Transmittal and Consent, any Consent Warrants properly tendered and not validly withdrawn which are accepted for exchange constitute the holder’s validly delivered consent to the Warrant Amendment. A holder of Consent Warrants may not consent to the Warrant Amendment without tendering his or her Consent Warrants in the Offer and a holder of Consent Warrants may not tender his or her Consent Warrants without consenting to the Warrant Amendment. A holder may revoke his or her consent to the Warrant Amendment at any time prior to the Expiration Date by withdrawing the Consent Warrants he or she has tendered.</w:t>
      </w:r>
    </w:p>
    <w:p>
      <w:pPr>
        <w:spacing w:after="0" w:line="133" w:lineRule="exact"/>
        <w:rPr>
          <w:sz w:val="20"/>
          <w:szCs w:val="20"/>
          <w:color w:val="auto"/>
        </w:rPr>
      </w:pPr>
    </w:p>
    <w:p>
      <w:pPr>
        <w:ind w:left="6" w:right="240"/>
        <w:spacing w:after="0" w:line="282" w:lineRule="auto"/>
        <w:rPr>
          <w:sz w:val="20"/>
          <w:szCs w:val="20"/>
          <w:color w:val="auto"/>
        </w:rPr>
      </w:pPr>
      <w:r>
        <w:rPr>
          <w:rFonts w:ascii="Times New Roman" w:cs="Times New Roman" w:eastAsia="Times New Roman" w:hAnsi="Times New Roman"/>
          <w:sz w:val="18"/>
          <w:szCs w:val="18"/>
          <w:color w:val="auto"/>
        </w:rPr>
        <w:t>Subject to, and effective upon, the Company’s acceptance of the undersigned’s tender of Warrants for exchange pursuant to the Offer and Consent Solicitation as indicated under “Description of Warrants Tendered — Number of Warrants Tendered” above, the undersigned hereby:</w:t>
      </w:r>
    </w:p>
    <w:p>
      <w:pPr>
        <w:spacing w:after="0" w:line="108" w:lineRule="exact"/>
        <w:rPr>
          <w:sz w:val="20"/>
          <w:szCs w:val="20"/>
          <w:color w:val="auto"/>
        </w:rPr>
      </w:pPr>
    </w:p>
    <w:p>
      <w:pPr>
        <w:ind w:left="486" w:hanging="486"/>
        <w:spacing w:after="0" w:line="282" w:lineRule="auto"/>
        <w:tabs>
          <w:tab w:leader="none" w:pos="3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assigns and transfers to, or upon the order of, the Company, all right, title and interest in and to, and any and all claims in respect of or arising or having arisen as a result of the undersigned’s status as a holder of, such Warrants;</w:t>
      </w:r>
    </w:p>
    <w:p>
      <w:pPr>
        <w:sectPr>
          <w:pgSz w:w="11900" w:h="16838" w:orient="portrait"/>
          <w:cols w:equalWidth="0" w:num="1">
            <w:col w:w="10746"/>
          </w:cols>
          <w:pgMar w:left="814"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746"/>
          </w:cols>
          <w:pgMar w:left="814" w:top="1008" w:right="339" w:bottom="1440" w:gutter="0" w:footer="0" w:header="0"/>
          <w:type w:val="continuous"/>
        </w:sectPr>
      </w:pPr>
    </w:p>
    <w:bookmarkStart w:id="132" w:name="page133"/>
    <w:bookmarkEnd w:id="132"/>
    <w:p>
      <w:pPr>
        <w:ind w:left="406" w:hanging="406"/>
        <w:spacing w:after="0"/>
        <w:tabs>
          <w:tab w:leader="none" w:pos="4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and all rights with respect to such Warrants;</w:t>
      </w:r>
    </w:p>
    <w:p>
      <w:pPr>
        <w:spacing w:after="0" w:line="171" w:lineRule="exact"/>
        <w:rPr>
          <w:rFonts w:ascii="Times New Roman" w:cs="Times New Roman" w:eastAsia="Times New Roman" w:hAnsi="Times New Roman"/>
          <w:sz w:val="18"/>
          <w:szCs w:val="18"/>
          <w:color w:val="auto"/>
        </w:rPr>
      </w:pPr>
    </w:p>
    <w:p>
      <w:pPr>
        <w:ind w:left="486" w:hanging="486"/>
        <w:spacing w:after="0" w:line="282" w:lineRule="auto"/>
        <w:tabs>
          <w:tab w:leader="none" w:pos="51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and discharges the Company from any and all claims the undersigned may have now, or may have in the future, arising out of or related to such Warrants;</w:t>
      </w:r>
    </w:p>
    <w:p>
      <w:pPr>
        <w:spacing w:after="0" w:line="107" w:lineRule="exact"/>
        <w:rPr>
          <w:rFonts w:ascii="Times New Roman" w:cs="Times New Roman" w:eastAsia="Times New Roman" w:hAnsi="Times New Roman"/>
          <w:sz w:val="18"/>
          <w:szCs w:val="18"/>
          <w:color w:val="auto"/>
        </w:rPr>
      </w:pPr>
    </w:p>
    <w:p>
      <w:pPr>
        <w:ind w:left="486" w:hanging="486"/>
        <w:spacing w:after="0" w:line="282" w:lineRule="auto"/>
        <w:tabs>
          <w:tab w:leader="none" w:pos="5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Offer is discretionary and may be extended, modified, suspended or terminated by the Company as provided in the Prospectus/Offer to Exchange; and</w:t>
      </w:r>
    </w:p>
    <w:p>
      <w:pPr>
        <w:spacing w:after="0" w:line="107" w:lineRule="exact"/>
        <w:rPr>
          <w:rFonts w:ascii="Times New Roman" w:cs="Times New Roman" w:eastAsia="Times New Roman" w:hAnsi="Times New Roman"/>
          <w:sz w:val="18"/>
          <w:szCs w:val="18"/>
          <w:color w:val="auto"/>
        </w:rPr>
      </w:pPr>
    </w:p>
    <w:p>
      <w:pPr>
        <w:ind w:left="386" w:hanging="386"/>
        <w:spacing w:after="0"/>
        <w:tabs>
          <w:tab w:leader="none" w:pos="38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the future value of the Warrants is unknown and cannot be predicted with certainty.</w:t>
      </w:r>
    </w:p>
    <w:p>
      <w:pPr>
        <w:spacing w:after="0" w:line="171" w:lineRule="exact"/>
        <w:rPr>
          <w:sz w:val="20"/>
          <w:szCs w:val="20"/>
          <w:color w:val="auto"/>
        </w:rPr>
      </w:pPr>
    </w:p>
    <w:p>
      <w:pPr>
        <w:ind w:left="6" w:right="28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tenders of Warrants pursuant to any of the procedures described in the Prospectus/Offer to Exchange and in the instructions in this Letter of Transmittal and Consent, if and when accepted by the Company, will constitute a binding agreement between the undersigned and the Company upon the terms and subject to the conditions of the Offer and Consent Solicitation.</w:t>
      </w:r>
    </w:p>
    <w:p>
      <w:pPr>
        <w:spacing w:after="0" w:line="122" w:lineRule="exact"/>
        <w:rPr>
          <w:sz w:val="20"/>
          <w:szCs w:val="20"/>
          <w:color w:val="auto"/>
        </w:rPr>
      </w:pPr>
    </w:p>
    <w:p>
      <w:pPr>
        <w:ind w:left="6" w:right="280"/>
        <w:spacing w:after="0" w:line="266" w:lineRule="auto"/>
        <w:rPr>
          <w:sz w:val="20"/>
          <w:szCs w:val="20"/>
          <w:color w:val="auto"/>
        </w:rPr>
      </w:pPr>
      <w:r>
        <w:rPr>
          <w:rFonts w:ascii="Times New Roman" w:cs="Times New Roman" w:eastAsia="Times New Roman" w:hAnsi="Times New Roman"/>
          <w:sz w:val="18"/>
          <w:szCs w:val="18"/>
          <w:color w:val="auto"/>
        </w:rPr>
        <w:t>Effective upon acceptance for exchange, the undersigned hereby irrevocably constitutes and appoints the Exchange Agent, acting as agent for the Company, as the true and lawful agent and attorney-in-fact of the undersigned with respect to the Warrants tendered hereby, with full power of substitution (such power of attorney being deemed to be an irrevocable power coupled with an interest) to:</w:t>
      </w:r>
    </w:p>
    <w:p>
      <w:pPr>
        <w:spacing w:after="0" w:line="122" w:lineRule="exact"/>
        <w:rPr>
          <w:sz w:val="20"/>
          <w:szCs w:val="20"/>
          <w:color w:val="auto"/>
        </w:rPr>
      </w:pPr>
    </w:p>
    <w:p>
      <w:pPr>
        <w:ind w:left="486" w:right="580" w:hanging="486"/>
        <w:spacing w:after="0" w:line="282" w:lineRule="auto"/>
        <w:tabs>
          <w:tab w:leader="none" w:pos="3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ownership of such Warrants on the account books maintained by DTC together with all accompanying evidences of transfer and authenticity to or upon the order of the Company;</w:t>
      </w:r>
    </w:p>
    <w:p>
      <w:pPr>
        <w:spacing w:after="0" w:line="107" w:lineRule="exact"/>
        <w:rPr>
          <w:rFonts w:ascii="Times New Roman" w:cs="Times New Roman" w:eastAsia="Times New Roman" w:hAnsi="Times New Roman"/>
          <w:sz w:val="18"/>
          <w:szCs w:val="18"/>
          <w:color w:val="auto"/>
        </w:rPr>
      </w:pPr>
    </w:p>
    <w:p>
      <w:pPr>
        <w:ind w:left="406" w:hanging="406"/>
        <w:spacing w:after="0"/>
        <w:tabs>
          <w:tab w:leader="none" w:pos="4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such Warrants for transfer of ownership on the books of the Company;</w:t>
      </w:r>
    </w:p>
    <w:p>
      <w:pPr>
        <w:spacing w:after="0" w:line="171" w:lineRule="exact"/>
        <w:rPr>
          <w:rFonts w:ascii="Times New Roman" w:cs="Times New Roman" w:eastAsia="Times New Roman" w:hAnsi="Times New Roman"/>
          <w:sz w:val="18"/>
          <w:szCs w:val="18"/>
          <w:color w:val="auto"/>
        </w:rPr>
      </w:pPr>
    </w:p>
    <w:p>
      <w:pPr>
        <w:ind w:left="486" w:right="540" w:hanging="486"/>
        <w:spacing w:after="0" w:line="282" w:lineRule="auto"/>
        <w:tabs>
          <w:tab w:leader="none" w:pos="4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ownership of such Warrants to be transferred to, or upon the order of, the Company on the books of the Company or its agent and deliver all accompanying evidences of transfer and authenticity to, or upon the order of, the Company; and</w:t>
      </w:r>
    </w:p>
    <w:p>
      <w:pPr>
        <w:spacing w:after="0" w:line="107"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all benefits and otherwise exercise all rights of beneficial ownership of such Warrants;</w:t>
      </w:r>
    </w:p>
    <w:p>
      <w:pPr>
        <w:spacing w:after="0" w:line="171" w:lineRule="exact"/>
        <w:rPr>
          <w:sz w:val="20"/>
          <w:szCs w:val="20"/>
          <w:color w:val="auto"/>
        </w:rPr>
      </w:pPr>
    </w:p>
    <w:p>
      <w:pPr>
        <w:ind w:left="6" w:right="840"/>
        <w:spacing w:after="0" w:line="282" w:lineRule="auto"/>
        <w:rPr>
          <w:sz w:val="20"/>
          <w:szCs w:val="20"/>
          <w:color w:val="auto"/>
        </w:rPr>
      </w:pPr>
      <w:r>
        <w:rPr>
          <w:rFonts w:ascii="Times New Roman" w:cs="Times New Roman" w:eastAsia="Times New Roman" w:hAnsi="Times New Roman"/>
          <w:sz w:val="18"/>
          <w:szCs w:val="18"/>
          <w:color w:val="auto"/>
        </w:rPr>
        <w:t>all in accordance with the terms of the Offer and Consent Solicitation, as described in the Prospectus/Offer to Exchange and this Letter of Transmittal and Consent.</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undersigned hereby represents, warrants and agrees that:</w:t>
      </w:r>
    </w:p>
    <w:p>
      <w:pPr>
        <w:spacing w:after="0" w:line="171" w:lineRule="exact"/>
        <w:rPr>
          <w:sz w:val="20"/>
          <w:szCs w:val="20"/>
          <w:color w:val="auto"/>
        </w:rPr>
      </w:pPr>
    </w:p>
    <w:p>
      <w:pPr>
        <w:ind w:left="486" w:right="60" w:hanging="486"/>
        <w:spacing w:after="0" w:line="282" w:lineRule="auto"/>
        <w:tabs>
          <w:tab w:leader="none" w:pos="3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power and authority to tender the Warrants tendered hereby and to sell, exchange, assign and transfer all right, title and interest in and to such Warrants;</w:t>
      </w:r>
    </w:p>
    <w:p>
      <w:pPr>
        <w:spacing w:after="0" w:line="107" w:lineRule="exact"/>
        <w:rPr>
          <w:rFonts w:ascii="Times New Roman" w:cs="Times New Roman" w:eastAsia="Times New Roman" w:hAnsi="Times New Roman"/>
          <w:sz w:val="18"/>
          <w:szCs w:val="18"/>
          <w:color w:val="auto"/>
        </w:rPr>
      </w:pPr>
    </w:p>
    <w:p>
      <w:pPr>
        <w:ind w:left="486" w:right="340" w:hanging="486"/>
        <w:spacing w:after="0" w:line="282" w:lineRule="auto"/>
        <w:tabs>
          <w:tab w:leader="none" w:pos="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power and authority to subscribe for all of the shares of Class A Common Stock issuable pursuant to the Offer and Consent Solicitation in exchange for the Warrants tendered hereby;</w:t>
      </w:r>
    </w:p>
    <w:p>
      <w:pPr>
        <w:spacing w:after="0" w:line="107" w:lineRule="exact"/>
        <w:rPr>
          <w:rFonts w:ascii="Times New Roman" w:cs="Times New Roman" w:eastAsia="Times New Roman" w:hAnsi="Times New Roman"/>
          <w:sz w:val="18"/>
          <w:szCs w:val="18"/>
          <w:color w:val="auto"/>
        </w:rPr>
      </w:pPr>
    </w:p>
    <w:p>
      <w:pPr>
        <w:ind w:left="486" w:right="80" w:hanging="486"/>
        <w:spacing w:after="0" w:line="261" w:lineRule="auto"/>
        <w:tabs>
          <w:tab w:leader="none" w:pos="45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good, marketable and unencumbered title to the Warrants tendered hereby, and upon acceptance of such Warrants by the Company for exchange pursuant to the Offer and Consent Solicitation the Company will acquire good, marketable and unencumbered title to such Warrants, in each case free and clear of any security interests, liens, restrictions, charges, encumbrances, conditional sales agreements or other obligations of any kind, and not subject to any adverse claim;</w:t>
      </w:r>
    </w:p>
    <w:p>
      <w:pPr>
        <w:spacing w:after="0" w:line="125"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Warrants tendered hereby include Consent Warrants, the undersigned has full power and authority to consent to the Warrant Amendment;</w:t>
      </w:r>
    </w:p>
    <w:p>
      <w:pPr>
        <w:spacing w:after="0" w:line="182" w:lineRule="exact"/>
        <w:rPr>
          <w:rFonts w:ascii="Times New Roman" w:cs="Times New Roman" w:eastAsia="Times New Roman" w:hAnsi="Times New Roman"/>
          <w:sz w:val="17"/>
          <w:szCs w:val="17"/>
          <w:color w:val="auto"/>
        </w:rPr>
      </w:pPr>
    </w:p>
    <w:p>
      <w:pPr>
        <w:ind w:left="486" w:right="560" w:hanging="486"/>
        <w:spacing w:after="0" w:line="282" w:lineRule="auto"/>
        <w:tabs>
          <w:tab w:leader="none" w:pos="3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upon request, execute and deliver any additional documents deemed by the Company or the Exchange Agent to be necessary or desirable to complete and give effect to the transactions contemplated hereby;</w:t>
      </w:r>
    </w:p>
    <w:p>
      <w:pPr>
        <w:spacing w:after="0" w:line="107" w:lineRule="exact"/>
        <w:rPr>
          <w:rFonts w:ascii="Times New Roman" w:cs="Times New Roman" w:eastAsia="Times New Roman" w:hAnsi="Times New Roman"/>
          <w:sz w:val="18"/>
          <w:szCs w:val="18"/>
          <w:color w:val="auto"/>
        </w:rPr>
      </w:pPr>
    </w:p>
    <w:p>
      <w:pPr>
        <w:ind w:left="486" w:right="740" w:hanging="486"/>
        <w:spacing w:after="0" w:line="282" w:lineRule="auto"/>
        <w:tabs>
          <w:tab w:leader="none" w:pos="4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received and reviewed the Prospectus/Offer to Exchange, this Letter of Transmittal and Consent and the Warrant Amendment;</w:t>
      </w:r>
    </w:p>
    <w:p>
      <w:pPr>
        <w:spacing w:after="0" w:line="107" w:lineRule="exact"/>
        <w:rPr>
          <w:rFonts w:ascii="Times New Roman" w:cs="Times New Roman" w:eastAsia="Times New Roman" w:hAnsi="Times New Roman"/>
          <w:sz w:val="18"/>
          <w:szCs w:val="18"/>
          <w:color w:val="auto"/>
        </w:rPr>
      </w:pPr>
    </w:p>
    <w:p>
      <w:pPr>
        <w:ind w:left="486" w:right="100" w:hanging="486"/>
        <w:spacing w:after="0" w:line="261" w:lineRule="auto"/>
        <w:tabs>
          <w:tab w:leader="none" w:pos="4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 none of the Company, the information agent, the Exchange Agent, the dealer manager or any person acting on behalf of any of the foregoing has made any statement, representation or warranty, express or implied, to the undersigned with respect to the Company, the Offer and Consent Solicitation, the Warrants, or the Class A Common Stock, other than the information included in the Prospectus/Offer to Exchange (as amended or supplemented prior to the Expiration Date);</w:t>
      </w:r>
    </w:p>
    <w:p>
      <w:pPr>
        <w:spacing w:after="0" w:line="125" w:lineRule="exact"/>
        <w:rPr>
          <w:rFonts w:ascii="Times New Roman" w:cs="Times New Roman" w:eastAsia="Times New Roman" w:hAnsi="Times New Roman"/>
          <w:sz w:val="18"/>
          <w:szCs w:val="18"/>
          <w:color w:val="auto"/>
        </w:rPr>
      </w:pPr>
    </w:p>
    <w:p>
      <w:pPr>
        <w:ind w:left="486" w:right="640" w:hanging="486"/>
        <w:spacing w:after="0" w:line="282"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Prospectus/Offer to Exchange shall be deemed to be incorporated in, and form a part of, this Letter of Transmittal and Consent, which shall be read and construed accordingly;</w:t>
      </w:r>
    </w:p>
    <w:p>
      <w:pPr>
        <w:sectPr>
          <w:pgSz w:w="11900" w:h="16838" w:orient="portrait"/>
          <w:cols w:equalWidth="0" w:num="1">
            <w:col w:w="10746"/>
          </w:cols>
          <w:pgMar w:left="814"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746"/>
          </w:cols>
          <w:pgMar w:left="814" w:top="1012" w:right="339" w:bottom="1440" w:gutter="0" w:footer="0" w:header="0"/>
          <w:type w:val="continuous"/>
        </w:sectPr>
      </w:pPr>
    </w:p>
    <w:bookmarkStart w:id="133" w:name="page134"/>
    <w:bookmarkEnd w:id="133"/>
    <w:p>
      <w:pPr>
        <w:ind w:left="486" w:right="240" w:hanging="486"/>
        <w:spacing w:after="0" w:line="282" w:lineRule="auto"/>
        <w:tabs>
          <w:tab w:leader="none" w:pos="4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tenders of Warrants pursuant to the Offer and Consent Solicitation and in the instructions hereto constitute the undersigned’s acceptance of the terms and conditions of the Offer and Consent Solicitation;</w:t>
      </w:r>
    </w:p>
    <w:p>
      <w:pPr>
        <w:spacing w:after="0" w:line="107" w:lineRule="exact"/>
        <w:rPr>
          <w:rFonts w:ascii="Times New Roman" w:cs="Times New Roman" w:eastAsia="Times New Roman" w:hAnsi="Times New Roman"/>
          <w:sz w:val="18"/>
          <w:szCs w:val="18"/>
          <w:color w:val="auto"/>
        </w:rPr>
      </w:pPr>
    </w:p>
    <w:p>
      <w:pPr>
        <w:ind w:left="386" w:hanging="386"/>
        <w:spacing w:after="0"/>
        <w:tabs>
          <w:tab w:leader="none" w:pos="38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voluntarily participating in the Offer; and</w:t>
      </w:r>
    </w:p>
    <w:p>
      <w:pPr>
        <w:spacing w:after="0" w:line="171"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all of the terms of the Offer and Consent Solicitation.</w:t>
      </w:r>
    </w:p>
    <w:p>
      <w:pPr>
        <w:spacing w:after="0" w:line="171" w:lineRule="exact"/>
        <w:rPr>
          <w:sz w:val="20"/>
          <w:szCs w:val="20"/>
          <w:color w:val="auto"/>
        </w:rPr>
      </w:pPr>
    </w:p>
    <w:p>
      <w:pPr>
        <w:ind w:left="6" w:right="60"/>
        <w:spacing w:after="0" w:line="258" w:lineRule="auto"/>
        <w:rPr>
          <w:sz w:val="20"/>
          <w:szCs w:val="20"/>
          <w:color w:val="auto"/>
        </w:rPr>
      </w:pPr>
      <w:r>
        <w:rPr>
          <w:rFonts w:ascii="Times New Roman" w:cs="Times New Roman" w:eastAsia="Times New Roman" w:hAnsi="Times New Roman"/>
          <w:sz w:val="18"/>
          <w:szCs w:val="18"/>
          <w:color w:val="auto"/>
        </w:rPr>
        <w:t>Unless otherwise indicated under “Special Issuance Instructions” below, the Company will issue in the name(s) of the undersigned as indicated under “Description of Warrants Tendered” above, shares of Class A Common Stock to which the undersigned is entitled pursuant to the terms of the Offer and Consent Solicitation in respect of the Warrants tendered and exchanged pursuant to this Letter of Transmittal and Consent. If the “Special Issuance Instructions” below are completed, the Company will issue such shares of Class A Common Stock in the name of (and pay cash in lieu of any fractional shares to) the person or account indicated under “Special Issuance Instructions.”</w:t>
      </w:r>
    </w:p>
    <w:p>
      <w:pPr>
        <w:spacing w:after="0" w:line="129" w:lineRule="exact"/>
        <w:rPr>
          <w:sz w:val="20"/>
          <w:szCs w:val="20"/>
          <w:color w:val="auto"/>
        </w:rPr>
      </w:pPr>
    </w:p>
    <w:p>
      <w:pPr>
        <w:ind w:left="6" w:right="120"/>
        <w:spacing w:after="0" w:line="266" w:lineRule="auto"/>
        <w:rPr>
          <w:sz w:val="20"/>
          <w:szCs w:val="20"/>
          <w:color w:val="auto"/>
        </w:rPr>
      </w:pPr>
      <w:r>
        <w:rPr>
          <w:rFonts w:ascii="Times New Roman" w:cs="Times New Roman" w:eastAsia="Times New Roman" w:hAnsi="Times New Roman"/>
          <w:sz w:val="18"/>
          <w:szCs w:val="18"/>
          <w:color w:val="auto"/>
        </w:rPr>
        <w:t>The undersigned agrees that the Company has no obligation under the “Special Issuance Instructions” provision of this Letter of Transmittal and Consent to effect the transfer of any Warrants from the holder(s) thereof if the Company does not accept for exchange any of the Warrants tendered pursuant to this Letter of Transmittal and Consent.</w:t>
      </w:r>
    </w:p>
    <w:p>
      <w:pPr>
        <w:spacing w:after="0" w:line="122" w:lineRule="exact"/>
        <w:rPr>
          <w:sz w:val="20"/>
          <w:szCs w:val="20"/>
          <w:color w:val="auto"/>
        </w:rPr>
      </w:pPr>
    </w:p>
    <w:p>
      <w:pPr>
        <w:ind w:left="6"/>
        <w:spacing w:after="0" w:line="258" w:lineRule="auto"/>
        <w:rPr>
          <w:sz w:val="20"/>
          <w:szCs w:val="20"/>
          <w:color w:val="auto"/>
        </w:rPr>
      </w:pPr>
      <w:r>
        <w:rPr>
          <w:rFonts w:ascii="Times New Roman" w:cs="Times New Roman" w:eastAsia="Times New Roman" w:hAnsi="Times New Roman"/>
          <w:sz w:val="18"/>
          <w:szCs w:val="18"/>
          <w:color w:val="auto"/>
        </w:rPr>
        <w:t>The acknowledgments, representations, warranties and agreements of the undersigned in this Letter of Transmittal and Consent will be deemed to be automatically repeated and reconfirmed on and as of each of the Expiration Date and completion of the Offer and Consent Solicitation. The authority conferred or agreed to be conferred in this Letter of Transmittal and Consent shall not be affected by, and shall survive, the death or incapacity of the undersigned, and every obligation of the undersigned under this Letter of Transmittal and Consent shall be binding upon the heirs, executors, administrators, trustees in bankruptcy, personal and legal representatives, successors and assigns of the undersigned.</w:t>
      </w:r>
    </w:p>
    <w:p>
      <w:pPr>
        <w:spacing w:after="0" w:line="129" w:lineRule="exact"/>
        <w:rPr>
          <w:sz w:val="20"/>
          <w:szCs w:val="20"/>
          <w:color w:val="auto"/>
        </w:rPr>
      </w:pPr>
    </w:p>
    <w:p>
      <w:pPr>
        <w:ind w:left="6" w:right="600"/>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the undersigned has been advised to consult with its own legal counsel and other advisors (including tax advisors) as to the consequences of participating or not participating in the Offer and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97155</wp:posOffset>
            </wp:positionV>
            <wp:extent cx="6515100" cy="1731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6515100" cy="1731645"/>
                    </a:xfrm>
                    <a:prstGeom prst="rect">
                      <a:avLst/>
                    </a:prstGeom>
                    <a:noFill/>
                  </pic:spPr>
                </pic:pic>
              </a:graphicData>
            </a:graphic>
          </wp:anchor>
        </w:drawing>
      </w:r>
    </w:p>
    <w:p>
      <w:pPr>
        <w:spacing w:after="0" w:line="151" w:lineRule="exact"/>
        <w:rPr>
          <w:sz w:val="20"/>
          <w:szCs w:val="20"/>
          <w:color w:val="auto"/>
        </w:rPr>
      </w:pPr>
    </w:p>
    <w:p>
      <w:pPr>
        <w:ind w:left="3546"/>
        <w:spacing w:after="0"/>
        <w:rPr>
          <w:sz w:val="20"/>
          <w:szCs w:val="20"/>
          <w:color w:val="auto"/>
        </w:rPr>
      </w:pPr>
      <w:r>
        <w:rPr>
          <w:rFonts w:ascii="Times New Roman" w:cs="Times New Roman" w:eastAsia="Times New Roman" w:hAnsi="Times New Roman"/>
          <w:sz w:val="18"/>
          <w:szCs w:val="18"/>
          <w:b w:val="1"/>
          <w:bCs w:val="1"/>
          <w:color w:val="auto"/>
        </w:rPr>
        <w:t>SPECIAL ISSUANCE INSTRUCTIONS</w:t>
      </w:r>
    </w:p>
    <w:p>
      <w:pPr>
        <w:ind w:left="3646"/>
        <w:spacing w:after="0" w:line="210" w:lineRule="auto"/>
        <w:rPr>
          <w:sz w:val="20"/>
          <w:szCs w:val="20"/>
          <w:color w:val="auto"/>
        </w:rPr>
      </w:pPr>
      <w:r>
        <w:rPr>
          <w:rFonts w:ascii="Times New Roman" w:cs="Times New Roman" w:eastAsia="Times New Roman" w:hAnsi="Times New Roman"/>
          <w:sz w:val="18"/>
          <w:szCs w:val="18"/>
          <w:b w:val="1"/>
          <w:bCs w:val="1"/>
          <w:color w:val="auto"/>
        </w:rPr>
        <w:t>(SEE INSTRUCTIONS, INCLUDING</w:t>
      </w:r>
    </w:p>
    <w:p>
      <w:pPr>
        <w:ind w:left="3966"/>
        <w:spacing w:after="0"/>
        <w:rPr>
          <w:sz w:val="20"/>
          <w:szCs w:val="20"/>
          <w:color w:val="auto"/>
        </w:rPr>
      </w:pPr>
      <w:r>
        <w:rPr>
          <w:rFonts w:ascii="Times New Roman" w:cs="Times New Roman" w:eastAsia="Times New Roman" w:hAnsi="Times New Roman"/>
          <w:sz w:val="18"/>
          <w:szCs w:val="18"/>
          <w:b w:val="1"/>
          <w:bCs w:val="1"/>
          <w:color w:val="auto"/>
        </w:rPr>
        <w:t>INSTRUCTIONS 3, 4 AND 5)</w:t>
      </w:r>
    </w:p>
    <w:p>
      <w:pPr>
        <w:spacing w:after="0" w:line="5"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8"/>
          <w:szCs w:val="18"/>
          <w:color w:val="auto"/>
        </w:rPr>
        <w:t>To be completed ONLY if the shares of Class A Common Stock issued pursuant to the Offer and Consent Solicitation in exchange for</w:t>
      </w:r>
    </w:p>
    <w:p>
      <w:pPr>
        <w:ind w:left="26" w:right="600"/>
        <w:spacing w:after="0" w:line="218" w:lineRule="auto"/>
        <w:rPr>
          <w:sz w:val="20"/>
          <w:szCs w:val="20"/>
          <w:color w:val="auto"/>
        </w:rPr>
      </w:pPr>
      <w:r>
        <w:rPr>
          <w:rFonts w:ascii="Times New Roman" w:cs="Times New Roman" w:eastAsia="Times New Roman" w:hAnsi="Times New Roman"/>
          <w:sz w:val="18"/>
          <w:szCs w:val="18"/>
          <w:color w:val="auto"/>
        </w:rPr>
        <w:t>Warrants tendered hereby and any Warrants delivered to the Exchange Agent herewith but not tendered and exchanged pursuant to the Offer and Consent Solicitation, are to be issued in the name of someone other than the undersigned. Issue all such shares of Class A Common Stock and untendered Warrants to:</w:t>
      </w:r>
    </w:p>
    <w:p>
      <w:pPr>
        <w:spacing w:after="0" w:line="266"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p>
    <w:p>
      <w:pPr>
        <w:ind w:left="3986"/>
        <w:spacing w:after="0"/>
        <w:rPr>
          <w:sz w:val="20"/>
          <w:szCs w:val="20"/>
          <w:color w:val="auto"/>
        </w:rPr>
      </w:pPr>
      <w:r>
        <w:rPr>
          <w:rFonts w:ascii="Times New Roman" w:cs="Times New Roman" w:eastAsia="Times New Roman" w:hAnsi="Times New Roman"/>
          <w:sz w:val="18"/>
          <w:szCs w:val="18"/>
          <w:b w:val="1"/>
          <w:bCs w:val="1"/>
          <w:color w:val="auto"/>
        </w:rPr>
        <w:t>(PLEASE PRINT OR TYPE)</w:t>
      </w:r>
    </w:p>
    <w:p>
      <w:pPr>
        <w:ind w:left="4186"/>
        <w:spacing w:after="0" w:line="203" w:lineRule="auto"/>
        <w:rPr>
          <w:sz w:val="20"/>
          <w:szCs w:val="20"/>
          <w:color w:val="auto"/>
        </w:rPr>
      </w:pPr>
      <w:r>
        <w:rPr>
          <w:rFonts w:ascii="Times New Roman" w:cs="Times New Roman" w:eastAsia="Times New Roman" w:hAnsi="Times New Roman"/>
          <w:sz w:val="18"/>
          <w:szCs w:val="18"/>
          <w:b w:val="1"/>
          <w:bCs w:val="1"/>
          <w:color w:val="auto"/>
        </w:rPr>
        <w:t>(INCLUDE ZIP CODE)</w:t>
      </w:r>
    </w:p>
    <w:p>
      <w:pPr>
        <w:ind w:left="2646"/>
        <w:spacing w:after="0"/>
        <w:rPr>
          <w:sz w:val="20"/>
          <w:szCs w:val="20"/>
          <w:color w:val="auto"/>
        </w:rPr>
      </w:pPr>
      <w:r>
        <w:rPr>
          <w:rFonts w:ascii="Times New Roman" w:cs="Times New Roman" w:eastAsia="Times New Roman" w:hAnsi="Times New Roman"/>
          <w:sz w:val="18"/>
          <w:szCs w:val="18"/>
          <w:b w:val="1"/>
          <w:bCs w:val="1"/>
          <w:color w:val="auto"/>
        </w:rPr>
        <w:t>(TAX IDENTIFICATION OR SOCIAL SECURITY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726"/>
          </w:cols>
          <w:pgMar w:left="814" w:top="1012" w:right="359" w:bottom="1440" w:gutter="0" w:footer="0" w:header="0"/>
        </w:sectPr>
      </w:pPr>
    </w:p>
    <w:bookmarkStart w:id="134" w:name="page135"/>
    <w:bookmarkEnd w:id="134"/>
    <w:p>
      <w:pPr>
        <w:ind w:left="3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508000</wp:posOffset>
            </wp:positionH>
            <wp:positionV relativeFrom="page">
              <wp:posOffset>671830</wp:posOffset>
            </wp:positionV>
            <wp:extent cx="6515100" cy="5057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6515100" cy="5057775"/>
                    </a:xfrm>
                    <a:prstGeom prst="rect">
                      <a:avLst/>
                    </a:prstGeom>
                    <a:noFill/>
                  </pic:spPr>
                </pic:pic>
              </a:graphicData>
            </a:graphic>
          </wp:anchor>
        </w:drawing>
        <w:t>IMPORTANT: PLEASE SIGN HERE</w:t>
      </w:r>
    </w:p>
    <w:p>
      <w:pPr>
        <w:ind w:left="1560"/>
        <w:spacing w:after="0" w:line="210" w:lineRule="auto"/>
        <w:rPr>
          <w:sz w:val="20"/>
          <w:szCs w:val="20"/>
          <w:color w:val="auto"/>
        </w:rPr>
      </w:pPr>
      <w:r>
        <w:rPr>
          <w:rFonts w:ascii="Times New Roman" w:cs="Times New Roman" w:eastAsia="Times New Roman" w:hAnsi="Times New Roman"/>
          <w:sz w:val="18"/>
          <w:szCs w:val="18"/>
          <w:b w:val="1"/>
          <w:bCs w:val="1"/>
          <w:color w:val="auto"/>
        </w:rPr>
        <w:t>(SEE INSTRUCTIONS AND ALSO COMPLETE ACCOMPANYING IRS FORM W-9 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APPROPRIATE IRS FORM W-8)</w:t>
      </w:r>
    </w:p>
    <w:p>
      <w:pPr>
        <w:spacing w:after="0" w:line="2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By completing, executing and delivering this Letter of Transmittal and Consent, the undersigned hereby tenders the Warrants indicated in the table above entitled “Description of Warrants Tendered.”</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REQUIRED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Registered Holder(s) of Warrants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lines must be signed by the registered holder(s) of Warrants as the name(s) appear(s) on the Warrants or on a security position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listing, or by person(s) authorized to become registered holder(s) by a properly completed assignment from the registered holder(s), a copy of which must be transmitted with this Letter of Transmittal and Consent. If Warrants to which this Letter of Transmittal and Consent relates are held of record by two or more joint holders, then all such holders must sign this Letter of Transmittal and Consent. If signature is by a</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trustee, executor, administrator, guardian, attorney-in-fact, officer of a corporation, or other person acting in a fiduciary or representative capacity, then such person must set forth his or her full title below and, unless waived by the Company, submit evidence satisfactory to the Company of such person’s authority so to act. See Instruction 3 regarding the completion and execution of this Letter of Transmittal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89"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(PLEASE PRINT OR TYPE)</w:t>
      </w:r>
    </w:p>
    <w:p>
      <w:pPr>
        <w:spacing w:after="0" w:line="6" w:lineRule="exact"/>
        <w:rPr>
          <w:sz w:val="20"/>
          <w:szCs w:val="20"/>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227330</wp:posOffset>
            </wp:positionV>
            <wp:extent cx="6515100" cy="1783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6515100" cy="1783080"/>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SIGNATURE(S) (IF REQUIRED)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INCLUDING INSTRUCTION 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signatures must be guaranteed by Eligible Institution.</w:t>
      </w:r>
    </w:p>
    <w:p>
      <w:pPr>
        <w:spacing w:after="0"/>
        <w:rPr>
          <w:sz w:val="20"/>
          <w:szCs w:val="20"/>
          <w:color w:val="auto"/>
        </w:rPr>
      </w:pPr>
      <w:r>
        <w:rPr>
          <w:rFonts w:ascii="Times New Roman" w:cs="Times New Roman" w:eastAsia="Times New Roman" w:hAnsi="Times New Roman"/>
          <w:sz w:val="18"/>
          <w:szCs w:val="18"/>
          <w:color w:val="auto"/>
        </w:rPr>
        <w:t>Signature(s) guaranteed by an Eligible Institution: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Firm</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Including Zip Code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Area Code and Telephone Number</w:t>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60"/>
          </w:cols>
          <w:pgMar w:left="840" w:top="1076" w:right="899" w:bottom="1440" w:gutter="0" w:footer="0" w:header="0"/>
        </w:sectPr>
      </w:pPr>
    </w:p>
    <w:bookmarkStart w:id="135" w:name="page136"/>
    <w:bookmarkEnd w:id="135"/>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 AND</w:t>
      </w:r>
    </w:p>
    <w:p>
      <w:pPr>
        <w:spacing w:after="0" w:line="9"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95" w:lineRule="exact"/>
        <w:rPr>
          <w:sz w:val="20"/>
          <w:szCs w:val="20"/>
          <w:color w:val="auto"/>
        </w:rPr>
      </w:pPr>
    </w:p>
    <w:p>
      <w:pPr>
        <w:ind w:left="6" w:hanging="6"/>
        <w:spacing w:after="0" w:line="268" w:lineRule="auto"/>
        <w:tabs>
          <w:tab w:leader="none" w:pos="186"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Delivery of Letter of Transmittal and Consent and Warrants. </w:t>
      </w:r>
      <w:r>
        <w:rPr>
          <w:rFonts w:ascii="Times New Roman" w:cs="Times New Roman" w:eastAsia="Times New Roman" w:hAnsi="Times New Roman"/>
          <w:sz w:val="18"/>
          <w:szCs w:val="18"/>
          <w:color w:val="auto"/>
        </w:rPr>
        <w:t>This Letter of Transmittal and Consent is to be used only if tenders of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to be made by book-entry transfer to the Exchange Agent’s account at DTC and instructions are not being transmitted through ATOP with respect to such tenders.</w:t>
      </w:r>
    </w:p>
    <w:p>
      <w:pPr>
        <w:spacing w:after="0" w:line="67" w:lineRule="exact"/>
        <w:rPr>
          <w:sz w:val="20"/>
          <w:szCs w:val="20"/>
          <w:color w:val="auto"/>
        </w:rPr>
      </w:pPr>
    </w:p>
    <w:p>
      <w:pPr>
        <w:ind w:left="6" w:right="200"/>
        <w:spacing w:after="0" w:line="266" w:lineRule="auto"/>
        <w:rPr>
          <w:sz w:val="20"/>
          <w:szCs w:val="20"/>
          <w:color w:val="auto"/>
        </w:rPr>
      </w:pPr>
      <w:r>
        <w:rPr>
          <w:rFonts w:ascii="Times New Roman" w:cs="Times New Roman" w:eastAsia="Times New Roman" w:hAnsi="Times New Roman"/>
          <w:sz w:val="18"/>
          <w:szCs w:val="18"/>
          <w:color w:val="auto"/>
        </w:rPr>
        <w:t xml:space="preserve">Warrants may be validly tendered pursuant to the procedures for book-entry transfer as described in the Prospectus/Offer to Exchange. In order for Warrants to be validly tendered by book-entry transfer, the Exchange Agent must </w:t>
      </w:r>
      <w:r>
        <w:rPr>
          <w:rFonts w:ascii="Times New Roman" w:cs="Times New Roman" w:eastAsia="Times New Roman" w:hAnsi="Times New Roman"/>
          <w:sz w:val="18"/>
          <w:szCs w:val="18"/>
          <w:b w:val="1"/>
          <w:bCs w:val="1"/>
          <w:i w:val="1"/>
          <w:iCs w:val="1"/>
          <w:color w:val="auto"/>
        </w:rPr>
        <w:t>receive</w:t>
      </w:r>
      <w:r>
        <w:rPr>
          <w:rFonts w:ascii="Times New Roman" w:cs="Times New Roman" w:eastAsia="Times New Roman" w:hAnsi="Times New Roman"/>
          <w:sz w:val="18"/>
          <w:szCs w:val="18"/>
          <w:color w:val="auto"/>
        </w:rPr>
        <w:t xml:space="preserve"> the following prior to the Expiration Date, except as otherwise permitted by use of the procedures for guaranteed delivery as described below:</w:t>
      </w:r>
    </w:p>
    <w:p>
      <w:pPr>
        <w:spacing w:after="0" w:line="68" w:lineRule="exact"/>
        <w:rPr>
          <w:sz w:val="20"/>
          <w:szCs w:val="20"/>
          <w:color w:val="auto"/>
        </w:rPr>
      </w:pPr>
    </w:p>
    <w:p>
      <w:pPr>
        <w:ind w:left="346" w:hanging="346"/>
        <w:spacing w:after="0"/>
        <w:tabs>
          <w:tab w:leader="none" w:pos="3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confirmation of the transfer of such Warrants to the Exchange Agent’s account at DTC (a “Book-Entry Confirmation”);</w:t>
      </w:r>
    </w:p>
    <w:p>
      <w:pPr>
        <w:spacing w:after="0" w:line="117" w:lineRule="exact"/>
        <w:rPr>
          <w:rFonts w:ascii="Times New Roman" w:cs="Times New Roman" w:eastAsia="Times New Roman" w:hAnsi="Times New Roman"/>
          <w:sz w:val="18"/>
          <w:szCs w:val="18"/>
          <w:color w:val="auto"/>
        </w:rPr>
      </w:pPr>
    </w:p>
    <w:p>
      <w:pPr>
        <w:ind w:left="486" w:hanging="486"/>
        <w:spacing w:after="0" w:line="282" w:lineRule="auto"/>
        <w:tabs>
          <w:tab w:leader="none" w:pos="41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properly completed and duly executed Letter of Transmittal and Consent, or a properly transmitted “Agent’s Message” if the tendering Warrant Holder has not delivered a Letter of Transmittal and Consent; and</w:t>
      </w:r>
    </w:p>
    <w:p>
      <w:pPr>
        <w:spacing w:after="0" w:line="53"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documents required by this Letter of Transmittal and Consent.</w:t>
      </w:r>
    </w:p>
    <w:p>
      <w:pPr>
        <w:spacing w:after="0" w:line="117" w:lineRule="exact"/>
        <w:rPr>
          <w:sz w:val="20"/>
          <w:szCs w:val="20"/>
          <w:color w:val="auto"/>
        </w:rPr>
      </w:pPr>
    </w:p>
    <w:p>
      <w:pPr>
        <w:ind w:left="6" w:right="140"/>
        <w:spacing w:after="0" w:line="258"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exchanging the Warrants that such participant has received and agrees to be bound by the terms of the Letter of Transmittal and Consent and that the Company may enforce such agreement against the participant. If you are tendering by book-entry transfer, you must expressly acknowledge that you have received and agree to be bound by the Letter of Transmittal and Consent and that the Letter of Transmittal and Consent may be enforced against you.</w:t>
      </w:r>
    </w:p>
    <w:p>
      <w:pPr>
        <w:spacing w:after="0" w:line="75" w:lineRule="exact"/>
        <w:rPr>
          <w:sz w:val="20"/>
          <w:szCs w:val="20"/>
          <w:color w:val="auto"/>
        </w:rPr>
      </w:pPr>
    </w:p>
    <w:p>
      <w:pPr>
        <w:ind w:left="6" w:right="480"/>
        <w:spacing w:after="0" w:line="282" w:lineRule="auto"/>
        <w:rPr>
          <w:sz w:val="20"/>
          <w:szCs w:val="20"/>
          <w:color w:val="auto"/>
        </w:rPr>
      </w:pPr>
      <w:r>
        <w:rPr>
          <w:rFonts w:ascii="Times New Roman" w:cs="Times New Roman" w:eastAsia="Times New Roman" w:hAnsi="Times New Roman"/>
          <w:sz w:val="18"/>
          <w:szCs w:val="18"/>
          <w:color w:val="auto"/>
        </w:rPr>
        <w:t>Delivery of a Letter of Transmittal and Consent to the Company or DTC will not constitute valid delivery to the Exchange Agent. No Letter of Transmittal and Consent should be sent to the Company or DTC.</w:t>
      </w:r>
    </w:p>
    <w:p>
      <w:pPr>
        <w:spacing w:after="0" w:line="50" w:lineRule="exact"/>
        <w:rPr>
          <w:sz w:val="20"/>
          <w:szCs w:val="20"/>
          <w:color w:val="auto"/>
        </w:rPr>
      </w:pPr>
    </w:p>
    <w:p>
      <w:pPr>
        <w:ind w:left="6" w:right="100"/>
        <w:spacing w:after="0" w:line="255" w:lineRule="auto"/>
        <w:rPr>
          <w:sz w:val="20"/>
          <w:szCs w:val="20"/>
          <w:color w:val="auto"/>
        </w:rPr>
      </w:pPr>
      <w:r>
        <w:rPr>
          <w:rFonts w:ascii="Times New Roman" w:cs="Times New Roman" w:eastAsia="Times New Roman" w:hAnsi="Times New Roman"/>
          <w:sz w:val="18"/>
          <w:szCs w:val="18"/>
          <w:b w:val="1"/>
          <w:bCs w:val="1"/>
          <w:color w:val="auto"/>
        </w:rPr>
        <w:t>THE METHOD OF DELIVERY OF THIS LETTER OF TRANSMITTAL AND CONSENT, TENDERED WARRANTS AND ALL OTHER REQUIRED DOCUMENTS, INCLUDING DELIVERY THROUGH DTC AND ANY ACCEPTANCE OR AGENT’S MESSAGE DELIVERED THROUGH ATOP, IS AT THE OPTION AND RISK OF THE TENDERING WARRANT HOLDER, AND EXCEPT AS OTHERWISE PROVIDED IN THESE INSTRUCTIONS, THE DELIVERY WILL BE DEEMED MADE ONLY WHEN ACTUALLY RECEIVED BY THE EXCHANGE AGENT. IF DELIVERY IS BY MAIL, REGISTERED MAIL WITH RETURN RECEIPT REQUESTED, PROPERLY INSURED, IS RECOMMENDED. THE WARRANT HOLDER HAS THE RESPONSIBILITY TO CAUSE THIS LETTER OF TRANSMITTAL AND CONSENT, THE TENDERED WARRANTS AND ANY OTHER DOCUMENTS TO BE TIMELY DELIVERED. IN ALL CASES, SUFFICIENT TIME SHOULD BE ALLOWED TO ENSURE TIMELY DELIVERY.</w:t>
      </w:r>
    </w:p>
    <w:p>
      <w:pPr>
        <w:spacing w:after="0" w:line="81" w:lineRule="exact"/>
        <w:rPr>
          <w:sz w:val="20"/>
          <w:szCs w:val="20"/>
          <w:color w:val="auto"/>
        </w:rPr>
      </w:pPr>
    </w:p>
    <w:p>
      <w:pPr>
        <w:ind w:left="6" w:right="500"/>
        <w:spacing w:after="0" w:line="282" w:lineRule="auto"/>
        <w:rPr>
          <w:sz w:val="20"/>
          <w:szCs w:val="20"/>
          <w:color w:val="auto"/>
        </w:rPr>
      </w:pPr>
      <w:r>
        <w:rPr>
          <w:rFonts w:ascii="Times New Roman" w:cs="Times New Roman" w:eastAsia="Times New Roman" w:hAnsi="Times New Roman"/>
          <w:sz w:val="18"/>
          <w:szCs w:val="18"/>
          <w:color w:val="auto"/>
        </w:rPr>
        <w:t>Neither the Company nor the Exchange Agent is under any obligation to notify any tendering holder of the Company’s acceptance of tendered Warrants.</w:t>
      </w:r>
    </w:p>
    <w:p>
      <w:pPr>
        <w:spacing w:after="0" w:line="50" w:lineRule="exact"/>
        <w:rPr>
          <w:sz w:val="20"/>
          <w:szCs w:val="20"/>
          <w:color w:val="auto"/>
        </w:rPr>
      </w:pPr>
    </w:p>
    <w:p>
      <w:pPr>
        <w:ind w:left="6" w:right="120" w:hanging="6"/>
        <w:spacing w:after="0" w:line="268" w:lineRule="auto"/>
        <w:tabs>
          <w:tab w:leader="none" w:pos="18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Guaranteed Delivery. </w:t>
      </w:r>
      <w:r>
        <w:rPr>
          <w:rFonts w:ascii="Times New Roman" w:cs="Times New Roman" w:eastAsia="Times New Roman" w:hAnsi="Times New Roman"/>
          <w:sz w:val="18"/>
          <w:szCs w:val="18"/>
          <w:color w:val="auto"/>
        </w:rPr>
        <w:t>Warrant Holders desiring to tender Warrants pursuant to the Offer but whose Warrants cannot otherwise be delivered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required documents to the Exchange Agent prior to the Expiration Date may nevertheless tender Warrants, as long as all of the following conditions are satisfied:</w:t>
      </w:r>
    </w:p>
    <w:p>
      <w:pPr>
        <w:spacing w:after="0" w:line="67" w:lineRule="exact"/>
        <w:rPr>
          <w:sz w:val="20"/>
          <w:szCs w:val="20"/>
          <w:color w:val="auto"/>
        </w:rPr>
      </w:pPr>
    </w:p>
    <w:p>
      <w:pPr>
        <w:ind w:left="346" w:hanging="346"/>
        <w:spacing w:after="0"/>
        <w:tabs>
          <w:tab w:leader="none" w:pos="3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must be made by or through an “Eligible Institution” (as defined in Instruction 4);</w:t>
      </w:r>
    </w:p>
    <w:p>
      <w:pPr>
        <w:spacing w:after="0" w:line="117" w:lineRule="exact"/>
        <w:rPr>
          <w:rFonts w:ascii="Times New Roman" w:cs="Times New Roman" w:eastAsia="Times New Roman" w:hAnsi="Times New Roman"/>
          <w:sz w:val="18"/>
          <w:szCs w:val="18"/>
          <w:color w:val="auto"/>
        </w:rPr>
      </w:pPr>
    </w:p>
    <w:p>
      <w:pPr>
        <w:ind w:left="486" w:right="40" w:hanging="486"/>
        <w:spacing w:after="0" w:line="266" w:lineRule="auto"/>
        <w:tabs>
          <w:tab w:leader="none" w:pos="4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completed and duly executed Notice of Guaranteed Delivery in the form provided by the Company to the undersigned with this Letter of Transmittal and Consent (with any required signature guarantees) must be received by the Exchange Agent, at its address set forth in this Letter of Transmittal and Consent, prior to the Expiration Date; and</w:t>
      </w:r>
    </w:p>
    <w:p>
      <w:pPr>
        <w:spacing w:after="0" w:line="67" w:lineRule="exact"/>
        <w:rPr>
          <w:rFonts w:ascii="Times New Roman" w:cs="Times New Roman" w:eastAsia="Times New Roman" w:hAnsi="Times New Roman"/>
          <w:sz w:val="18"/>
          <w:szCs w:val="18"/>
          <w:color w:val="auto"/>
        </w:rPr>
      </w:pPr>
    </w:p>
    <w:p>
      <w:pPr>
        <w:ind w:left="486" w:right="40" w:hanging="486"/>
        <w:spacing w:after="0" w:line="258" w:lineRule="auto"/>
        <w:tabs>
          <w:tab w:leader="none" w:pos="45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of a book-entry transfer into the Exchange Agent’s account at DTC of all Warrants delivered electronically, in each case together with a properly completed and duly executed Letter of Transmittal and Consent with any required signature guarantees (or, in the case of a book-entry transfer without delivery of a Letter of Transmittal and Consent, an Agent’s Message), and any other documents required by this Letter of Transmittal and Consent, must be received by the exchange agent within two days that Nasdaq is open for trading after the date the exchange agent receives such Notice of Guaranteed Delivery, all as provided in the Prospectus/Offer to Exchange.</w:t>
      </w:r>
    </w:p>
    <w:p>
      <w:pPr>
        <w:spacing w:after="0" w:line="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 Warrant Holder may deliver the Notice of Guaranteed Delivery by facsimile transmission or mail to the Exchange Agent.</w:t>
      </w:r>
    </w:p>
    <w:p>
      <w:pPr>
        <w:spacing w:after="0" w:line="11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Except as specifically permitted by the Prospectus/Offer to Exchange, no alternative or contingent exchanges will be accepted.</w:t>
      </w:r>
    </w:p>
    <w:p>
      <w:pPr>
        <w:spacing w:after="0" w:line="113" w:lineRule="exact"/>
        <w:rPr>
          <w:sz w:val="20"/>
          <w:szCs w:val="20"/>
          <w:color w:val="auto"/>
        </w:rPr>
      </w:pPr>
    </w:p>
    <w:p>
      <w:pPr>
        <w:ind w:left="6" w:right="300" w:hanging="6"/>
        <w:spacing w:after="0" w:line="286" w:lineRule="auto"/>
        <w:tabs>
          <w:tab w:leader="none" w:pos="18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Signatures on Letter of Transmittal and Consent and other Documents. </w:t>
      </w:r>
      <w:r>
        <w:rPr>
          <w:rFonts w:ascii="Times New Roman" w:cs="Times New Roman" w:eastAsia="Times New Roman" w:hAnsi="Times New Roman"/>
          <w:sz w:val="18"/>
          <w:szCs w:val="18"/>
          <w:color w:val="auto"/>
        </w:rPr>
        <w:t>For purposes of the tender and consent procedures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of Transmittal and Consent, the term “registered holder” means any person in whose name Warrants are registered</w:t>
      </w:r>
    </w:p>
    <w:p>
      <w:pPr>
        <w:sectPr>
          <w:pgSz w:w="11900" w:h="16838" w:orient="portrait"/>
          <w:cols w:equalWidth="0" w:num="1">
            <w:col w:w="10746"/>
          </w:cols>
          <w:pgMar w:left="814"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746"/>
          </w:cols>
          <w:pgMar w:left="814" w:top="1008" w:right="339" w:bottom="1440" w:gutter="0" w:footer="0" w:header="0"/>
          <w:type w:val="continuous"/>
        </w:sectPr>
      </w:pPr>
    </w:p>
    <w:bookmarkStart w:id="136" w:name="page137"/>
    <w:bookmarkEnd w:id="136"/>
    <w:p>
      <w:pPr>
        <w:ind w:left="6"/>
        <w:spacing w:after="0"/>
        <w:rPr>
          <w:sz w:val="20"/>
          <w:szCs w:val="20"/>
          <w:color w:val="auto"/>
        </w:rPr>
      </w:pPr>
      <w:r>
        <w:rPr>
          <w:rFonts w:ascii="Times New Roman" w:cs="Times New Roman" w:eastAsia="Times New Roman" w:hAnsi="Times New Roman"/>
          <w:sz w:val="18"/>
          <w:szCs w:val="18"/>
          <w:color w:val="auto"/>
        </w:rPr>
        <w:t>on the books of the Company or who is listed as a participant in a clearing agency’s security position listing with respect to the Warrants.</w:t>
      </w:r>
    </w:p>
    <w:p>
      <w:pPr>
        <w:spacing w:after="0" w:line="117" w:lineRule="exact"/>
        <w:rPr>
          <w:sz w:val="20"/>
          <w:szCs w:val="20"/>
          <w:color w:val="auto"/>
        </w:rPr>
      </w:pPr>
    </w:p>
    <w:p>
      <w:pPr>
        <w:jc w:val="both"/>
        <w:ind w:left="6" w:right="20"/>
        <w:spacing w:after="0" w:line="266" w:lineRule="auto"/>
        <w:rPr>
          <w:sz w:val="20"/>
          <w:szCs w:val="20"/>
          <w:color w:val="auto"/>
        </w:rPr>
      </w:pPr>
      <w:r>
        <w:rPr>
          <w:rFonts w:ascii="Times New Roman" w:cs="Times New Roman" w:eastAsia="Times New Roman" w:hAnsi="Times New Roman"/>
          <w:sz w:val="18"/>
          <w:szCs w:val="18"/>
          <w:color w:val="auto"/>
        </w:rPr>
        <w:t>If this Letter of Transmittal and Consent is signed by a trustee, executor, administrator, guardian, attorney-in-fact, officer of a corporation, or others acting in a fiduciary or representative capacity, such person must so indicate when signing and, unless waived by the Company, must submit to the Exchange Agent proper evidence satisfactory to the Company of the authority so to act.</w:t>
      </w:r>
    </w:p>
    <w:p>
      <w:pPr>
        <w:spacing w:after="0" w:line="64" w:lineRule="exact"/>
        <w:rPr>
          <w:sz w:val="20"/>
          <w:szCs w:val="20"/>
          <w:color w:val="auto"/>
        </w:rPr>
      </w:pPr>
    </w:p>
    <w:p>
      <w:pPr>
        <w:ind w:left="186" w:hanging="186"/>
        <w:spacing w:after="0"/>
        <w:tabs>
          <w:tab w:leader="none" w:pos="18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No signature guarantee is required if:</w:t>
      </w:r>
    </w:p>
    <w:p>
      <w:pPr>
        <w:spacing w:after="0" w:line="121" w:lineRule="exact"/>
        <w:rPr>
          <w:sz w:val="20"/>
          <w:szCs w:val="20"/>
          <w:color w:val="auto"/>
        </w:rPr>
      </w:pPr>
    </w:p>
    <w:p>
      <w:pPr>
        <w:ind w:left="486" w:right="260" w:hanging="486"/>
        <w:spacing w:after="0" w:line="282" w:lineRule="auto"/>
        <w:tabs>
          <w:tab w:leader="none" w:pos="35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of Transmittal and Consent is signed by the registered holder of the Warrants and such holder has not completed the box entitled “Special Issuance Instructions”; or</w:t>
      </w:r>
    </w:p>
    <w:p>
      <w:pPr>
        <w:spacing w:after="0" w:line="53" w:lineRule="exact"/>
        <w:rPr>
          <w:rFonts w:ascii="Times New Roman" w:cs="Times New Roman" w:eastAsia="Times New Roman" w:hAnsi="Times New Roman"/>
          <w:sz w:val="18"/>
          <w:szCs w:val="18"/>
          <w:color w:val="auto"/>
        </w:rPr>
      </w:pPr>
    </w:p>
    <w:p>
      <w:pPr>
        <w:ind w:left="486" w:right="20" w:hanging="486"/>
        <w:spacing w:after="0" w:line="261" w:lineRule="auto"/>
        <w:tabs>
          <w:tab w:leader="none" w:pos="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are tendered for the account of an “Eligible Institution.” An “Eligible Institution” is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w:t>
      </w:r>
    </w:p>
    <w:p>
      <w:pPr>
        <w:spacing w:after="0" w:line="68" w:lineRule="exact"/>
        <w:rPr>
          <w:sz w:val="20"/>
          <w:szCs w:val="20"/>
          <w:color w:val="auto"/>
        </w:rPr>
      </w:pPr>
    </w:p>
    <w:p>
      <w:pPr>
        <w:ind w:left="6" w:right="60"/>
        <w:spacing w:after="0" w:line="268" w:lineRule="auto"/>
        <w:rPr>
          <w:sz w:val="20"/>
          <w:szCs w:val="20"/>
          <w:color w:val="auto"/>
        </w:rPr>
      </w:pPr>
      <w:r>
        <w:rPr>
          <w:rFonts w:ascii="Times New Roman" w:cs="Times New Roman" w:eastAsia="Times New Roman" w:hAnsi="Times New Roman"/>
          <w:sz w:val="18"/>
          <w:szCs w:val="18"/>
          <w:b w:val="1"/>
          <w:bCs w:val="1"/>
          <w:color w:val="auto"/>
        </w:rPr>
        <w:t>IN ALL OTHER CASES, AN ELIGIBLE INSTITUTION MUST GUARANTEE ALL SIGNATURES ON THIS LETTER OF TRANSMITTAL AND CONSENT BY COMPLETING AND SIGNING THE TABLE ENTITLED “GUARANTEE OF SIGNATURE(S)” ABOVE.</w:t>
      </w:r>
    </w:p>
    <w:p>
      <w:pPr>
        <w:spacing w:after="0" w:line="63" w:lineRule="exact"/>
        <w:rPr>
          <w:sz w:val="20"/>
          <w:szCs w:val="20"/>
          <w:color w:val="auto"/>
        </w:rPr>
      </w:pPr>
    </w:p>
    <w:p>
      <w:pPr>
        <w:ind w:left="6" w:right="160" w:hanging="6"/>
        <w:spacing w:after="0" w:line="286" w:lineRule="auto"/>
        <w:tabs>
          <w:tab w:leader="none" w:pos="18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Tendered. </w:t>
      </w:r>
      <w:r>
        <w:rPr>
          <w:rFonts w:ascii="Times New Roman" w:cs="Times New Roman" w:eastAsia="Times New Roman" w:hAnsi="Times New Roman"/>
          <w:sz w:val="18"/>
          <w:szCs w:val="18"/>
          <w:color w:val="auto"/>
        </w:rPr>
        <w:t>Any Warrants Holder who chooses to participate in the Offer and Consent Solicitation may exchange some or all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Warrants pursuant to the terms of the Offer and Consent Solicitation.</w:t>
      </w:r>
    </w:p>
    <w:p>
      <w:pPr>
        <w:spacing w:after="0" w:line="46" w:lineRule="exact"/>
        <w:rPr>
          <w:rFonts w:ascii="Times New Roman" w:cs="Times New Roman" w:eastAsia="Times New Roman" w:hAnsi="Times New Roman"/>
          <w:sz w:val="18"/>
          <w:szCs w:val="18"/>
          <w:b w:val="1"/>
          <w:bCs w:val="1"/>
          <w:color w:val="auto"/>
        </w:rPr>
      </w:pPr>
    </w:p>
    <w:p>
      <w:pPr>
        <w:ind w:left="6" w:right="80" w:hanging="6"/>
        <w:spacing w:after="0" w:line="268" w:lineRule="auto"/>
        <w:tabs>
          <w:tab w:leader="none" w:pos="18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under “Description of Warrants Tendered” is inadequate, the name(s) and address(es) of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number of Warrants being delivered herewith, and number of such Warrants tendered hereby should be listed on a separate, signed schedule and attached to this Letter of Transmittal and Consent.</w:t>
      </w:r>
    </w:p>
    <w:p>
      <w:pPr>
        <w:spacing w:after="0" w:line="62" w:lineRule="exact"/>
        <w:rPr>
          <w:rFonts w:ascii="Times New Roman" w:cs="Times New Roman" w:eastAsia="Times New Roman" w:hAnsi="Times New Roman"/>
          <w:sz w:val="18"/>
          <w:szCs w:val="18"/>
          <w:b w:val="1"/>
          <w:bCs w:val="1"/>
          <w:color w:val="auto"/>
        </w:rPr>
      </w:pPr>
    </w:p>
    <w:p>
      <w:pPr>
        <w:jc w:val="both"/>
        <w:ind w:left="6" w:right="60" w:hanging="6"/>
        <w:spacing w:after="0" w:line="268" w:lineRule="auto"/>
        <w:tabs>
          <w:tab w:leader="none" w:pos="186"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Taxes. </w:t>
      </w:r>
      <w:r>
        <w:rPr>
          <w:rFonts w:ascii="Times New Roman" w:cs="Times New Roman" w:eastAsia="Times New Roman" w:hAnsi="Times New Roman"/>
          <w:sz w:val="18"/>
          <w:szCs w:val="18"/>
          <w:color w:val="auto"/>
        </w:rPr>
        <w:t>The Company will pay all transfer taxes, if any, applicable to the transfer of Warrants to the Company in the Offer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Solicitation. If transfer taxes are imposed for any other reason, the amount of those transfer taxes, whether imposed on the registered holder or any other persons, will be payable by the tendering holder. Other reasons transfer taxes could be imposed include:</w:t>
      </w:r>
    </w:p>
    <w:p>
      <w:pPr>
        <w:spacing w:after="0" w:line="67" w:lineRule="exact"/>
        <w:rPr>
          <w:sz w:val="20"/>
          <w:szCs w:val="20"/>
          <w:color w:val="auto"/>
        </w:rPr>
      </w:pPr>
    </w:p>
    <w:p>
      <w:pPr>
        <w:ind w:left="486" w:right="560" w:hanging="486"/>
        <w:spacing w:after="0" w:line="282" w:lineRule="auto"/>
        <w:tabs>
          <w:tab w:leader="none" w:pos="3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Class A Common Stock are to be registered or issued in the name of any person other than the person signing this Letter of Transmittal and Consent; or</w:t>
      </w:r>
    </w:p>
    <w:p>
      <w:pPr>
        <w:spacing w:after="0" w:line="53" w:lineRule="exact"/>
        <w:rPr>
          <w:rFonts w:ascii="Times New Roman" w:cs="Times New Roman" w:eastAsia="Times New Roman" w:hAnsi="Times New Roman"/>
          <w:sz w:val="18"/>
          <w:szCs w:val="18"/>
          <w:color w:val="auto"/>
        </w:rPr>
      </w:pPr>
    </w:p>
    <w:p>
      <w:pPr>
        <w:ind w:left="406" w:hanging="406"/>
        <w:spacing w:after="0"/>
        <w:tabs>
          <w:tab w:leader="none" w:pos="4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tendered Warrants are registered in the name of any person other than the person signing this Letter of Transmittal and Consent.</w:t>
      </w:r>
    </w:p>
    <w:p>
      <w:pPr>
        <w:spacing w:after="0" w:line="117" w:lineRule="exact"/>
        <w:rPr>
          <w:sz w:val="20"/>
          <w:szCs w:val="20"/>
          <w:color w:val="auto"/>
        </w:rPr>
      </w:pPr>
    </w:p>
    <w:p>
      <w:pPr>
        <w:ind w:left="6" w:right="280"/>
        <w:spacing w:after="0" w:line="266" w:lineRule="auto"/>
        <w:rPr>
          <w:sz w:val="20"/>
          <w:szCs w:val="20"/>
          <w:color w:val="auto"/>
        </w:rPr>
      </w:pPr>
      <w:r>
        <w:rPr>
          <w:rFonts w:ascii="Times New Roman" w:cs="Times New Roman" w:eastAsia="Times New Roman" w:hAnsi="Times New Roman"/>
          <w:sz w:val="18"/>
          <w:szCs w:val="18"/>
          <w:color w:val="auto"/>
        </w:rPr>
        <w:t>If satisfactory evidence of payment of or exemption from those transfer taxes is not submitted with this Letter of Transmittal and Consent, the amount of those transfer taxes will be billed directly to the tendering holder and/or withheld from any payment due with respect to the Warrants tendered by such holder.</w:t>
      </w:r>
    </w:p>
    <w:p>
      <w:pPr>
        <w:spacing w:after="0" w:line="64" w:lineRule="exact"/>
        <w:rPr>
          <w:sz w:val="20"/>
          <w:szCs w:val="20"/>
          <w:color w:val="auto"/>
        </w:rPr>
      </w:pPr>
    </w:p>
    <w:p>
      <w:pPr>
        <w:ind w:left="6" w:hanging="6"/>
        <w:spacing w:after="0" w:line="252" w:lineRule="auto"/>
        <w:tabs>
          <w:tab w:leader="none" w:pos="186"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Validity of Tenders. </w:t>
      </w:r>
      <w:r>
        <w:rPr>
          <w:rFonts w:ascii="Times New Roman" w:cs="Times New Roman" w:eastAsia="Times New Roman" w:hAnsi="Times New Roman"/>
          <w:sz w:val="18"/>
          <w:szCs w:val="18"/>
          <w:color w:val="auto"/>
        </w:rPr>
        <w:t>All questions as to the number of Warrants to be accepted, and the validity, form, eligibility (including time of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of any tender of Warrants will be determined by the Company in its reasonable discretion, which determinations shall be final and binding on all parties, subject to each Warrant Holder’s right to challenge any determination by the Company in a court of competent jurisdiction. The Company reserves the absolute right to reject any or all tenders of Warrants it determines not to be in proper form. The Company also reserves the absolute right to waive any defect or irregularity in the tender of any particular warrants, whether or not similar defects or irregularities are waived in the case of other tendered warrants. The Company’s interpretation of the terms and conditions of the Offer and Consent Solicitation (including this Letter of Transmittal and Consent and the instructions hereto) will be final and binding on all parties, subject to each Warrant Holder’s right to challenge any determination by the Company in a court of competent jurisdiction. The Company is not aware of any U.S. state where the making of the Offer and the Consent Solicitation is not in compliance with applicable law. If the Company becomes aware of any U.S. state where the making of the Offer and the Consent Solicitation or the acceptance of the Warrants pursuant to the Offer is not in compliance with applicable law, it will make a good faith effort to comply with the applicable law. If, after such good faith effort, the Company cannot comply with the applicable law, the Offer and the Consent Solicitation will not be made to (nor will tenders be accepted from or on behalf of) the Warrant Holders. Unless waived, any defects or irregularities in connection with tenders of warrants must be cured within such time as the Company shall determine. None of the Company, the Exchange Agent, the information agent, the dealer manager or any other person is or will be obligated to give notice of any defects or irregularities in tenders of warrants, and none of them will incur any liability for failure to give any such notice. Tenders of Warrants will not be deemed to have been validly made until all defects and irregularities have been cured or waived. Any Warrants received by the Exchange Agent that are not validly tendered and as to which the defects or irregularities have not been cured or waived will be returned by the Exchange Agent to the Warrant Holders, unless otherwise provided in this Letter of Transmittal and Consent, promptly following the Expiration Date.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626"/>
          </w:cols>
          <w:pgMar w:left="814" w:top="1012" w:right="459" w:bottom="1440" w:gutter="0" w:footer="0" w:header="0"/>
        </w:sectPr>
      </w:pPr>
    </w:p>
    <w:bookmarkStart w:id="137" w:name="page138"/>
    <w:bookmarkEnd w:id="137"/>
    <w:p>
      <w:pPr>
        <w:ind w:left="6" w:right="360"/>
        <w:spacing w:after="0" w:line="266" w:lineRule="auto"/>
        <w:rPr>
          <w:sz w:val="20"/>
          <w:szCs w:val="20"/>
          <w:color w:val="auto"/>
        </w:rPr>
      </w:pPr>
      <w:r>
        <w:rPr>
          <w:rFonts w:ascii="Times New Roman" w:cs="Times New Roman" w:eastAsia="Times New Roman" w:hAnsi="Times New Roman"/>
          <w:sz w:val="18"/>
          <w:szCs w:val="18"/>
          <w:color w:val="auto"/>
        </w:rPr>
        <w:t>Warrant Holders who have any questions about the procedure for tendering Warrants in the Offer and Consent Solicitation should contact the information agent at the address and telephone number indicated herein. Consent Warrants properly tendered and not validly withdrawn that are accepted for exchange constitute the holder’s validly delivered consent to the Warrant Amendment.</w:t>
      </w:r>
    </w:p>
    <w:p>
      <w:pPr>
        <w:spacing w:after="0" w:line="64" w:lineRule="exact"/>
        <w:rPr>
          <w:sz w:val="20"/>
          <w:szCs w:val="20"/>
          <w:color w:val="auto"/>
        </w:rPr>
      </w:pPr>
    </w:p>
    <w:p>
      <w:pPr>
        <w:ind w:left="6" w:right="120" w:hanging="6"/>
        <w:spacing w:after="0" w:line="317" w:lineRule="auto"/>
        <w:tabs>
          <w:tab w:leader="none" w:pos="186"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Waiver of Conditions. </w:t>
      </w:r>
      <w:r>
        <w:rPr>
          <w:rFonts w:ascii="Times New Roman" w:cs="Times New Roman" w:eastAsia="Times New Roman" w:hAnsi="Times New Roman"/>
          <w:sz w:val="17"/>
          <w:szCs w:val="17"/>
          <w:color w:val="auto"/>
        </w:rPr>
        <w:t>The Company reserves the absolute right to waive any condition, other than as described in the section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Prospectus/Offer to Exchange entitled “The Offer and Consent Solicitation — General Terms — Conditions to the Offer and Consent Solicitation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23" w:lineRule="exact"/>
        <w:rPr>
          <w:rFonts w:ascii="Times New Roman" w:cs="Times New Roman" w:eastAsia="Times New Roman" w:hAnsi="Times New Roman"/>
          <w:sz w:val="17"/>
          <w:szCs w:val="17"/>
          <w:b w:val="1"/>
          <w:bCs w:val="1"/>
          <w:color w:val="auto"/>
        </w:rPr>
      </w:pPr>
    </w:p>
    <w:p>
      <w:pPr>
        <w:ind w:left="6" w:hanging="6"/>
        <w:spacing w:after="0" w:line="252" w:lineRule="auto"/>
        <w:tabs>
          <w:tab w:leader="none" w:pos="276"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Withdrawal. </w:t>
      </w:r>
      <w:r>
        <w:rPr>
          <w:rFonts w:ascii="Times New Roman" w:cs="Times New Roman" w:eastAsia="Times New Roman" w:hAnsi="Times New Roman"/>
          <w:sz w:val="18"/>
          <w:szCs w:val="18"/>
          <w:color w:val="auto"/>
        </w:rPr>
        <w:t>Tenders of Warrants may be withdrawn only pursuant to the procedures and subject to the terms set forth in the section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Prospectus/Offer to Exchange entitled “The Offer and Consent Solicitation — Withdrawal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Warrant Holders can withdraw tendered Warrants at any time prior to the Expiration Date, and Warrants that the Company has not accepted for exchange by September 16, 2022 may thereafter be withdrawn at any time after such date until such Warrants are accepted by the Company for exchange pursuant to the Offer and Consent Solicitation. Except as otherwise provided in the Prospectus/Offer to Exchange, in order for the withdrawal of Warrants to be effective, a written notice of Withdrawal satisfying the applicable requirements for withdrawal set forth in the section of the Prospectus/Offer to Exchange entitled “The Offer and Consent Solicitation — Withdrawal Rights” must be timely received from the holder by the Exchange Agent at its address stated herein, together with any other information required as described in such section of the Prospectus/Offer to Exchange. All questions as to the form and validity (including time of receipt) of any notice of withdrawal will be determined by the Company, in its reasonable discretion, and its determination shall be final and binding, subject to each Warrant Holder’s right to challenge any determination by the Company in a court of competent jurisdiction. None of the Company, the Exchange Agent, the information agent, the dealer manager or any other person is under any duty to give notification of any defect or irregularity in any notice of withdrawal or will incur any liability for failure to give any such notification. Any Warrants properly withdrawn will be deemed not to have been validly tendered for purposes of the Offer and Consent Solicitation. However, at any time prior to the Expiration Date, a Warrant Holder may re-tender withdrawn Warrants by following the applicable procedures discussed in the Prospectus/Offer to Exchange and this Letter of Transmittal and Consent. Consents may be revoked only by withdrawing the related Consent Warrants and the withdrawal of any Consent Warrants will automatically constitute a revocation of the related consents.</w:t>
      </w:r>
    </w:p>
    <w:p>
      <w:pPr>
        <w:spacing w:after="0" w:line="86" w:lineRule="exact"/>
        <w:rPr>
          <w:rFonts w:ascii="Times New Roman" w:cs="Times New Roman" w:eastAsia="Times New Roman" w:hAnsi="Times New Roman"/>
          <w:sz w:val="18"/>
          <w:szCs w:val="18"/>
          <w:b w:val="1"/>
          <w:bCs w:val="1"/>
          <w:color w:val="auto"/>
        </w:rPr>
      </w:pPr>
    </w:p>
    <w:p>
      <w:pPr>
        <w:jc w:val="both"/>
        <w:ind w:left="6" w:right="200" w:hanging="6"/>
        <w:spacing w:after="0" w:line="268" w:lineRule="auto"/>
        <w:tabs>
          <w:tab w:leader="none" w:pos="266"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Questions and Requests for Assistance and Additional Copies. </w:t>
      </w:r>
      <w:r>
        <w:rPr>
          <w:rFonts w:ascii="Times New Roman" w:cs="Times New Roman" w:eastAsia="Times New Roman" w:hAnsi="Times New Roman"/>
          <w:sz w:val="18"/>
          <w:szCs w:val="18"/>
          <w:color w:val="auto"/>
        </w:rPr>
        <w:t>Please direct questions or requests for assistance, or additional copies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Prospectus/Offer to Exchange, Letter of Transmittal and Consent or other materials, in writing to the information agent for the Offer and Consent Solicitation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6515100" cy="857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6515100" cy="857250"/>
                    </a:xfrm>
                    <a:prstGeom prst="rect">
                      <a:avLst/>
                    </a:prstGeom>
                    <a:noFill/>
                  </pic:spPr>
                </pic:pic>
              </a:graphicData>
            </a:graphic>
          </wp:anchor>
        </w:drawing>
      </w:r>
    </w:p>
    <w:p>
      <w:pPr>
        <w:spacing w:after="0" w:line="112"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and Consent Solicitation is:</w:t>
      </w:r>
    </w:p>
    <w:p>
      <w:pPr>
        <w:jc w:val="center"/>
        <w:ind w:right="494"/>
        <w:spacing w:after="0" w:line="208" w:lineRule="auto"/>
        <w:rPr>
          <w:sz w:val="20"/>
          <w:szCs w:val="20"/>
          <w:color w:val="auto"/>
        </w:rPr>
      </w:pPr>
      <w:r>
        <w:rPr>
          <w:rFonts w:ascii="Times New Roman" w:cs="Times New Roman" w:eastAsia="Times New Roman" w:hAnsi="Times New Roman"/>
          <w:sz w:val="18"/>
          <w:szCs w:val="18"/>
          <w:b w:val="1"/>
          <w:bCs w:val="1"/>
          <w:color w:val="auto"/>
        </w:rPr>
        <w:t>D.F. King &amp; Co., Inc.</w:t>
      </w:r>
    </w:p>
    <w:p>
      <w:pPr>
        <w:jc w:val="center"/>
        <w:ind w:right="494"/>
        <w:spacing w:after="0" w:line="203" w:lineRule="auto"/>
        <w:rPr>
          <w:sz w:val="20"/>
          <w:szCs w:val="20"/>
          <w:color w:val="auto"/>
        </w:rPr>
      </w:pPr>
      <w:r>
        <w:rPr>
          <w:rFonts w:ascii="Times New Roman" w:cs="Times New Roman" w:eastAsia="Times New Roman" w:hAnsi="Times New Roman"/>
          <w:sz w:val="18"/>
          <w:szCs w:val="18"/>
          <w:color w:val="auto"/>
        </w:rPr>
        <w:t>48 Wall Street, 22nd Floor</w:t>
      </w:r>
    </w:p>
    <w:p>
      <w:pPr>
        <w:jc w:val="center"/>
        <w:ind w:right="494"/>
        <w:spacing w:after="0" w:line="219" w:lineRule="auto"/>
        <w:rPr>
          <w:sz w:val="20"/>
          <w:szCs w:val="20"/>
          <w:color w:val="auto"/>
        </w:rPr>
      </w:pPr>
      <w:r>
        <w:rPr>
          <w:rFonts w:ascii="Times New Roman" w:cs="Times New Roman" w:eastAsia="Times New Roman" w:hAnsi="Times New Roman"/>
          <w:sz w:val="18"/>
          <w:szCs w:val="18"/>
          <w:color w:val="auto"/>
        </w:rPr>
        <w:t>New York, New York 10005</w:t>
      </w:r>
    </w:p>
    <w:p>
      <w:pPr>
        <w:jc w:val="center"/>
        <w:ind w:right="494"/>
        <w:spacing w:after="0" w:line="204" w:lineRule="auto"/>
        <w:rPr>
          <w:sz w:val="20"/>
          <w:szCs w:val="20"/>
          <w:color w:val="auto"/>
        </w:rPr>
      </w:pPr>
      <w:r>
        <w:rPr>
          <w:rFonts w:ascii="Times New Roman" w:cs="Times New Roman" w:eastAsia="Times New Roman" w:hAnsi="Times New Roman"/>
          <w:sz w:val="18"/>
          <w:szCs w:val="18"/>
          <w:color w:val="auto"/>
        </w:rPr>
        <w:t>Call Toll-Free: (866) 342-4881</w:t>
      </w:r>
    </w:p>
    <w:p>
      <w:pPr>
        <w:jc w:val="center"/>
        <w:ind w:right="494"/>
        <w:spacing w:after="0" w:line="203" w:lineRule="auto"/>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1"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201" w:lineRule="exact"/>
        <w:rPr>
          <w:sz w:val="20"/>
          <w:szCs w:val="20"/>
          <w:color w:val="auto"/>
        </w:rPr>
      </w:pPr>
    </w:p>
    <w:p>
      <w:pPr>
        <w:ind w:left="6" w:right="140"/>
        <w:spacing w:after="0" w:line="257" w:lineRule="auto"/>
        <w:rPr>
          <w:sz w:val="20"/>
          <w:szCs w:val="20"/>
          <w:color w:val="auto"/>
        </w:rPr>
      </w:pPr>
      <w:r>
        <w:rPr>
          <w:rFonts w:ascii="Times New Roman" w:cs="Times New Roman" w:eastAsia="Times New Roman" w:hAnsi="Times New Roman"/>
          <w:sz w:val="18"/>
          <w:szCs w:val="18"/>
          <w:b w:val="1"/>
          <w:bCs w:val="1"/>
          <w:color w:val="auto"/>
        </w:rPr>
        <w:t>IMPORTANT: THIS LETTER OF TRANSMITTAL AND CONSENT, OR THE “AGENT’S MESSAGE” (IF TENDERING PURSUANT TO THE PROCEDURES FOR BOOK-ENTRY TRANSFER WITHOUT EXECUTION AND DELIVERY OF A LETTER OF TRANSMITTAL AND CONSENT), TOGETHER WITH THE TENDERED WARRANTS AND ALL OTHER REQUIRED DOCUMENTS, MUST BE RECEIVED BY THE EXCHANGE AGENT ON OR PRIOR TO ONE MINUTE AFTER 11:59 P.M., EASTERN STANDARD TIME, ON AUGUST 18, 2022, UNLESS A NOTICE OF GUARANTEED DELIVERY IS RECEIVED BY THE EXCHANGE AGENT BY SUCH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5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726"/>
          </w:cols>
          <w:pgMar w:left="814" w:top="1012" w:right="3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654685</wp:posOffset>
            </wp:positionV>
            <wp:extent cx="5734685" cy="7646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734685" cy="764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654685</wp:posOffset>
            </wp:positionV>
            <wp:extent cx="5734685" cy="7646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734685" cy="764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654685</wp:posOffset>
            </wp:positionV>
            <wp:extent cx="5734685" cy="7646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734685" cy="764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654685</wp:posOffset>
            </wp:positionV>
            <wp:extent cx="5734685" cy="7646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734685" cy="764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654685</wp:posOffset>
            </wp:positionV>
            <wp:extent cx="5734685" cy="7646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734685" cy="764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654685</wp:posOffset>
            </wp:positionV>
            <wp:extent cx="5734685" cy="7646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734685" cy="764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019"/>
          </w:cols>
          <w:pgMar w:left="1440" w:top="1440" w:right="1440" w:bottom="1440" w:gutter="0" w:footer="0" w:header="0"/>
        </w:sectPr>
      </w:pPr>
    </w:p>
    <w:bookmarkStart w:id="144" w:name="page145"/>
    <w:bookmarkEnd w:id="144"/>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The Exchange Agent for the Offer and Consent Solicitation is:</w:t>
      </w:r>
    </w:p>
    <w:p>
      <w:pPr>
        <w:spacing w:after="0" w:line="1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American Stock Transfer &amp; Trust Company, LLC</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Attn: Reorganization Department</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address and telephone number listed below. Additional copies of the Prospectus/Offer to Exchange, this Letter of Transmittal and Consent and the Notice of Guaranteed Delivery may also be obtained from the information agent. Any Warrant Holder may also contact its broker, dealer, commercial bank or trust company for assistance concerning the Offer and Consent Solicitation.</w:t>
      </w:r>
    </w:p>
    <w:p>
      <w:pPr>
        <w:spacing w:after="0" w:line="7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and Consent Solicitation is:</w:t>
      </w:r>
    </w:p>
    <w:p>
      <w:pPr>
        <w:spacing w:after="0" w:line="1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Call Toll-Free: (866) 342-4881</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680"/>
          </w:cols>
          <w:pgMar w:left="820" w:top="1010" w:right="3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GUARANTEED DELIVERY OF</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WARRANTS OF</w:t>
      </w: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Prospectus/Offer to Exchange dated July 22,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 for Use</w:t>
      </w:r>
    </w:p>
    <w:p>
      <w:pPr>
        <w:spacing w:after="0" w:line="20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Unless defined herein, terms used in this Notice of Guaranteed Delivery shall have definitions set forth in the Prospectus/Offer to Exchange dated July 22,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Notice of Guaranteed Delivery, or one substantially in the form hereof, must be used to accept the Offer if:</w:t>
      </w:r>
    </w:p>
    <w:p>
      <w:pPr>
        <w:spacing w:after="0" w:line="198"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book-entry transfer cannot be completed on a timely basis; or</w:t>
      </w:r>
    </w:p>
    <w:p>
      <w:pPr>
        <w:spacing w:after="0" w:line="184" w:lineRule="exact"/>
        <w:rPr>
          <w:rFonts w:ascii="Times New Roman" w:cs="Times New Roman" w:eastAsia="Times New Roman" w:hAnsi="Times New Roman"/>
          <w:sz w:val="18"/>
          <w:szCs w:val="18"/>
          <w:color w:val="auto"/>
        </w:rPr>
      </w:pPr>
    </w:p>
    <w:p>
      <w:pPr>
        <w:ind w:left="660" w:right="260" w:hanging="328"/>
        <w:spacing w:after="0" w:line="237"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will not permit all required documents, including a properly completed and duly executed Letter of Transmittal and Consent and any other required documents, to reach American Stock Transfer &amp; Trust Company, LLC (the “Exchange Agent”) prior to the Expiration Date.</w:t>
      </w:r>
    </w:p>
    <w:p>
      <w:pPr>
        <w:spacing w:after="0" w:line="172"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This Notice of Guaranteed Delivery, properly completed and duly executed, must be delivered by hand, mail, overnight courier, facsimile or electronic mail transmission to the Exchange Agent, as described in the section of the Prospectus/Offer to Exchange entitled “</w:t>
      </w:r>
      <w:r>
        <w:rPr>
          <w:rFonts w:ascii="Times New Roman" w:cs="Times New Roman" w:eastAsia="Times New Roman" w:hAnsi="Times New Roman"/>
          <w:sz w:val="18"/>
          <w:szCs w:val="18"/>
          <w:i w:val="1"/>
          <w:iCs w:val="1"/>
          <w:color w:val="auto"/>
        </w:rPr>
        <w:t>The Offer and Consent Solicitation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 for Tendering Warrants for Exchange and Consenting to the Warrant Amendment</w:t>
      </w:r>
      <w:r>
        <w:rPr>
          <w:rFonts w:ascii="Times New Roman" w:cs="Times New Roman" w:eastAsia="Times New Roman" w:hAnsi="Times New Roman"/>
          <w:sz w:val="18"/>
          <w:szCs w:val="18"/>
          <w:color w:val="auto"/>
        </w:rPr>
        <w:t>.” The method of delivery of all required documents is 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Holder’s option and risk.</w:t>
      </w:r>
    </w:p>
    <w:p>
      <w:pPr>
        <w:spacing w:after="0" w:line="163"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7"/>
          <w:szCs w:val="17"/>
          <w:color w:val="auto"/>
        </w:rPr>
        <w:t xml:space="preserve">For this Notice of Guaranteed Delivery to be validly delivered, it must be </w:t>
      </w:r>
      <w:r>
        <w:rPr>
          <w:rFonts w:ascii="Times New Roman" w:cs="Times New Roman" w:eastAsia="Times New Roman" w:hAnsi="Times New Roman"/>
          <w:sz w:val="17"/>
          <w:szCs w:val="17"/>
          <w:i w:val="1"/>
          <w:iCs w:val="1"/>
          <w:color w:val="auto"/>
        </w:rPr>
        <w:t>received</w:t>
      </w:r>
      <w:r>
        <w:rPr>
          <w:rFonts w:ascii="Times New Roman" w:cs="Times New Roman" w:eastAsia="Times New Roman" w:hAnsi="Times New Roman"/>
          <w:sz w:val="17"/>
          <w:szCs w:val="17"/>
          <w:color w:val="auto"/>
        </w:rPr>
        <w:t xml:space="preserve"> by the Exchange Agent at the address below prior to the Expiration Date. Delivery of this notice to another address will not constitute a valid delivery. Delivery to the Company, the information agent or the book-entry</w:t>
      </w:r>
    </w:p>
    <w:p>
      <w:pPr>
        <w:spacing w:after="0"/>
        <w:rPr>
          <w:sz w:val="20"/>
          <w:szCs w:val="20"/>
          <w:color w:val="auto"/>
        </w:rPr>
      </w:pPr>
      <w:r>
        <w:rPr>
          <w:rFonts w:ascii="Times New Roman" w:cs="Times New Roman" w:eastAsia="Times New Roman" w:hAnsi="Times New Roman"/>
          <w:sz w:val="18"/>
          <w:szCs w:val="18"/>
          <w:color w:val="auto"/>
        </w:rPr>
        <w:t>transfer facility will not be forwarded to the Exchange Agent and will not constitute a valid delivery.</w:t>
      </w:r>
    </w:p>
    <w:p>
      <w:pPr>
        <w:spacing w:after="0" w:line="165"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7"/>
          <w:szCs w:val="17"/>
          <w:color w:val="auto"/>
        </w:rPr>
        <w:t>The Warrant Holder’s signature on this Notice of Guaranteed Delivery must be guaranteed by an “Eligible Institution,” and the Eligible Institution must also execute the Guarantee of Delivery attached hereto. An “Eligible Institution” is a bank, broker, dealer, credit union, savings association or other entity</w:t>
      </w:r>
    </w:p>
    <w:p>
      <w:pPr>
        <w:ind w:right="100"/>
        <w:spacing w:after="0" w:line="218" w:lineRule="auto"/>
        <w:rPr>
          <w:sz w:val="20"/>
          <w:szCs w:val="20"/>
          <w:color w:val="auto"/>
        </w:rPr>
      </w:pPr>
      <w:r>
        <w:rPr>
          <w:rFonts w:ascii="Times New Roman" w:cs="Times New Roman" w:eastAsia="Times New Roman" w:hAnsi="Times New Roman"/>
          <w:sz w:val="18"/>
          <w:szCs w:val="18"/>
          <w:color w:val="auto"/>
        </w:rPr>
        <w:t>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w:t>
      </w:r>
    </w:p>
    <w:p>
      <w:pPr>
        <w:spacing w:after="0" w:line="16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color w:val="auto"/>
        </w:rPr>
        <w:t>In addition, if the instructions to the Letter of Transmittal and Consent require a signature on a Letter of Transmittal and Consent to be guaranteed by an Eligible Institution, such signature guarantee must appear in the applicable space provided in the signature box on the Letter of Transmittal and Consent.</w:t>
      </w:r>
    </w:p>
    <w:p>
      <w:pPr>
        <w:sectPr>
          <w:pgSz w:w="11900" w:h="16838" w:orient="portrait"/>
          <w:cols w:equalWidth="0" w:num="1">
            <w:col w:w="11240"/>
          </w:cols>
          <w:pgMar w:left="320" w:top="104" w:right="339" w:bottom="1440" w:gutter="0" w:footer="0" w:header="0"/>
        </w:sectPr>
      </w:pPr>
    </w:p>
    <w:bookmarkStart w:id="146" w:name="page147"/>
    <w:bookmarkEnd w:id="14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GUARANTEED DELIVERY OF</w:t>
      </w:r>
    </w:p>
    <w:p>
      <w:pPr>
        <w:jc w:val="center"/>
        <w:ind w:right="-159"/>
        <w:spacing w:after="0" w:line="219" w:lineRule="auto"/>
        <w:rPr>
          <w:sz w:val="20"/>
          <w:szCs w:val="20"/>
          <w:color w:val="auto"/>
        </w:rPr>
      </w:pPr>
      <w:r>
        <w:rPr>
          <w:rFonts w:ascii="Times New Roman" w:cs="Times New Roman" w:eastAsia="Times New Roman" w:hAnsi="Times New Roman"/>
          <w:sz w:val="18"/>
          <w:szCs w:val="18"/>
          <w:b w:val="1"/>
          <w:bCs w:val="1"/>
          <w:color w:val="auto"/>
        </w:rPr>
        <w:t>WARRANTS OF</w:t>
      </w:r>
    </w:p>
    <w:p>
      <w:pPr>
        <w:ind w:left="418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16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Pursuant to the Prospectus/Offer to Exchange dated July 22,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AMERICAN STOCK TRANSFER &amp; TRUST COMPANY, LLC</w:t>
      </w:r>
    </w:p>
    <w:p>
      <w:pPr>
        <w:spacing w:after="0" w:line="185" w:lineRule="auto"/>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Avenue</w:t>
      </w:r>
    </w:p>
    <w:p>
      <w:pPr>
        <w:spacing w:after="0" w:line="204" w:lineRule="auto"/>
        <w:rPr>
          <w:sz w:val="20"/>
          <w:szCs w:val="20"/>
          <w:color w:val="auto"/>
        </w:rPr>
      </w:pPr>
      <w:r>
        <w:rPr>
          <w:rFonts w:ascii="Times New Roman" w:cs="Times New Roman" w:eastAsia="Times New Roman" w:hAnsi="Times New Roman"/>
          <w:sz w:val="18"/>
          <w:szCs w:val="18"/>
          <w:color w:val="auto"/>
        </w:rPr>
        <w:t>Brooklyn, New York 11219</w:t>
      </w:r>
    </w:p>
    <w:p>
      <w:pPr>
        <w:spacing w:after="0" w:line="219" w:lineRule="auto"/>
        <w:rPr>
          <w:sz w:val="20"/>
          <w:szCs w:val="20"/>
          <w:color w:val="auto"/>
        </w:rPr>
      </w:pPr>
      <w:r>
        <w:rPr>
          <w:rFonts w:ascii="Times New Roman" w:cs="Times New Roman" w:eastAsia="Times New Roman" w:hAnsi="Times New Roman"/>
          <w:sz w:val="18"/>
          <w:szCs w:val="18"/>
          <w:color w:val="auto"/>
        </w:rPr>
        <w:t>Operations Center</w:t>
      </w:r>
    </w:p>
    <w:p>
      <w:pPr>
        <w:spacing w:after="0"/>
        <w:rPr>
          <w:sz w:val="20"/>
          <w:szCs w:val="20"/>
          <w:color w:val="auto"/>
        </w:rPr>
      </w:pPr>
      <w:r>
        <w:rPr>
          <w:rFonts w:ascii="Times New Roman" w:cs="Times New Roman" w:eastAsia="Times New Roman" w:hAnsi="Times New Roman"/>
          <w:sz w:val="18"/>
          <w:szCs w:val="18"/>
          <w:color w:val="auto"/>
        </w:rPr>
        <w:t>Reorganization Department</w:t>
      </w:r>
    </w:p>
    <w:p>
      <w:pPr>
        <w:spacing w:after="0" w:line="200" w:lineRule="exact"/>
        <w:rPr>
          <w:sz w:val="20"/>
          <w:szCs w:val="20"/>
          <w:color w:val="auto"/>
        </w:rPr>
      </w:pPr>
    </w:p>
    <w:p>
      <w:pPr>
        <w:spacing w:after="0" w:line="208"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The undersigned acknowledges receipt of the Prospectus/Offer to Exchange, dated July 22, 2022 (the “Prospectus/Offer to Exchange”), and the related Letter of Transmittal and Consent (the “Letter of Transmittal and Consent”).</w:t>
      </w:r>
    </w:p>
    <w:p>
      <w:pPr>
        <w:spacing w:after="0" w:line="17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By signing this Notice of Guaranteed Delivery, the Warrant Holder tenders for exchange, upon the terms and subject to the conditions described in the Prospectus/Offer to Exchange and in the Letter of Transmittal and Consent, the number of Warrants specified below, as well as provides consent to the Warrant Amendment, pursuant to the guaranteed delivery procedures described in the section of the Prospectus/Offer to Exchange entitled “</w:t>
      </w:r>
      <w:r>
        <w:rPr>
          <w:rFonts w:ascii="Times New Roman" w:cs="Times New Roman" w:eastAsia="Times New Roman" w:hAnsi="Times New Roman"/>
          <w:sz w:val="17"/>
          <w:szCs w:val="17"/>
          <w:i w:val="1"/>
          <w:iCs w:val="1"/>
          <w:color w:val="auto"/>
        </w:rPr>
        <w:t>The Offer and</w:t>
      </w:r>
    </w:p>
    <w:p>
      <w:pPr>
        <w:spacing w:after="0"/>
        <w:rPr>
          <w:sz w:val="20"/>
          <w:szCs w:val="20"/>
          <w:color w:val="auto"/>
        </w:rPr>
      </w:pPr>
      <w:r>
        <w:rPr>
          <w:rFonts w:ascii="Times New Roman" w:cs="Times New Roman" w:eastAsia="Times New Roman" w:hAnsi="Times New Roman"/>
          <w:sz w:val="18"/>
          <w:szCs w:val="18"/>
          <w:i w:val="1"/>
          <w:iCs w:val="1"/>
          <w:color w:val="auto"/>
        </w:rPr>
        <w:t>Consent Solicitation - Procedure for Tendering Warrants for Exchange and Consenting to the Warrant Amendment.”</w:t>
      </w:r>
    </w:p>
    <w:p>
      <w:pPr>
        <w:spacing w:after="0" w:line="1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DESCRIPTION OF WARRANTS TENDERED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below the Warrants to which this Notice of Guaranteed Delivery relates.</w:t>
      </w:r>
    </w:p>
    <w:p>
      <w:pPr>
        <w:sectPr>
          <w:pgSz w:w="11900" w:h="16838" w:orient="portrait"/>
          <w:cols w:equalWidth="0" w:num="1">
            <w:col w:w="11100"/>
          </w:cols>
          <w:pgMar w:left="320" w:top="1392" w:right="479" w:bottom="1440" w:gutter="0" w:footer="0" w:header="0"/>
        </w:sect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Name(s) and Address(es)</w:t>
      </w:r>
    </w:p>
    <w:p>
      <w:pPr>
        <w:ind w:left="40"/>
        <w:spacing w:after="0" w:line="208" w:lineRule="auto"/>
        <w:rPr>
          <w:sz w:val="20"/>
          <w:szCs w:val="20"/>
          <w:color w:val="auto"/>
        </w:rPr>
      </w:pPr>
      <w:r>
        <w:rPr>
          <w:rFonts w:ascii="Times New Roman" w:cs="Times New Roman" w:eastAsia="Times New Roman" w:hAnsi="Times New Roman"/>
          <w:sz w:val="18"/>
          <w:szCs w:val="18"/>
          <w:b w:val="1"/>
          <w:bCs w:val="1"/>
          <w:color w:val="auto"/>
        </w:rPr>
        <w:t>of Registered Holder(s)</w:t>
      </w:r>
    </w:p>
    <w:p>
      <w:pPr>
        <w:ind w:left="40"/>
        <w:spacing w:after="0"/>
        <w:rPr>
          <w:sz w:val="20"/>
          <w:szCs w:val="20"/>
          <w:color w:val="auto"/>
        </w:rPr>
      </w:pPr>
      <w:r>
        <w:rPr>
          <w:rFonts w:ascii="Times New Roman" w:cs="Times New Roman" w:eastAsia="Times New Roman" w:hAnsi="Times New Roman"/>
          <w:sz w:val="18"/>
          <w:szCs w:val="18"/>
          <w:b w:val="1"/>
          <w:bCs w:val="1"/>
          <w:color w:val="auto"/>
        </w:rPr>
        <w:t>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715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34715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Number of Warrants</w:t>
      </w:r>
    </w:p>
    <w:p>
      <w:pPr>
        <w:spacing w:after="0" w:line="4"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707390</wp:posOffset>
            </wp:positionV>
            <wp:extent cx="3488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535940</wp:posOffset>
            </wp:positionV>
            <wp:extent cx="3488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364490</wp:posOffset>
            </wp:positionV>
            <wp:extent cx="3488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193040</wp:posOffset>
            </wp:positionV>
            <wp:extent cx="3488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13335</wp:posOffset>
            </wp:positionV>
            <wp:extent cx="34886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420"/>
          </w:cols>
          <w:pgMar w:left="320" w:top="1392"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19685</wp:posOffset>
            </wp:positionV>
            <wp:extent cx="3488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45720</wp:posOffset>
            </wp:positionV>
            <wp:extent cx="3488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Unless otherwise indicated above, it will be assumed that all Warrants listed above are being tendered pursuant to this Notice of Guaranteed Delivery.</w:t>
      </w:r>
    </w:p>
    <w:p>
      <w:pPr>
        <w:spacing w:after="0" w:line="198" w:lineRule="exact"/>
        <w:rPr>
          <w:sz w:val="20"/>
          <w:szCs w:val="20"/>
          <w:color w:val="auto"/>
        </w:rPr>
      </w:pPr>
    </w:p>
    <w:p>
      <w:pPr>
        <w:ind w:left="340" w:right="20" w:hanging="188"/>
        <w:spacing w:after="0" w:line="226" w:lineRule="auto"/>
        <w:rPr>
          <w:sz w:val="20"/>
          <w:szCs w:val="20"/>
          <w:color w:val="auto"/>
        </w:rPr>
      </w:pPr>
      <w:r>
        <w:rPr>
          <w:rFonts w:ascii="Times New Roman" w:cs="Times New Roman" w:eastAsia="Times New Roman" w:hAnsi="Times New Roman"/>
          <w:sz w:val="18"/>
          <w:szCs w:val="18"/>
          <w:color w:val="auto"/>
        </w:rPr>
        <w:t>CHECK HERE IF THE WARRANTS LISTED ABOVE WILL BE DELIVERED BY BOOK-ENTRY TRANSFER MADE TO THE ACCOUNT MAINTAINED BY THE EXCHANGE AGENT WITH THE DEPOSITORY TRUST COMPANY (“DTC”) AND COMPLETE THE FOLLOWING (FOR USE BY ELIGIBLE INSTITUTIONS ONLY):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ectPr>
          <w:pgSz w:w="11900" w:h="16838" w:orient="portrait"/>
          <w:cols w:equalWidth="0" w:num="1">
            <w:col w:w="11100"/>
          </w:cols>
          <w:pgMar w:left="320" w:top="1392" w:right="479" w:bottom="1440" w:gutter="0" w:footer="0" w:header="0"/>
          <w:type w:val="continuous"/>
        </w:sectPr>
      </w:pPr>
    </w:p>
    <w:bookmarkStart w:id="147" w:name="page148"/>
    <w:bookmarkEnd w:id="147"/>
    <w:p>
      <w:pPr>
        <w:ind w:left="50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of Warrant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17145</wp:posOffset>
            </wp:positionV>
            <wp:extent cx="32150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Warrant Holder(s)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291"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17145</wp:posOffset>
            </wp:positionV>
            <wp:extent cx="32150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9">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 w:lineRule="exact"/>
        <w:rPr>
          <w:sz w:val="20"/>
          <w:szCs w:val="20"/>
          <w:color w:val="auto"/>
        </w:rPr>
      </w:pPr>
    </w:p>
    <w:p>
      <w:pPr>
        <w:ind w:right="4819"/>
        <w:spacing w:after="0" w:line="242" w:lineRule="auto"/>
        <w:rPr>
          <w:sz w:val="20"/>
          <w:szCs w:val="20"/>
          <w:color w:val="auto"/>
        </w:rPr>
      </w:pPr>
      <w:r>
        <w:rPr>
          <w:rFonts w:ascii="Times New Roman" w:cs="Times New Roman" w:eastAsia="Times New Roman" w:hAnsi="Times New Roman"/>
          <w:sz w:val="18"/>
          <w:szCs w:val="18"/>
          <w:color w:val="auto"/>
        </w:rPr>
        <w:t>Name of Firm (must be an Eligible Institution as defined in this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635</wp:posOffset>
            </wp:positionV>
            <wp:extent cx="32150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14605</wp:posOffset>
            </wp:positionV>
            <wp:extent cx="32150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ectPr>
          <w:pgSz w:w="11900" w:h="16838" w:orient="portrait"/>
          <w:cols w:equalWidth="0" w:num="1">
            <w:col w:w="10099"/>
          </w:cols>
          <w:pgMar w:left="360" w:top="1400" w:right="1440"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DELIVERY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202"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17"/>
          <w:szCs w:val="17"/>
          <w:color w:val="auto"/>
        </w:rPr>
        <w:t>The undersigned, a bank, broker, 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Securities Exchange Act of 1934, as amended (each of the foregoing constituting an “Eligible</w:t>
      </w:r>
    </w:p>
    <w:p>
      <w:pPr>
        <w:ind w:right="20"/>
        <w:spacing w:after="0" w:line="208" w:lineRule="auto"/>
        <w:rPr>
          <w:sz w:val="20"/>
          <w:szCs w:val="20"/>
          <w:color w:val="auto"/>
        </w:rPr>
      </w:pPr>
      <w:r>
        <w:rPr>
          <w:rFonts w:ascii="Times New Roman" w:cs="Times New Roman" w:eastAsia="Times New Roman" w:hAnsi="Times New Roman"/>
          <w:sz w:val="18"/>
          <w:szCs w:val="18"/>
          <w:color w:val="auto"/>
        </w:rPr>
        <w:t>Institution”), guarantees delivery to the Exchange Agent of the Warrants tendered and consents given, in proper form for transfer, or a confirmation that the Warrants tendered have been delivered pursuant to the procedure for book-entry transfer described in the Prospectus/Offer to Exchange and the Letter of Transmittal and Consent into the Exchange Agent’s account at the book-entry transfer facility, in each case together with a properly completed and duly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executed Letter(s) of Transmittal and Consent, or an Agent’s Message in the case of a book-entry transfer, and any other required documents, all within two (2) Over-the-Counter Bulletin Board quotation days after the date of receipt by the Exchange Agent of this Notice of Guaranteed Delivery.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Eligible Institution that completes this form must communicate the guarantee to the Exchange Agent and must deliver the Letter of Transmittal and</w:t>
      </w:r>
    </w:p>
    <w:p>
      <w:pPr>
        <w:spacing w:after="0" w:line="2"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Consent to the Exchange Agent, or confirmation of receipt of the Warrants pursuant to the procedure for book-entry transfer and an Agent’s Message, within the time set forth above. Failure to do so could result in a financial loss to such Eligible Institution.</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Authorized Signature 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150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150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150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150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150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150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150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149" w:name="page150"/>
    <w:bookmarkEnd w:id="149"/>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BROKERS, DEALERS,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COMMERCIAL BANKS, TRUST COMPANIES AND OTHER NOMINEES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7106285" cy="8655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106285" cy="865505"/>
                    </a:xfrm>
                    <a:prstGeom prst="rect">
                      <a:avLst/>
                    </a:prstGeom>
                    <a:noFill/>
                  </pic:spPr>
                </pic:pic>
              </a:graphicData>
            </a:graphic>
          </wp:anchor>
        </w:drawing>
      </w:r>
    </w:p>
    <w:p>
      <w:pPr>
        <w:spacing w:after="0" w:line="277" w:lineRule="exact"/>
        <w:rPr>
          <w:sz w:val="20"/>
          <w:szCs w:val="20"/>
          <w:color w:val="auto"/>
        </w:rPr>
      </w:pPr>
    </w:p>
    <w:p>
      <w:pPr>
        <w:ind w:left="60" w:right="180"/>
        <w:spacing w:after="0" w:line="230" w:lineRule="auto"/>
        <w:rPr>
          <w:sz w:val="20"/>
          <w:szCs w:val="20"/>
          <w:color w:val="auto"/>
        </w:rPr>
      </w:pPr>
      <w:r>
        <w:rPr>
          <w:rFonts w:ascii="Times New Roman" w:cs="Times New Roman" w:eastAsia="Times New Roman" w:hAnsi="Times New Roman"/>
          <w:sz w:val="17"/>
          <w:szCs w:val="17"/>
          <w:b w:val="1"/>
          <w:bCs w:val="1"/>
          <w:color w:val="auto"/>
        </w:rPr>
        <w:t>THE OFFER AND CONSENT SOLICITATION (AS DEFINED BELOW) AND WITHDRAWAL RIGHTS WILL EXPIRE AT ONE MINUTE AFTER 11:59 P.M., EASTERN STANDARD TIME, ON AUGUST 18, 2022, OR SUCH LATER TIME AND DATE TO WHICH WE MAY EXTEND. THE PUBLIC WARRANTS (AS DEFINED BELOW) AND THE PRIVATE PLACEMENT WARRANTS (AS DEFINED BELOW)</w:t>
      </w:r>
    </w:p>
    <w:p>
      <w:pPr>
        <w:spacing w:after="0" w:line="2" w:lineRule="exact"/>
        <w:rPr>
          <w:sz w:val="20"/>
          <w:szCs w:val="20"/>
          <w:color w:val="auto"/>
        </w:rPr>
      </w:pPr>
    </w:p>
    <w:p>
      <w:pPr>
        <w:ind w:left="60" w:right="1020"/>
        <w:spacing w:after="0" w:line="220" w:lineRule="auto"/>
        <w:rPr>
          <w:sz w:val="20"/>
          <w:szCs w:val="20"/>
          <w:color w:val="auto"/>
        </w:rPr>
      </w:pPr>
      <w:r>
        <w:rPr>
          <w:rFonts w:ascii="Times New Roman" w:cs="Times New Roman" w:eastAsia="Times New Roman" w:hAnsi="Times New Roman"/>
          <w:sz w:val="17"/>
          <w:szCs w:val="17"/>
          <w:b w:val="1"/>
          <w:bCs w:val="1"/>
          <w:color w:val="auto"/>
        </w:rPr>
        <w:t>(COLLECTIVELY, THE “WARRANTS”) TENDERED PURSUANT TO THE OFFER AND CONSENT SOLICITATION MAY BE WITHDRAWN PRIOR TO THE EXPIRATION DATE (AS DEFINED BELOW). CONSENTS MAY BE REVOKED ONLY BY WITHDRAWING THE TENDER OF THE RELATED WARRANTS AND THE WITHDRAWAL OF ANY WARRANTS WILL</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AUTOMATICALLY CONSTITUTE A REVOCATION OF THE RELATED CONSENTS.</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22,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Brokers, Dealers, Commercial Banks, Trust Companies and Other Nominees:</w:t>
      </w: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Enclosed are the Prospectus/Offer to Exchange dated July 22, 2022 (the “Prospectus/Offer to Exchange”), and the related Letter of Transmittal and Consent (the “Letter of Transmittal and Consent”), which together set forth the offer of Perella Weinberg Partners, a Delaware corporation (the “Company”), to each</w:t>
      </w:r>
    </w:p>
    <w:p>
      <w:pPr>
        <w:ind w:right="320"/>
        <w:spacing w:after="0" w:line="220" w:lineRule="auto"/>
        <w:rPr>
          <w:sz w:val="20"/>
          <w:szCs w:val="20"/>
          <w:color w:val="auto"/>
        </w:rPr>
      </w:pPr>
      <w:r>
        <w:rPr>
          <w:rFonts w:ascii="Times New Roman" w:cs="Times New Roman" w:eastAsia="Times New Roman" w:hAnsi="Times New Roman"/>
          <w:sz w:val="17"/>
          <w:szCs w:val="17"/>
          <w:color w:val="auto"/>
        </w:rPr>
        <w:t>holder of the Warrants to purchase shares of Class A Common Stock, par value $0.0001 per share (the “Class A Common Stock”), of the Company, the opportunity to receive 0.20 shares of Class A Common Stock in exchange for each Warrant tendered by the holder (“Warrant Holder”) and exchanged pursuant to the offer (the “Offer”). The Offer is made solely upon the terms and conditions in the Prospectus/Offer to Exchange and in the Letter of</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Transmittal and Consent. The Offer will expire at one minute after 11:59 p.m., Eastern Standard Time, on August 18, 2022, or such later time and date to which the Company may extend the Offer. The period during which the Offer is open, giving effect to any withdrawal or extension, is referred to as the “Offer Period.” The date and time at which the Offer Period ends is referred to as the “Expiration Date.”</w:t>
      </w:r>
    </w:p>
    <w:p>
      <w:pPr>
        <w:spacing w:after="0" w:line="19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Offer is being made to all holders of the Company’s Warrants. The Warrants sold as part of the units in FinTech Acquisition Corp. IV’s (“FTIV”) initial public offering of FTIV’s securities on September 29, 2020 (“IPO”) (whether they were purchased in the IPO or thereafter in the open market) are referred to herein as the “Public Warrants.” The Warrants sold as part of the units in a private placement that occurred simultaneously with the IPO are referred to</w:t>
      </w:r>
    </w:p>
    <w:p>
      <w:pPr>
        <w:jc w:val="both"/>
        <w:ind w:right="160"/>
        <w:spacing w:after="0" w:line="220" w:lineRule="auto"/>
        <w:rPr>
          <w:sz w:val="20"/>
          <w:szCs w:val="20"/>
          <w:color w:val="auto"/>
        </w:rPr>
      </w:pPr>
      <w:r>
        <w:rPr>
          <w:rFonts w:ascii="Times New Roman" w:cs="Times New Roman" w:eastAsia="Times New Roman" w:hAnsi="Times New Roman"/>
          <w:sz w:val="17"/>
          <w:szCs w:val="17"/>
          <w:color w:val="auto"/>
        </w:rPr>
        <w:t>herein as the “Private Placement Warrants.” Each Warrant entitles the holder to purchase one share of our Class A Common Stock at a price of $11.50 per share, subject to adjustment. The terms of the Private Placement Warrants are identical to the Public Warrants, except that the Private Placement Warrants are exercisable for cash or on a cashless basis and are not redeemable by the Company, in each case, so long as they are still held by FinTech Investor</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Holdings IV, LLC or FinTech Masala Advisors, LLC or their permitted transferees. The Warrants are quoted on The Nasdaq Global Select Market (the “Nasdaq”) under the symbol “PWPPW.” As of July 19, 2022, 7,869,975 Warrants, consisting of 7,666,642 Public Warrants and 203,333 Private Placement Warrants, were outstanding. Pursuant to the Offer, the Company is offering up to an aggregate of 1,573,995 shares of Class A Common Stock in exchange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of the Warrants.</w:t>
      </w:r>
    </w:p>
    <w:p>
      <w:pPr>
        <w:spacing w:after="0" w:line="192"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Each holder whose Warrants are exchanged pursuant to the Offer will receive 0.20 shares of Class A Common Stock for each Warrant tendered by such holder and exchanged. Any Warrant Holder that participates in the Offer may tender less than all of its Warrants for exchange.</w:t>
      </w:r>
    </w:p>
    <w:p>
      <w:pPr>
        <w:spacing w:after="0" w:line="199"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17"/>
          <w:szCs w:val="17"/>
          <w:color w:val="auto"/>
        </w:rPr>
        <w:t>No fractional shares of Class A Common Stock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Class A Common Stock on the Nasdaq</w:t>
      </w:r>
    </w:p>
    <w:p>
      <w:pPr>
        <w:sectPr>
          <w:pgSz w:w="11900" w:h="16838" w:orient="portrait"/>
          <w:cols w:equalWidth="0" w:num="1">
            <w:col w:w="11240"/>
          </w:cols>
          <w:pgMar w:left="320" w:top="104" w:right="339" w:bottom="1440" w:gutter="0" w:footer="0" w:header="0"/>
        </w:sectPr>
      </w:pPr>
    </w:p>
    <w:bookmarkStart w:id="150" w:name="page151"/>
    <w:bookmarkEnd w:id="150"/>
    <w:p>
      <w:pPr>
        <w:ind w:right="360"/>
        <w:spacing w:after="0" w:line="237" w:lineRule="auto"/>
        <w:rPr>
          <w:sz w:val="20"/>
          <w:szCs w:val="20"/>
          <w:color w:val="auto"/>
        </w:rPr>
      </w:pPr>
      <w:r>
        <w:rPr>
          <w:rFonts w:ascii="Times New Roman" w:cs="Times New Roman" w:eastAsia="Times New Roman" w:hAnsi="Times New Roman"/>
          <w:sz w:val="18"/>
          <w:szCs w:val="18"/>
          <w:color w:val="auto"/>
        </w:rPr>
        <w:t>on the last trading day of the Offer Period. The Company’s obligation to complete the Offer is not conditioned on the receipt of a minimum number of tendered Warrants.</w:t>
      </w:r>
    </w:p>
    <w:p>
      <w:pPr>
        <w:spacing w:after="0" w:line="199"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7"/>
          <w:szCs w:val="17"/>
          <w:color w:val="auto"/>
        </w:rPr>
        <w:t>Concurrently with the Offer, the Company is also soliciting consents (the “Consent Solicitation”) from holders of the Public Warrants (the “Consent Warrants”) to amend the warrant agreement, dated as of September 24, 2020 (the “Warrant Agreement”), by and between the Company (f/k/a FinTech Acquisition Corp. IV) and Continental Stock Transfer &amp; Trust Company, as amended by Amendment No.1 to the Warrant Agreement, dated as of</w:t>
      </w:r>
    </w:p>
    <w:p>
      <w:pPr>
        <w:ind w:right="80"/>
        <w:spacing w:after="0" w:line="208" w:lineRule="auto"/>
        <w:rPr>
          <w:sz w:val="20"/>
          <w:szCs w:val="20"/>
          <w:color w:val="auto"/>
        </w:rPr>
      </w:pPr>
      <w:r>
        <w:rPr>
          <w:rFonts w:ascii="Times New Roman" w:cs="Times New Roman" w:eastAsia="Times New Roman" w:hAnsi="Times New Roman"/>
          <w:sz w:val="18"/>
          <w:szCs w:val="18"/>
          <w:color w:val="auto"/>
        </w:rPr>
        <w:t>November 10, 2021, by and among the Company, Continental Stock Transfer &amp; Trust Company and American Stock Transfer &amp; Trust Company, LLC, as warrant agent, which governs all of the Warrants, to permit the Company to require that each Warrant (including each Private Placement Warrant) that is outstanding upon the closing of the Offer be converted into 0.18 shares of Class A Common Stock, which is a ratio 10% less than the exchange ratio</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applicable to the Offer (the “Warrant Amendment”). Pursuant to the terms of the Warrant Agreement, the adoption of the Warrant Amendment will require the consent of holders of at least 65% of the outstanding Public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representing approximately 45.9% of the Public Warrants have agreed to tender their Warrants in the Offer and to consent to the Warrant</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Amendment in the Consent Solicitation pursuant to a tender and support agreement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Consent Warrants may not consent to the Warrant Amendment without tendering the Consent Warrants in the Offer and holders may not</w:t>
      </w:r>
    </w:p>
    <w:p>
      <w:pPr>
        <w:spacing w:after="0" w:line="203" w:lineRule="auto"/>
        <w:rPr>
          <w:sz w:val="20"/>
          <w:szCs w:val="20"/>
          <w:color w:val="auto"/>
        </w:rPr>
      </w:pPr>
      <w:r>
        <w:rPr>
          <w:rFonts w:ascii="Times New Roman" w:cs="Times New Roman" w:eastAsia="Times New Roman" w:hAnsi="Times New Roman"/>
          <w:sz w:val="18"/>
          <w:szCs w:val="18"/>
          <w:color w:val="auto"/>
        </w:rPr>
        <w:t>tender such Warrants without consenting to the Warrant Amendment. The consent to the Warrant Amendment is a part of the Letter of Transmittal and</w:t>
      </w:r>
    </w:p>
    <w:p>
      <w:pPr>
        <w:spacing w:after="0" w:line="219" w:lineRule="auto"/>
        <w:rPr>
          <w:sz w:val="20"/>
          <w:szCs w:val="20"/>
          <w:color w:val="auto"/>
        </w:rPr>
      </w:pPr>
      <w:r>
        <w:rPr>
          <w:rFonts w:ascii="Times New Roman" w:cs="Times New Roman" w:eastAsia="Times New Roman" w:hAnsi="Times New Roman"/>
          <w:sz w:val="18"/>
          <w:szCs w:val="18"/>
          <w:color w:val="auto"/>
        </w:rPr>
        <w:t>Consent relating to the Warrants, and therefore by tendering Consent Warrants for exchange holders will be delivering to us their consent. Holders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revoke consent at any time prior to the Expiration Date (as defined below) by withdrawing the Consent Warrants holders have tendered in the Offer.</w:t>
      </w:r>
    </w:p>
    <w:p>
      <w:pPr>
        <w:spacing w:after="0" w:line="192"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If we do not receive consent to the Warrant Amendment from at least 65% of the holders of the outstanding Consent Warrants, Warrants not exchanged for shares of Class A Common Stock pursuant to the Offer will remain outstanding subject to their current terms, including any such terms permitting the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Company to redeem such Warrants prior to their expiration. The Company reserves the right to redeem any of the Warrants, as applicable, pursuant to their current terms at any time, including prior to the completion of the Offer.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 AND CONSENT SOLICITATION IS NOT MADE TO THOSE HOLDERS WHO RESIDE IN STATES OR OTHER</w:t>
      </w:r>
    </w:p>
    <w:p>
      <w:pPr>
        <w:spacing w:after="0" w:line="6"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7"/>
          <w:szCs w:val="17"/>
          <w:b w:val="1"/>
          <w:bCs w:val="1"/>
          <w:color w:val="auto"/>
        </w:rPr>
        <w:t>JURISDICTIONS WHERE AN OFFER, SOLICITATION OR SALE WOULD BE UNLAWFUL. WE ARE NOT AWARE OF ANY U.S. STATE WHERE THE MAKING OF THE OFFER AND THE CONSENT SOLICITATION IS NOT IN COMPLIANCE WITH APPLICABLE LAW. IF WE BECOME AWARE OF ANY U.S. STATE WHERE THE MAKING OF THE OFFER AND THE CONSENT SOLICITATION OR THE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b w:val="1"/>
          <w:bCs w:val="1"/>
          <w:color w:val="auto"/>
        </w:rPr>
        <w:t>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TENDERS BE ACCEPTED FROM OR ON BEHALF OF) THE WARRANT 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with this letter are copies of the following documents:</w:t>
      </w:r>
    </w:p>
    <w:p>
      <w:pPr>
        <w:spacing w:after="0" w:line="212" w:lineRule="exact"/>
        <w:rPr>
          <w:sz w:val="20"/>
          <w:szCs w:val="20"/>
          <w:color w:val="auto"/>
        </w:rPr>
      </w:pPr>
    </w:p>
    <w:p>
      <w:pPr>
        <w:ind w:left="640" w:hanging="308"/>
        <w:spacing w:after="0"/>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Prospectus/Offer to Exchange;</w:t>
      </w:r>
    </w:p>
    <w:p>
      <w:pPr>
        <w:spacing w:after="0" w:line="225" w:lineRule="exact"/>
        <w:rPr>
          <w:rFonts w:ascii="Times New Roman" w:cs="Times New Roman" w:eastAsia="Times New Roman" w:hAnsi="Times New Roman"/>
          <w:sz w:val="18"/>
          <w:szCs w:val="18"/>
          <w:color w:val="auto"/>
        </w:rPr>
      </w:pPr>
    </w:p>
    <w:p>
      <w:pPr>
        <w:ind w:left="660" w:right="280" w:hanging="328"/>
        <w:spacing w:after="0" w:line="226" w:lineRule="auto"/>
        <w:tabs>
          <w:tab w:leader="none" w:pos="6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and Consent, for your use in accepting the Offer, providing your consent to the Warrant Amendment and tendering Warrants for exchange and for the information of your clients for whose accounts you hold Warrants registered in your name or in the name of your nominee. Manually signed copies of the Letter of Transmittal and Consent may be used to tender Warrants and provide consent;</w:t>
      </w:r>
    </w:p>
    <w:p>
      <w:pPr>
        <w:spacing w:after="0" w:line="184" w:lineRule="exact"/>
        <w:rPr>
          <w:rFonts w:ascii="Times New Roman" w:cs="Times New Roman" w:eastAsia="Times New Roman" w:hAnsi="Times New Roman"/>
          <w:sz w:val="18"/>
          <w:szCs w:val="18"/>
          <w:color w:val="auto"/>
        </w:rPr>
      </w:pPr>
    </w:p>
    <w:p>
      <w:pPr>
        <w:ind w:left="660" w:hanging="328"/>
        <w:spacing w:after="0" w:line="231" w:lineRule="auto"/>
        <w:tabs>
          <w:tab w:leader="none" w:pos="6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Guaranteed Delivery to be used to accept the Offer in the event (i) the procedure for book-entry transfer cannot be completed on a timely basis or (ii) time will not permit all required documents to reach American Stock Transfer &amp; Trust Company, LLC (the “Exchange Agent”) prior to the Expiration Date;</w:t>
      </w:r>
    </w:p>
    <w:p>
      <w:pPr>
        <w:spacing w:after="0" w:line="185"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by you to your clients for whose accounts you hold Warrants registered in your name or in the name of your nominee, including an Instructions Form provided for obtaining each such client’s instructions with regard to the Offer; and</w:t>
      </w:r>
    </w:p>
    <w:p>
      <w:pPr>
        <w:sectPr>
          <w:pgSz w:w="11900" w:h="16838" w:orient="portrait"/>
          <w:cols w:equalWidth="0" w:num="1">
            <w:col w:w="11180"/>
          </w:cols>
          <w:pgMar w:left="320" w:top="1404" w:right="399" w:bottom="1440" w:gutter="0" w:footer="0" w:header="0"/>
        </w:sectPr>
      </w:pPr>
    </w:p>
    <w:bookmarkStart w:id="151" w:name="page152"/>
    <w:bookmarkEnd w:id="151"/>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5.</w:t>
        <w:tab/>
        <w:t>a return envelope addressed to Exchange Agent.</w:t>
      </w:r>
    </w:p>
    <w:p>
      <w:pPr>
        <w:spacing w:after="0" w:line="208"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color w:val="auto"/>
        </w:rPr>
        <w:t>Certain conditions to the Offer are described in the section of the Prospectus/Offer to Exchange entitled “</w:t>
      </w:r>
      <w:r>
        <w:rPr>
          <w:rFonts w:ascii="Times New Roman" w:cs="Times New Roman" w:eastAsia="Times New Roman" w:hAnsi="Times New Roman"/>
          <w:sz w:val="18"/>
          <w:szCs w:val="18"/>
          <w:b w:val="1"/>
          <w:bCs w:val="1"/>
          <w:i w:val="1"/>
          <w:iCs w:val="1"/>
          <w:color w:val="auto"/>
        </w:rPr>
        <w:t>The Offer and Consent Solicitation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General Terms - Conditions to the Offer and Consent Solicitation</w:t>
      </w:r>
      <w:r>
        <w:rPr>
          <w:rFonts w:ascii="Times New Roman" w:cs="Times New Roman" w:eastAsia="Times New Roman" w:hAnsi="Times New Roman"/>
          <w:sz w:val="18"/>
          <w:szCs w:val="18"/>
          <w:b w:val="1"/>
          <w:bCs w:val="1"/>
          <w:color w:val="auto"/>
        </w:rPr>
        <w:t>.”</w:t>
      </w:r>
    </w:p>
    <w:p>
      <w:pPr>
        <w:spacing w:after="0" w:line="1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We urge you to contact your clients promptly. Please note that the Offer and withdrawal rights will expire at one minute after 11:59 p.m., Eastern Standard Time, on August 18, 2022, or such later time and date to which the Company may extend the Offer.</w:t>
      </w:r>
    </w:p>
    <w:p>
      <w:pPr>
        <w:spacing w:after="0" w:line="19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Company will not pay any fees or commissions to any broker, dealer or other person (other than the Exchange Agent, the information agent, dealer manager and certain other persons, as described in the section of the Prospectus/Offer to Exchange entitled “</w:t>
      </w:r>
      <w:r>
        <w:rPr>
          <w:rFonts w:ascii="Times New Roman" w:cs="Times New Roman" w:eastAsia="Times New Roman" w:hAnsi="Times New Roman"/>
          <w:sz w:val="17"/>
          <w:szCs w:val="17"/>
          <w:i w:val="1"/>
          <w:iCs w:val="1"/>
          <w:color w:val="auto"/>
        </w:rPr>
        <w:t>Market Information, Dividends and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Stockholder Matters - Fees and Expenses</w:t>
      </w:r>
      <w:r>
        <w:rPr>
          <w:rFonts w:ascii="Times New Roman" w:cs="Times New Roman" w:eastAsia="Times New Roman" w:hAnsi="Times New Roman"/>
          <w:sz w:val="17"/>
          <w:szCs w:val="17"/>
          <w:color w:val="auto"/>
        </w:rPr>
        <w:t>”) for soliciting tenders of Warrants pursuant to the Offer. However, the Company will, on request, reimburse you</w:t>
      </w:r>
    </w:p>
    <w:p>
      <w:pPr>
        <w:ind w:right="240"/>
        <w:spacing w:after="0" w:line="226" w:lineRule="auto"/>
        <w:rPr>
          <w:sz w:val="20"/>
          <w:szCs w:val="20"/>
          <w:color w:val="auto"/>
        </w:rPr>
      </w:pPr>
      <w:r>
        <w:rPr>
          <w:rFonts w:ascii="Times New Roman" w:cs="Times New Roman" w:eastAsia="Times New Roman" w:hAnsi="Times New Roman"/>
          <w:sz w:val="18"/>
          <w:szCs w:val="18"/>
          <w:color w:val="auto"/>
        </w:rPr>
        <w:t>for customary clerical and mailing expenses incurred by you in forwarding copies of the enclosed materials to your clients for whose accounts you hold Warrants.</w:t>
      </w:r>
    </w:p>
    <w:p>
      <w:pPr>
        <w:spacing w:after="0" w:line="18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Any questions you have regarding the Offer should be directed to, and additional copies of the enclosed materials may be obtained from, the information agent in the Offer:</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and Consent Solicitation is:</w:t>
      </w: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Call Toll-Free: (866) 342-4881</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Banks and Brokers Only: (212) 269-5550</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Email: pwp@dfking.com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2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7"/>
          <w:szCs w:val="17"/>
          <w:b w:val="1"/>
          <w:bCs w:val="1"/>
          <w:color w:val="auto"/>
        </w:rPr>
        <w:t>Nothing contained in this letter or in the enclosed documents shall constitute you or any other person the agent of the Company, the Exchange Agent, the dealer manager, the information agent or any affiliate of any of them, or authorize you or any other person to give any information or use any document or make any statement on behalf of any of them in connection with the Offer and Consent Solicitation other than the enclosed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the documents incorporated by reference therein and the statements contained or incorporated by reference therein.</w:t>
      </w:r>
    </w:p>
    <w:p>
      <w:pPr>
        <w:sectPr>
          <w:pgSz w:w="11900" w:h="16838" w:orient="portrait"/>
          <w:cols w:equalWidth="0" w:num="1">
            <w:col w:w="11160"/>
          </w:cols>
          <w:pgMar w:left="320" w:top="1404" w:right="419" w:bottom="1440" w:gutter="0" w:footer="0" w:header="0"/>
        </w:sectPr>
      </w:pPr>
    </w:p>
    <w:bookmarkStart w:id="152" w:name="page153"/>
    <w:bookmarkEnd w:id="152"/>
    <w:p>
      <w:pPr>
        <w:ind w:left="1032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CLIENTS OF BROKERS, DEALERS, COMMERCIAL BANKS, TRUST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COMPANIES AND OTHER NOMINEES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177165</wp:posOffset>
            </wp:positionV>
            <wp:extent cx="7098030" cy="8655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098030" cy="865505"/>
                    </a:xfrm>
                    <a:prstGeom prst="rect">
                      <a:avLst/>
                    </a:prstGeom>
                    <a:noFill/>
                  </pic:spPr>
                </pic:pic>
              </a:graphicData>
            </a:graphic>
          </wp:anchor>
        </w:drawing>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THE OFFER AND CONSENT SOLICITATION (AS DEFINED BELOW) AND WITHDRAWAL RIGHTS WILL EXPIRE AT ONE MINUTE</w:t>
      </w:r>
    </w:p>
    <w:p>
      <w:pPr>
        <w:spacing w:after="0" w:line="6" w:lineRule="exact"/>
        <w:rPr>
          <w:sz w:val="20"/>
          <w:szCs w:val="20"/>
          <w:color w:val="auto"/>
        </w:rPr>
      </w:pPr>
    </w:p>
    <w:p>
      <w:pPr>
        <w:ind w:left="80" w:right="240"/>
        <w:spacing w:after="0" w:line="220" w:lineRule="auto"/>
        <w:rPr>
          <w:sz w:val="20"/>
          <w:szCs w:val="20"/>
          <w:color w:val="auto"/>
        </w:rPr>
      </w:pPr>
      <w:r>
        <w:rPr>
          <w:rFonts w:ascii="Times New Roman" w:cs="Times New Roman" w:eastAsia="Times New Roman" w:hAnsi="Times New Roman"/>
          <w:sz w:val="17"/>
          <w:szCs w:val="17"/>
          <w:b w:val="1"/>
          <w:bCs w:val="1"/>
          <w:color w:val="auto"/>
        </w:rPr>
        <w:t>AFTER 11:59 P.M., EASTERN STANDARD TIME, ON AUGUST 18, 2022, OR SUCH LATER TIME AND DATE TO WHICH WE MAY EXTEND. THE PUBLIC WARRANTS (AS DEFINED BELOW) AND THE PRIVATE PLACEMENT WARRANTS (AS DEFINED BELOW) (COLLECTIVELY, THE “WARRANTS”) TENDERED PURSUANT TO THE OFFER AND CONSENT SOLICITATION MAY BE</w:t>
      </w:r>
    </w:p>
    <w:p>
      <w:pPr>
        <w:spacing w:after="0" w:line="2" w:lineRule="exact"/>
        <w:rPr>
          <w:sz w:val="20"/>
          <w:szCs w:val="20"/>
          <w:color w:val="auto"/>
        </w:rPr>
      </w:pPr>
    </w:p>
    <w:p>
      <w:pPr>
        <w:jc w:val="both"/>
        <w:ind w:left="80" w:right="1320"/>
        <w:spacing w:after="0" w:line="218" w:lineRule="auto"/>
        <w:rPr>
          <w:sz w:val="20"/>
          <w:szCs w:val="20"/>
          <w:color w:val="auto"/>
        </w:rPr>
      </w:pPr>
      <w:r>
        <w:rPr>
          <w:rFonts w:ascii="Times New Roman" w:cs="Times New Roman" w:eastAsia="Times New Roman" w:hAnsi="Times New Roman"/>
          <w:sz w:val="18"/>
          <w:szCs w:val="18"/>
          <w:b w:val="1"/>
          <w:bCs w:val="1"/>
          <w:color w:val="auto"/>
        </w:rPr>
        <w:t>WITHDRAWN PRIOR TO THE EXPIRATION DATE (AS DEFINED BELOW). CONSENTS MAY BE REVOKED ONLY BY WITHDRAWING THE TENDER OF THE RELATED WARRANTS AND THE WITHDRAWAL OF ANY WARRANTS WILL AUTOMATICALLY CONSTITUTE A REVOCATION OF THE RELATED CONSENTS.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22,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Our Clients: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Enclosed are the Prospectus/Offer to Exchange dated July 22, 2022 (the “Prospectus/Offer to Exchange”), and the related Letter of Transmittal and Consent (the “Letter of Transmittal and Consent”), which together set forth the offer of Perella Weinberg Partners, a Delaware corporation (the “Company”), to each holder of the Warrants to purchase shares of Class A Common Stock, par value $0.0001 per share (the “Class A Common Stock”), of the Company, the opportunity to receive 0.20 shares of Class A Common Stock in exchange for each Warrant tendered by the holder (“Warrant Holder”) and exchanged pursuant to the offer (the “Offer”). The Offer is made solely upon the terms and conditions in the Prospectus/Offer to Exchange and in the Letter of Transmittal and Consent. The Offer will expire at one minute after 11:59 p.m., Eastern Standard Time, on August 18, 2022, or such later time and date to which the Company may extend the Offer. The period during which the Offer is open, giving effect to any withdrawal or extension, is referred to as the “Offer Period.” The date and time at which the Offer Period ends is referred to as the “Expiration Date.”</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Offer is being made to all holders of the Company’s Warrants. The Warrants sold as part of the units in FinTech Acquisition Corp. IV’s (“FTIV”) initial public offering of FTIV’s securities on September 29, 2020 (“IPO”) (whether they were purchased in the IPO or thereafter in the open market) are referred to herein as the “Public Warrants.” The Warrants sold as part of the units in a private placement that occurred simultaneously with the IPO are referred to herein as the “Private Placement Warrants.” Each Warrant entitles the holder to purchase one share of our Class A Common Stock at a price of $11.50 per share, subject to adjustment. The terms of the Private Placement Warrants are identical to the Public Warrants, except that the Private Placement Warrants are exercisable for cash or on a cashless basis and are not redeemable by the Company, in each case, so long as they are still held by FinTech Investor Holdings IV, LLC or FinTech Masala Advisors, LLC or their permitted transferees. The Warrants are quoted on The Nasdaq Global Select Market (the “Nasdaq”) under the symbol “PWPPW.” As of July 19, 2022, 7,869,975 Warrants, consisting of 7,666,642 Public Warrants and 203,333 Private Placement Warrants, were outstanding. Pursuant to the Offer, the Company is offering up to an aggregate of 1,573,995 shares of Class A Common Stock in exchange for all of the Warrants.</w:t>
      </w:r>
    </w:p>
    <w:p>
      <w:pPr>
        <w:sectPr>
          <w:pgSz w:w="11900" w:h="16838" w:orient="portrait"/>
          <w:cols w:equalWidth="0" w:num="1">
            <w:col w:w="11240"/>
          </w:cols>
          <w:pgMar w:left="320" w:top="104" w:right="339" w:bottom="1440" w:gutter="0" w:footer="0" w:header="0"/>
        </w:sectPr>
      </w:pPr>
    </w:p>
    <w:bookmarkStart w:id="153" w:name="page154"/>
    <w:bookmarkEnd w:id="153"/>
    <w:p>
      <w:pPr>
        <w:ind w:right="300"/>
        <w:spacing w:after="0" w:line="282" w:lineRule="auto"/>
        <w:rPr>
          <w:sz w:val="20"/>
          <w:szCs w:val="20"/>
          <w:color w:val="auto"/>
        </w:rPr>
      </w:pPr>
      <w:r>
        <w:rPr>
          <w:rFonts w:ascii="Times New Roman" w:cs="Times New Roman" w:eastAsia="Times New Roman" w:hAnsi="Times New Roman"/>
          <w:sz w:val="18"/>
          <w:szCs w:val="18"/>
          <w:color w:val="auto"/>
        </w:rPr>
        <w:t>Each holder whose Warrants are exchanged pursuant to the Offer will receive 0.20 shares of Class A Common Stock for each Warrant tendered by such holder and exchanged. Any Warrant Holder that participates in the Offer may tender less than all of its Warrants for exchange.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the Class A Common Stock on the Nasdaq on the last trading day of the Offer Period. The Company’s obligation to complete the Offer is not conditioned on the receipt of a minimum number of tendered Warrants.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Concurrently with the Offer, the Company is also soliciting consents (the “Consent Solicitation”) from holders of the Public Warrants (the “Consent Warrants”) to amend the warrant agreement, dated as of September 24, 2020, by and between the Company (f/k/a FinTech Acquisition Corp. IV) and Continental Stock Transfer &amp; Trust Company, as amended by Amendment No.1 to the Warrant Agreement, dated as of November 10, 2021, by and among the Company, Continental Stock Transfer &amp; Trust Company and American Stock Transfer &amp; Trust Company, LLC, as warrant agent, which governs all of the Warrants, to permit the Company to require that each Warrant (including each Private Placement Warrant) that is outstanding upon the closing of the Offer be converted into 0.18 shares of Class A Common Stock, which is a ratio 10% less than the exchange ratio applicable to the Offer (the “Warrant Amendment”). Pursuant to the terms of the Warrant Agreement, the adoption of the Warrant Amendment will require the consent of holders of at least 65% of the outstanding Public Warrants.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Parties representing approximately 45.9% of the Public Warrants have agreed to tender their Warrants in the Offer and to consent to the Warrant Amendment in the Consent Solicitation pursuant to a tender and support agreement (the “Tender and Support Agreement”). Accordingly, if holders of an additional approximately 19.1% of the outstanding Public Warrants consent to the Warrant Amendment in the Consent Solicitation, and the other conditions described herein are satisfied or waived, then the Warrant Amendment will be adopted.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Consent Warrants may not consent to the Warrant Amendment without tendering Consent Warrants in the Offer and holders may not tender such Warrants without consenting to the Warrant Amendment. The consent to the Warrant Amendment is a part of the Letter of Transmittal and Consent relating to the Warrants, and therefore by tendering Consent Warrants for exchange holders will be delivering to us their consent. Holders may revoke consent at any time prior to the Expiration Date (as defined below) by withdrawing the Consent Warrants holders have tendered in the Offer.</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do not receive consent to the Warrant Amendment from at least 65% of the holders of the outstanding Consent Warrants, Warrants not exchanged for shares of Class A Common Stock pursuant to the Offer will remain outstanding subject to their current terms, including any such terms permitting the Company to redeem such Warrants prior to their expiration. The Company reserves the right to redeem any of the Warrants, as applicable, pursuant to their current terms at any time, including prior to the completion of the Offer.</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THE OFFER AND CONSENT SOLICITATION IS NOT MADE TO THOSE HOLDERS WHO RESIDE IN STATES OR OTHER JURISDICTIONS WHERE AN OFFER, SOLICITATION OR SALE WOULD BE UNLAWFUL. WE ARE NOT AWARE OF ANY U.S. STATE WHERE THE MAKING OF THE OFFER AND THE CONSENT SOLICITATION IS NOT IN COMPLIANCE WITH APPLICABLE LAW. IF WE BECOME AWARE OF ANY U.S. STATE WHERE THE MAKING OF THE OFFER AND THE CONSENT SOLICITATION OR THE ACCEPTANCE OF THE WARRANTS PURSUANT TO THE OFFER IS NOT IN COMPLIANCE WITH APPLICABLE LAW, WE WILL MAKE A GOOD FAITH EFFORT TO COMPLY WITH THE APPLICABLE LAW. IF, AFTER SUCH GOOD FAITH EFFORT, WE CANNOT COMPLY WITH THE APPLICABLE LAW, THE OFFER AND THE CONSENT SOLICITATION WILL NOT BE MADE TO (NOR WILL TENDERS BE ACCEPTED FROM OR ON BEHALF OF) THE WARRANT HOLDERS.</w:t>
      </w:r>
    </w:p>
    <w:p>
      <w:pPr>
        <w:sectPr>
          <w:pgSz w:w="11900" w:h="16838" w:orient="portrait"/>
          <w:cols w:equalWidth="0" w:num="1">
            <w:col w:w="11220"/>
          </w:cols>
          <w:pgMar w:left="320" w:top="1417" w:right="359" w:bottom="1440" w:gutter="0" w:footer="0" w:header="0"/>
        </w:sectPr>
      </w:pPr>
    </w:p>
    <w:bookmarkStart w:id="154" w:name="page155"/>
    <w:bookmarkEnd w:id="154"/>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Please follow the instructions in this document and the related documents, including the accompanying Letter of Transmittal and Consent, to cause your Warrants to be tendered for exchange pursuant to the Offer and, with respect to Consent Warrants, provide consent to the Warrant Amendment.</w:t>
      </w: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of the Offer, the Company will allow the exchange of all Warrants properly tendered before the Expiration Date and not properly withdrawn, at an exchange rate of 0.20 shares of Class A Common Stock for each Warrant so tendered.</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the owner of record of Warrants held for your account. As such, only we can exchange and tender your Warrants, and then only pursuant to your instructions. We are sending you the Letter of Transmittal and Consent for your information only; you cannot use it to exchange and tender Warrants we hold for your account, nor to provide consent to the Warrant Amendment.</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Please instruct us as to whether you wish us to tender for exchange any or all of the Warrants we hold for your account, on the terms and subject to the conditions of the Offer.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the following:</w:t>
      </w:r>
    </w:p>
    <w:p>
      <w:pPr>
        <w:spacing w:after="0" w:line="225" w:lineRule="exact"/>
        <w:rPr>
          <w:sz w:val="20"/>
          <w:szCs w:val="20"/>
          <w:color w:val="auto"/>
        </w:rPr>
      </w:pPr>
    </w:p>
    <w:p>
      <w:pPr>
        <w:ind w:left="660" w:right="80" w:hanging="328"/>
        <w:spacing w:after="0" w:line="282" w:lineRule="auto"/>
        <w:tabs>
          <w:tab w:leader="none" w:pos="6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Warrants may be exchanged at the exchange rate of 0.20 shares of Class A Common Stock for every one of your Warrants properly tendered for exchange.</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made solely upon the terms and conditions set forth in the Prospectus/Offer to Exchange and in the Letter of Transmittal and Consent. In particular, please see “</w:t>
      </w:r>
      <w:r>
        <w:rPr>
          <w:rFonts w:ascii="Times New Roman" w:cs="Times New Roman" w:eastAsia="Times New Roman" w:hAnsi="Times New Roman"/>
          <w:sz w:val="18"/>
          <w:szCs w:val="18"/>
          <w:i w:val="1"/>
          <w:iCs w:val="1"/>
          <w:color w:val="auto"/>
        </w:rPr>
        <w:t>The Offer and Consent Solicitation - General Terms - Conditions to the Offer and Consent Solicitation</w:t>
      </w:r>
      <w:r>
        <w:rPr>
          <w:rFonts w:ascii="Times New Roman" w:cs="Times New Roman" w:eastAsia="Times New Roman" w:hAnsi="Times New Roman"/>
          <w:sz w:val="18"/>
          <w:szCs w:val="18"/>
          <w:color w:val="auto"/>
        </w:rPr>
        <w:t>” in the Prospectus/Offer to Exchange.</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tendering your Consent Warrants for exchange you are concurrently consenting to the Warrant Amendment. You may not consent to the Warrant Amendment without tendering your Consent Warrants in the Offer and you may not tender your Consent Warrants without consenting to the Warrant Amendment.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at one minute after 11:59 p.m., Eastern Standard Time, on August 18, 2022, or such later time and date to which the Company may extend the Offer.</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If you wish to have us tender any or all of your Warrants for exchange pursuant to the Offer and Consent Solicitation, please so instruct us by completing, executing, detaching and returning to us the attached Instructions Form. If you authorize us to tender your Warrants, we will tender for exchange all of your Warrants unless you specify otherwise on the attached Instruction Form.</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a tender on your behalf before the Expiration Date. Please note that the Offer and withdrawal rights will expire at one minute after 11:59 p.m., Eastern Standard Time, on August 18, 2022, or such later time and date to which the Company may extend the Offer.</w:t>
      </w:r>
    </w:p>
    <w:p>
      <w:pPr>
        <w:spacing w:after="0" w:line="17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color w:val="auto"/>
        </w:rPr>
        <w:t>The board of directors of the Company has approved the Offer and Consent Solicitation. However, neither the Company nor any of its management, its board of directors, the dealer manager, the information agent, or the exchange agent for the Offer is making any recommendation as to whether holders of Warrants should tender Warrants for exchange in the Offer and Consent Solicitation. The Company has not authorized any person to make any recommendation. You should carefully evaluate all information included or incorporated by reference in the Prospectus/Offer to Exchange and in the Letter of Transmittal and Consent, and should consult your own investment and tax advisors. You must decide whether to have your Warrants exchanged and, if so, how many Warrants to have exchanged. In doing so, you should read carefully the information included or incorporated by reference in the Prospectus/Offer to Exchange and in the Letter of Transmittal and Consent.</w:t>
      </w:r>
    </w:p>
    <w:p>
      <w:pPr>
        <w:sectPr>
          <w:pgSz w:w="11900" w:h="16838" w:orient="portrait"/>
          <w:cols w:equalWidth="0" w:num="1">
            <w:col w:w="11240"/>
          </w:cols>
          <w:pgMar w:left="320" w:top="1415" w:right="339" w:bottom="1440" w:gutter="0" w:footer="0" w:header="0"/>
        </w:sectPr>
      </w:pPr>
    </w:p>
    <w:bookmarkStart w:id="155" w:name="page156"/>
    <w:bookmarkEnd w:id="1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Instructions Form</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Offer To Exchange Warrants to Acquire Shares of Class A Common Stock</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Shares of Class A 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Solicitation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Prospectus/Offer to Exchange dated July 22, 2022 (the “Prospectus/Offer to Exchange”), and the related Letter of Transmittal and Consent (the “Letter of Transmittal and Consent”), which together set forth the offer of Perella Weinberg Partners, a Delaware corporation (the “Company”), to each holder of the Warrants (as defined below) to purchase shares of Class A Common Stock, par value $0.0001 per share (“Class A Common Stock”), of the Company, the opportunity to receive 0.20 shares of Class A Common Stock in exchange for each Warrant tendered by the holder and exchanged pursuant to the offer (the “Offer”). The Offer is being made to all holders of the Company’s Warrants. The Warrants sold as part of the units in FinTech Acquisition Corp. IV’s (“FTIV”) initial public offering of FTIV’s securities on September 29, 2020 (“IPO”) (whether they were purchased in the IPO or thereafter in the open market) are referred to herein as the “Public Warrants.” The Warrants sold as part of the units in a private placement that occurred simultaneously with the IPO are referred to herein as the “Private Placement Warrants”. Each Warrant entitles the holder to purchase one share of our Class A Common Stock at a price of $11.50 per share, subject to adjustment.</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undersigned hereby instructs you to tender for exchange the number of Warrants indicated below or, if no number is indicated, all Warrants you hold for the account of the undersigned, on the terms and subject to the conditions set forth in the Prospectus/Offer to Exchange and in the Letter of Transmittal and Consent.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By participating in the Offer, the undersigned acknowledges that: (i) the Offer and Consent Solicitation are made solely only upon the terms and conditions in the Prospectus/Offer to Exchange and in the Letter of Transmittal and Consent; (ii) upon and subject to the terms and conditions set forth in the Prospectus/Offer to Exchange and the Letter of Transmittal and Consent, Public Warrants properly tendered and accepted and not validly withdrawn constitutes the undersigned’s validly delivered consent to the Warrant Amendment; (iii) the Offer will expire at one minute after 11:59 p.m., Eastern Standard Time, on August 18, 2022, or such later time and date to which the Company may extend the Offer (the period during which the Offer is open, giving effect to any withdrawal or extension, is referred to as the “Offer Period”); (iv) the Offer is established voluntarily by the Company, it is discretionary in nature, and it may be extended, modified, suspended or terminated by the Company as provided in the Prospectus/Offer to Exchange; (v) the undersigned is voluntarily participating in the Offer and is aware of the conditions of the Offer; (vi) the future value of shares of the Class A Common Stock is unknown and cannot be predicted with certainty; (vii) the undersigned has received and read the Prospectus/Offer to Exchange and the Letter of Transmittal and Consent; and (viii) regardless of any action that the Company takes with respect to any or all income/capital gains tax, social security or insurance, transfer tax or other tax-related items (“Tax Items”) related to the Offer and the disposition of Warrants, the undersigned acknowledges that the ultimate liability for all Tax Items is and remains the responsibility solely of the undersigned. In that regard, the undersigned authorizes the Company to withhold all applicable Tax Items legally payable by the undersigned.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Warrants to be exchanged by you for the account of the undersigned:</w:t>
      </w:r>
    </w:p>
    <w:p>
      <w:pPr>
        <w:spacing w:after="0" w:line="229" w:lineRule="exact"/>
        <w:rPr>
          <w:sz w:val="20"/>
          <w:szCs w:val="20"/>
          <w:color w:val="auto"/>
        </w:rPr>
      </w:pPr>
    </w:p>
    <w:p>
      <w:pPr>
        <w:ind w:left="280" w:hanging="272"/>
        <w:spacing w:after="0"/>
        <w:tabs>
          <w:tab w:leader="none" w:pos="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will be issued pursuant to the Offer. In lieu of issuing fractional shares, any holder of Warrants who would otherwise have been</w:t>
      </w:r>
    </w:p>
    <w:p>
      <w:pPr>
        <w:spacing w:after="0" w:line="27" w:lineRule="exact"/>
        <w:rPr>
          <w:rFonts w:ascii="Times New Roman" w:cs="Times New Roman" w:eastAsia="Times New Roman" w:hAnsi="Times New Roman"/>
          <w:sz w:val="18"/>
          <w:szCs w:val="18"/>
          <w:color w:val="auto"/>
        </w:rPr>
      </w:pPr>
    </w:p>
    <w:p>
      <w:pPr>
        <w:ind w:left="500" w:right="4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entitled to receive fractional shares pursuant to the Offer will, after aggregating all such fractional shares of such holder, be paid cash (without interest) in an amount equal to such fractional part of a share multiplied by the last sale price of the Class A Common Stock on the Nasdaq</w:t>
      </w:r>
    </w:p>
    <w:p>
      <w:pPr>
        <w:sectPr>
          <w:pgSz w:w="11900" w:h="16838" w:orient="portrait"/>
          <w:cols w:equalWidth="0" w:num="1">
            <w:col w:w="11180"/>
          </w:cols>
          <w:pgMar w:left="320" w:top="1413" w:right="399" w:bottom="1440" w:gutter="0" w:footer="0" w:header="0"/>
        </w:sectPr>
      </w:pPr>
    </w:p>
    <w:bookmarkStart w:id="156" w:name="page157"/>
    <w:bookmarkEnd w:id="156"/>
    <w:p>
      <w:pPr>
        <w:ind w:left="500"/>
        <w:spacing w:after="0" w:line="282" w:lineRule="auto"/>
        <w:rPr>
          <w:sz w:val="20"/>
          <w:szCs w:val="20"/>
          <w:color w:val="auto"/>
        </w:rPr>
      </w:pPr>
      <w:r>
        <w:rPr>
          <w:rFonts w:ascii="Times New Roman" w:cs="Times New Roman" w:eastAsia="Times New Roman" w:hAnsi="Times New Roman"/>
          <w:sz w:val="18"/>
          <w:szCs w:val="18"/>
          <w:color w:val="auto"/>
        </w:rPr>
        <w:t>Global Select Market on the last trading day of the Offer Period. The Company’s obligation to complete the Offer is not conditioned on the receipt of a minimum number of tendered Warrants.</w:t>
      </w:r>
    </w:p>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Unless otherwise indicated it will be assumed that all Warrants held by us for your account are to be exchanged.</w:t>
      </w:r>
    </w:p>
    <w:p>
      <w:pPr>
        <w:sectPr>
          <w:pgSz w:w="11900" w:h="16838" w:orient="portrait"/>
          <w:cols w:equalWidth="0" w:num="1">
            <w:col w:w="11240"/>
          </w:cols>
          <w:pgMar w:left="320" w:top="1417" w:right="339" w:bottom="1440" w:gutter="0" w:footer="0" w:header="0"/>
        </w:sectPr>
      </w:pPr>
    </w:p>
    <w:bookmarkStart w:id="157" w:name="page158"/>
    <w:bookmarkEnd w:id="157"/>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17145</wp:posOffset>
            </wp:positionV>
            <wp:extent cx="62579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14605</wp:posOffset>
            </wp:positionV>
            <wp:extent cx="44919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1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-1905</wp:posOffset>
            </wp:positionV>
            <wp:extent cx="4491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-1905</wp:posOffset>
            </wp:positionV>
            <wp:extent cx="4491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22860</wp:posOffset>
            </wp:positionV>
            <wp:extent cx="44919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-121920</wp:posOffset>
            </wp:positionV>
            <wp:extent cx="44919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25"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color w:val="auto"/>
        </w:rPr>
        <w:t>(Including Zip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51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51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sectPr>
      <w:pgSz w:w="11900" w:h="16838" w:orient="portrait"/>
      <w:cols w:equalWidth="0" w:num="1">
        <w:col w:w="10099"/>
      </w:cols>
      <w:pgMar w:left="3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lvl w:ilvl="1">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lowerRoman"/>
      <w:start w:val="2"/>
    </w:lvl>
  </w:abstractNum>
  <w:abstractNum w:abstractNumId="6">
    <w:nsid w:val="15B5AF5C"/>
    <w:multiLevelType w:val="hybridMultilevel"/>
    <w:lvl w:ilvl="0">
      <w:lvlJc w:val="left"/>
      <w:lvlText w:val="(%1)"/>
      <w:numFmt w:val="lowerRoman"/>
      <w:start w:val="2"/>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lowerRoman"/>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2"/>
    </w:lvl>
  </w:abstractNum>
  <w:abstractNum w:abstractNumId="19">
    <w:nsid w:val="1DBABF00"/>
    <w:multiLevelType w:val="hybridMultilevel"/>
    <w:lvl w:ilvl="0">
      <w:lvlJc w:val="left"/>
      <w:lvlText w:val="%1"/>
      <w:numFmt w:val="decimal"/>
      <w:start w:val="1"/>
    </w:lvl>
    <w:lvl w:ilvl="1">
      <w:lvlJc w:val="left"/>
      <w:lvlText w:val="(%2)"/>
      <w:numFmt w:val="lowerLetter"/>
      <w:start w:val="1"/>
    </w:lvl>
  </w:abstractNum>
  <w:abstractNum w:abstractNumId="20">
    <w:nsid w:val="4AD084E9"/>
    <w:multiLevelType w:val="hybridMultilevel"/>
    <w:lvl w:ilvl="0">
      <w:lvlJc w:val="left"/>
      <w:lvlText w:val="%1."/>
      <w:numFmt w:val="decimal"/>
      <w:start w:val="3"/>
    </w:lvl>
    <w:lvl w:ilvl="1">
      <w:lvlJc w:val="left"/>
      <w:lvlText w:val="%2"/>
      <w:numFmt w:val="lowerLetter"/>
      <w:start w:val="1"/>
    </w:lvl>
  </w:abstractNum>
  <w:abstractNum w:abstractNumId="21">
    <w:nsid w:val="1F48EAA1"/>
    <w:multiLevelType w:val="hybridMultilevel"/>
    <w:lvl w:ilvl="0">
      <w:lvlJc w:val="left"/>
      <w:lvlText w:val="(%1)"/>
      <w:numFmt w:val="lowerLetter"/>
      <w:start w:val="27"/>
    </w:lvl>
  </w:abstractNum>
  <w:abstractNum w:abstractNumId="22">
    <w:nsid w:val="1381823A"/>
    <w:multiLevelType w:val="hybridMultilevel"/>
    <w:lvl w:ilvl="0">
      <w:lvlJc w:val="left"/>
      <w:lvlText w:val="(%1)"/>
      <w:numFmt w:val="lowerLetter"/>
      <w:start w:val="30"/>
    </w:lvl>
  </w:abstractNum>
  <w:abstractNum w:abstractNumId="23">
    <w:nsid w:val="5DB70AE5"/>
    <w:multiLevelType w:val="hybridMultilevel"/>
    <w:lvl w:ilvl="0">
      <w:lvlJc w:val="left"/>
      <w:lvlText w:val="(%1)"/>
      <w:numFmt w:val="lowerLetter"/>
      <w:start w:val="34"/>
    </w:lvl>
  </w:abstractNum>
  <w:abstractNum w:abstractNumId="24">
    <w:nsid w:val="100F8FCA"/>
    <w:multiLevelType w:val="hybridMultilevel"/>
    <w:lvl w:ilvl="0">
      <w:lvlJc w:val="left"/>
      <w:lvlText w:val="%1."/>
      <w:numFmt w:val="decimal"/>
      <w:start w:val="4"/>
    </w:lvl>
  </w:abstractNum>
  <w:abstractNum w:abstractNumId="25">
    <w:nsid w:val="6590700B"/>
    <w:multiLevelType w:val="hybridMultilevel"/>
    <w:lvl w:ilvl="0">
      <w:lvlJc w:val="left"/>
      <w:lvlText w:val="(%1)"/>
      <w:numFmt w:val="lowerLetter"/>
      <w:start w:val="40"/>
    </w:lvl>
  </w:abstractNum>
  <w:abstractNum w:abstractNumId="26">
    <w:nsid w:val="15014ACB"/>
    <w:multiLevelType w:val="hybridMultilevel"/>
    <w:lvl w:ilvl="0">
      <w:lvlJc w:val="left"/>
      <w:lvlText w:val="(%1)"/>
      <w:numFmt w:val="decimal"/>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1)"/>
      <w:numFmt w:val="lowerRoman"/>
      <w:start w:val="4"/>
    </w:lvl>
  </w:abstractNum>
  <w:abstractNum w:abstractNumId="29">
    <w:nsid w:val="799D0247"/>
    <w:multiLevelType w:val="hybridMultilevel"/>
    <w:lvl w:ilvl="0">
      <w:lvlJc w:val="left"/>
      <w:lvlText w:val="(%1)"/>
      <w:numFmt w:val="lowerRoman"/>
      <w:start w:val="3"/>
    </w:lvl>
  </w:abstractNum>
  <w:abstractNum w:abstractNumId="30">
    <w:nsid w:val="6B94764"/>
    <w:multiLevelType w:val="hybridMultilevel"/>
    <w:lvl w:ilvl="0">
      <w:lvlJc w:val="left"/>
      <w:lvlText w:val="(%1)"/>
      <w:numFmt w:val="lowerRoman"/>
      <w:start w:val="3"/>
    </w:lvl>
  </w:abstractNum>
  <w:abstractNum w:abstractNumId="31">
    <w:nsid w:val="42C296BD"/>
    <w:multiLevelType w:val="hybridMultilevel"/>
    <w:lvl w:ilvl="0">
      <w:lvlJc w:val="left"/>
      <w:lvlText w:val="(%1)"/>
      <w:numFmt w:val="decimal"/>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decimal"/>
      <w:start w:val="212"/>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7">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8">
    <w:nsid w:val="4962813B"/>
    <w:multiLevelType w:val="hybridMultilevel"/>
    <w:lvl w:ilvl="0">
      <w:lvlJc w:val="left"/>
      <w:lvlText w:val="%1"/>
      <w:numFmt w:val="lowerLetter"/>
      <w:start w:val="1"/>
    </w:lvl>
    <w:lvl w:ilvl="1">
      <w:lvlJc w:val="left"/>
      <w:lvlText w:val="(%2)"/>
      <w:numFmt w:val="lowerRoman"/>
      <w:start w:val="2"/>
    </w:lvl>
  </w:abstractNum>
  <w:abstractNum w:abstractNumId="49">
    <w:nsid w:val="60B6DF70"/>
    <w:multiLevelType w:val="hybridMultilevel"/>
    <w:lvl w:ilvl="0">
      <w:lvlJc w:val="left"/>
      <w:lvlText w:val="(%1)"/>
      <w:numFmt w:val="lowerLetter"/>
      <w:start w:val="2"/>
    </w:lvl>
    <w:lvl w:ilvl="1">
      <w:lvlJc w:val="left"/>
      <w:lvlText w:val="%2"/>
      <w:numFmt w:val="lowerRoman"/>
      <w:start w:val="1"/>
    </w:lvl>
  </w:abstractNum>
  <w:abstractNum w:abstractNumId="50">
    <w:nsid w:val="6A5EE64"/>
    <w:multiLevelType w:val="hybridMultilevel"/>
    <w:lvl w:ilvl="0">
      <w:lvlJc w:val="left"/>
      <w:lvlText w:val="(%1)"/>
      <w:numFmt w:val="decimal"/>
      <w:start w:val="1"/>
    </w:lvl>
  </w:abstractNum>
  <w:abstractNum w:abstractNumId="51">
    <w:nsid w:val="14330624"/>
    <w:multiLevelType w:val="hybridMultilevel"/>
    <w:lvl w:ilvl="0">
      <w:lvlJc w:val="left"/>
      <w:lvlText w:val="(%1)"/>
      <w:numFmt w:val="lowerLetter"/>
      <w:start w:val="1"/>
    </w:lvl>
  </w:abstractNum>
  <w:abstractNum w:abstractNumId="52">
    <w:nsid w:val="7FFFCA11"/>
    <w:multiLevelType w:val="hybridMultilevel"/>
    <w:lvl w:ilvl="0">
      <w:lvlJc w:val="left"/>
      <w:lvlText w:val="%1."/>
      <w:numFmt w:val="decimal"/>
      <w:start w:val="1"/>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lowerLetter"/>
      <w:start w:val="2"/>
    </w:lvl>
  </w:abstractNum>
  <w:abstractNum w:abstractNumId="55">
    <w:nsid w:val="100F59DC"/>
    <w:multiLevelType w:val="hybridMultilevel"/>
    <w:lvl w:ilvl="0">
      <w:lvlJc w:val="left"/>
      <w:lvlText w:val="(%1)"/>
      <w:numFmt w:val="lowerLetter"/>
      <w:start w:val="1"/>
    </w:lvl>
  </w:abstractNum>
  <w:abstractNum w:abstractNumId="56">
    <w:nsid w:val="7FB7E0AA"/>
    <w:multiLevelType w:val="hybridMultilevel"/>
    <w:lvl w:ilvl="0">
      <w:lvlJc w:val="left"/>
      <w:lvlText w:val="(%1)"/>
      <w:numFmt w:val="lowerLetter"/>
      <w:start w:val="1"/>
    </w:lvl>
  </w:abstractNum>
  <w:abstractNum w:abstractNumId="57">
    <w:nsid w:val="6EB5BD4"/>
    <w:multiLevelType w:val="hybridMultilevel"/>
    <w:lvl w:ilvl="0">
      <w:lvlJc w:val="left"/>
      <w:lvlText w:val="%1."/>
      <w:numFmt w:val="decimal"/>
      <w:start w:val="1"/>
    </w:lvl>
    <w:lvl w:ilvl="1">
      <w:lvlJc w:val="left"/>
      <w:lvlText w:val="(%2)"/>
      <w:numFmt w:val="lowerLetter"/>
      <w:start w:val="1"/>
    </w:lvl>
  </w:abstractNum>
  <w:abstractNum w:abstractNumId="58">
    <w:nsid w:val="6F6DD9AC"/>
    <w:multiLevelType w:val="hybridMultilevel"/>
    <w:lvl w:ilvl="0">
      <w:lvlJc w:val="left"/>
      <w:lvlText w:val="%1."/>
      <w:numFmt w:val="decimal"/>
      <w:start w:val="3"/>
    </w:lvl>
    <w:lvl w:ilvl="1">
      <w:lvlJc w:val="left"/>
      <w:lvlText w:val="(%2)"/>
      <w:numFmt w:val="lowerLetter"/>
      <w:start w:val="1"/>
    </w:lvl>
  </w:abstractNum>
  <w:abstractNum w:abstractNumId="59">
    <w:nsid w:val="94211F2"/>
    <w:multiLevelType w:val="hybridMultilevel"/>
    <w:lvl w:ilvl="0">
      <w:lvlJc w:val="left"/>
      <w:lvlText w:val="(%1)"/>
      <w:numFmt w:val="lowerLetter"/>
      <w:start w:val="3"/>
    </w:lvl>
  </w:abstractNum>
  <w:abstractNum w:abstractNumId="60">
    <w:nsid w:val="885E1B"/>
    <w:multiLevelType w:val="hybridMultilevel"/>
    <w:lvl w:ilvl="0">
      <w:lvlJc w:val="left"/>
      <w:lvlText w:val="(%1)"/>
      <w:numFmt w:val="lowerLetter"/>
      <w:start w:val="6"/>
    </w:lvl>
  </w:abstractNum>
  <w:abstractNum w:abstractNumId="61">
    <w:nsid w:val="76272110"/>
    <w:multiLevelType w:val="hybridMultilevel"/>
    <w:lvl w:ilvl="0">
      <w:lvlJc w:val="left"/>
      <w:lvlText w:val="(%1)"/>
      <w:numFmt w:val="lowerLetter"/>
      <w:start w:val="10"/>
    </w:lvl>
  </w:abstractNum>
  <w:abstractNum w:abstractNumId="62">
    <w:nsid w:val="4C04A8AF"/>
    <w:multiLevelType w:val="hybridMultilevel"/>
    <w:lvl w:ilvl="0">
      <w:lvlJc w:val="left"/>
      <w:lvlText w:val="(%1)"/>
      <w:numFmt w:val="lowerLetter"/>
      <w:start w:val="12"/>
    </w:lvl>
  </w:abstractNum>
  <w:abstractNum w:abstractNumId="63">
    <w:nsid w:val="1716703B"/>
    <w:multiLevelType w:val="hybridMultilevel"/>
    <w:lvl w:ilvl="0">
      <w:lvlJc w:val="left"/>
      <w:lvlText w:val="%1"/>
      <w:numFmt w:val="lowerLetter"/>
      <w:start w:val="1"/>
    </w:lvl>
    <w:lvl w:ilvl="1">
      <w:lvlJc w:val="left"/>
      <w:lvlText w:val="(%2)"/>
      <w:numFmt w:val="lowerLetter"/>
      <w:start w:val="15"/>
    </w:lvl>
  </w:abstractNum>
  <w:abstractNum w:abstractNumId="64">
    <w:nsid w:val="14E17E33"/>
    <w:multiLevelType w:val="hybridMultilevel"/>
    <w:lvl w:ilvl="0">
      <w:lvlJc w:val="left"/>
      <w:lvlText w:val="(%1)"/>
      <w:numFmt w:val="lowerLetter"/>
      <w:start w:val="61"/>
    </w:lvl>
    <w:lvl w:ilvl="1">
      <w:lvlJc w:val="left"/>
      <w:lvlText w:val="(%2)"/>
      <w:numFmt w:val="lowerLetter"/>
      <w:start w:val="18"/>
    </w:lvl>
  </w:abstractNum>
  <w:abstractNum w:abstractNumId="65">
    <w:nsid w:val="3222E7CD"/>
    <w:multiLevelType w:val="hybridMultilevel"/>
    <w:lvl w:ilvl="0">
      <w:lvlJc w:val="left"/>
      <w:lvlText w:val="(%1)"/>
      <w:numFmt w:val="lowerLetter"/>
      <w:start w:val="20"/>
    </w:lvl>
  </w:abstractNum>
  <w:abstractNum w:abstractNumId="66">
    <w:nsid w:val="74DE0EE3"/>
    <w:multiLevelType w:val="hybridMultilevel"/>
    <w:lvl w:ilvl="0">
      <w:lvlJc w:val="left"/>
      <w:lvlText w:val="(%1)"/>
      <w:numFmt w:val="lowerLetter"/>
      <w:start w:val="21"/>
    </w:lvl>
  </w:abstractNum>
  <w:abstractNum w:abstractNumId="67">
    <w:nsid w:val="68EBC550"/>
    <w:multiLevelType w:val="hybridMultilevel"/>
    <w:lvl w:ilvl="0">
      <w:lvlJc w:val="left"/>
      <w:lvlText w:val="(%1)"/>
      <w:numFmt w:val="lowerLetter"/>
      <w:start w:val="24"/>
    </w:lvl>
  </w:abstractNum>
  <w:abstractNum w:abstractNumId="68">
    <w:nsid w:val="2DF6D648"/>
    <w:multiLevelType w:val="hybridMultilevel"/>
    <w:lvl w:ilvl="0">
      <w:lvlJc w:val="left"/>
      <w:lvlText w:val="(%1)"/>
      <w:numFmt w:val="lowerLetter"/>
      <w:start w:val="27"/>
    </w:lvl>
  </w:abstractNum>
  <w:abstractNum w:abstractNumId="69">
    <w:nsid w:val="46B7D447"/>
    <w:multiLevelType w:val="hybridMultilevel"/>
    <w:lvl w:ilvl="0">
      <w:lvlJc w:val="left"/>
      <w:lvlText w:val="(%1)"/>
      <w:numFmt w:val="lowerLetter"/>
      <w:start w:val="29"/>
    </w:lvl>
  </w:abstractNum>
  <w:abstractNum w:abstractNumId="70">
    <w:nsid w:val="4A2AC315"/>
    <w:multiLevelType w:val="hybridMultilevel"/>
    <w:lvl w:ilvl="0">
      <w:lvlJc w:val="left"/>
      <w:lvlText w:val="(%1)"/>
      <w:numFmt w:val="lowerLetter"/>
      <w:start w:val="30"/>
    </w:lvl>
  </w:abstractNum>
  <w:abstractNum w:abstractNumId="71">
    <w:nsid w:val="39EE015C"/>
    <w:multiLevelType w:val="hybridMultilevel"/>
    <w:lvl w:ilvl="0">
      <w:lvlJc w:val="left"/>
      <w:lvlText w:val="(%1)"/>
      <w:numFmt w:val="lowerLetter"/>
      <w:start w:val="33"/>
    </w:lvl>
  </w:abstractNum>
  <w:abstractNum w:abstractNumId="72">
    <w:nsid w:val="57FC4FBB"/>
    <w:multiLevelType w:val="hybridMultilevel"/>
    <w:lvl w:ilvl="0">
      <w:lvlJc w:val="left"/>
      <w:lvlText w:val="%1"/>
      <w:numFmt w:val="lowerLetter"/>
      <w:start w:val="1"/>
    </w:lvl>
    <w:lvl w:ilvl="1">
      <w:lvlJc w:val="left"/>
      <w:lvlText w:val="(%2)"/>
      <w:numFmt w:val="lowerLetter"/>
      <w:start w:val="36"/>
    </w:lvl>
  </w:abstractNum>
  <w:abstractNum w:abstractNumId="73">
    <w:nsid w:val="CC1016F"/>
    <w:multiLevelType w:val="hybridMultilevel"/>
    <w:lvl w:ilvl="0">
      <w:lvlJc w:val="left"/>
      <w:lvlText w:val="(%1)"/>
      <w:numFmt w:val="lowerLetter"/>
      <w:start w:val="9"/>
    </w:lvl>
    <w:lvl w:ilvl="1">
      <w:lvlJc w:val="left"/>
      <w:lvlText w:val="%2"/>
      <w:numFmt w:val="lowerLetter"/>
      <w:start w:val="1"/>
    </w:lvl>
  </w:abstractNum>
  <w:abstractNum w:abstractNumId="74">
    <w:nsid w:val="43F18422"/>
    <w:multiLevelType w:val="hybridMultilevel"/>
    <w:lvl w:ilvl="0">
      <w:lvlJc w:val="left"/>
      <w:lvlText w:val="(%1)"/>
      <w:numFmt w:val="lowerLetter"/>
      <w:start w:val="35"/>
    </w:lvl>
    <w:lvl w:ilvl="1">
      <w:lvlJc w:val="left"/>
      <w:lvlText w:val="(%2)"/>
      <w:numFmt w:val="lowerLetter"/>
      <w:start w:val="39"/>
    </w:lvl>
  </w:abstractNum>
  <w:abstractNum w:abstractNumId="75">
    <w:nsid w:val="60EF0119"/>
    <w:multiLevelType w:val="hybridMultilevel"/>
    <w:lvl w:ilvl="0">
      <w:lvlJc w:val="left"/>
      <w:lvlText w:val="%1."/>
      <w:numFmt w:val="decimal"/>
      <w:start w:val="4"/>
    </w:lvl>
  </w:abstractNum>
  <w:abstractNum w:abstractNumId="76">
    <w:nsid w:val="26F324BA"/>
    <w:multiLevelType w:val="hybridMultilevel"/>
    <w:lvl w:ilvl="0">
      <w:lvlJc w:val="left"/>
      <w:lvlText w:val="%1."/>
      <w:numFmt w:val="decimal"/>
      <w:start w:val="5"/>
    </w:lvl>
    <w:lvl w:ilvl="1">
      <w:lvlJc w:val="left"/>
      <w:lvlText w:val="(%2)"/>
      <w:numFmt w:val="lowerLetter"/>
      <w:start w:val="1"/>
    </w:lvl>
  </w:abstractNum>
  <w:abstractNum w:abstractNumId="77">
    <w:nsid w:val="7F01579B"/>
    <w:multiLevelType w:val="hybridMultilevel"/>
    <w:lvl w:ilvl="0">
      <w:lvlJc w:val="left"/>
      <w:lvlText w:val="(%1)"/>
      <w:numFmt w:val="lowerLetter"/>
      <w:start w:val="4"/>
    </w:lvl>
  </w:abstractNum>
  <w:abstractNum w:abstractNumId="78">
    <w:nsid w:val="49DA307D"/>
    <w:multiLevelType w:val="hybridMultilevel"/>
    <w:lvl w:ilvl="0">
      <w:lvlJc w:val="left"/>
      <w:lvlText w:val="(%1)"/>
      <w:numFmt w:val="lowerLetter"/>
      <w:start w:val="6"/>
    </w:lvl>
  </w:abstractNum>
  <w:abstractNum w:abstractNumId="79">
    <w:nsid w:val="7055A5F5"/>
    <w:multiLevelType w:val="hybridMultilevel"/>
    <w:lvl w:ilvl="0">
      <w:lvlJc w:val="left"/>
      <w:lvlText w:val="%1"/>
      <w:numFmt w:val="decimal"/>
      <w:start w:val="1"/>
    </w:lvl>
    <w:lvl w:ilvl="1">
      <w:lvlJc w:val="left"/>
      <w:lvlText w:val="(%2)"/>
      <w:numFmt w:val="lowerLetter"/>
      <w:start w:val="13"/>
    </w:lvl>
  </w:abstractNum>
  <w:abstractNum w:abstractNumId="80">
    <w:nsid w:val="5FB8370B"/>
    <w:multiLevelType w:val="hybridMultilevel"/>
    <w:lvl w:ilvl="0">
      <w:lvlJc w:val="left"/>
      <w:lvlText w:val="%1."/>
      <w:numFmt w:val="decimal"/>
      <w:start w:val="6"/>
    </w:lvl>
    <w:lvl w:ilvl="1">
      <w:lvlJc w:val="left"/>
      <w:lvlText w:val="(%2)"/>
      <w:numFmt w:val="lowerLetter"/>
      <w:start w:val="1"/>
    </w:lvl>
  </w:abstractNum>
  <w:abstractNum w:abstractNumId="81">
    <w:nsid w:val="50801EE1"/>
    <w:multiLevelType w:val="hybridMultilevel"/>
    <w:lvl w:ilvl="0">
      <w:lvlJc w:val="left"/>
      <w:lvlText w:val="(%1)"/>
      <w:numFmt w:val="lowerLetter"/>
      <w:start w:val="3"/>
    </w:lvl>
    <w:lvl w:ilvl="1">
      <w:lvlJc w:val="left"/>
      <w:lvlText w:val="(%2)"/>
      <w:numFmt w:val="lowerRoman"/>
      <w:start w:val="1"/>
    </w:lvl>
  </w:abstractNum>
  <w:abstractNum w:abstractNumId="82">
    <w:nsid w:val="488AC1A"/>
    <w:multiLevelType w:val="hybridMultilevel"/>
    <w:lvl w:ilvl="0">
      <w:lvlJc w:val="left"/>
      <w:lvlText w:val="%1"/>
      <w:numFmt w:val="lowerLetter"/>
      <w:start w:val="1"/>
    </w:lvl>
    <w:lvl w:ilvl="1">
      <w:lvlJc w:val="left"/>
      <w:lvlText w:val="(%2)"/>
      <w:numFmt w:val="lowerLetter"/>
      <w:start w:val="7"/>
    </w:lvl>
  </w:abstractNum>
  <w:abstractNum w:abstractNumId="83">
    <w:nsid w:val="5FB8011C"/>
    <w:multiLevelType w:val="hybridMultilevel"/>
    <w:lvl w:ilvl="0">
      <w:lvlJc w:val="left"/>
      <w:lvlText w:val="(%1)"/>
      <w:numFmt w:val="lowerLetter"/>
      <w:start w:val="9"/>
    </w:lvl>
    <w:lvl w:ilvl="1">
      <w:lvlJc w:val="left"/>
      <w:lvlText w:val="%2"/>
      <w:numFmt w:val="lowerLetter"/>
      <w:start w:val="1"/>
    </w:lvl>
  </w:abstractNum>
  <w:abstractNum w:abstractNumId="84">
    <w:nsid w:val="6AA78F7F"/>
    <w:multiLevelType w:val="hybridMultilevel"/>
    <w:lvl w:ilvl="0">
      <w:lvlJc w:val="left"/>
      <w:lvlText w:val="%1."/>
      <w:numFmt w:val="decimal"/>
      <w:start w:val="7"/>
    </w:lvl>
    <w:lvl w:ilvl="1">
      <w:lvlJc w:val="left"/>
      <w:lvlText w:val="(%2)"/>
      <w:numFmt w:val="lowerLetter"/>
      <w:start w:val="1"/>
    </w:lvl>
  </w:abstractNum>
  <w:abstractNum w:abstractNumId="85">
    <w:nsid w:val="7672BD23"/>
    <w:multiLevelType w:val="hybridMultilevel"/>
    <w:lvl w:ilvl="0">
      <w:lvlJc w:val="left"/>
      <w:lvlText w:val="(%1)"/>
      <w:numFmt w:val="lowerLetter"/>
      <w:start w:val="3"/>
    </w:lvl>
  </w:abstractNum>
  <w:abstractNum w:abstractNumId="86">
    <w:nsid w:val="6FC75AF8"/>
    <w:multiLevelType w:val="hybridMultilevel"/>
    <w:lvl w:ilvl="0">
      <w:lvlJc w:val="left"/>
      <w:lvlText w:val="%1."/>
      <w:numFmt w:val="decimal"/>
      <w:start w:val="8"/>
    </w:lvl>
  </w:abstractNum>
  <w:abstractNum w:abstractNumId="87">
    <w:nsid w:val="6A5F7029"/>
    <w:multiLevelType w:val="hybridMultilevel"/>
    <w:lvl w:ilvl="0">
      <w:lvlJc w:val="left"/>
      <w:lvlText w:val="%1."/>
      <w:numFmt w:val="decimal"/>
      <w:start w:val="10"/>
    </w:lvl>
    <w:lvl w:ilvl="1">
      <w:lvlJc w:val="left"/>
      <w:lvlText w:val="(%2)"/>
      <w:numFmt w:val="lowerLetter"/>
      <w:start w:val="1"/>
    </w:lvl>
  </w:abstractNum>
  <w:abstractNum w:abstractNumId="88">
    <w:nsid w:val="7D5E18F8"/>
    <w:multiLevelType w:val="hybridMultilevel"/>
    <w:lvl w:ilvl="0">
      <w:lvlJc w:val="left"/>
      <w:lvlText w:val="%1."/>
      <w:numFmt w:val="decimal"/>
      <w:start w:val="13"/>
    </w:lvl>
  </w:abstractNum>
  <w:abstractNum w:abstractNumId="89">
    <w:nsid w:val="5F3534A4"/>
    <w:multiLevelType w:val="hybridMultilevel"/>
    <w:lvl w:ilvl="0">
      <w:lvlJc w:val="left"/>
      <w:lvlText w:val="%1."/>
      <w:numFmt w:val="decimal"/>
      <w:start w:val="20"/>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1)"/>
      <w:numFmt w:val="lowerRoman"/>
      <w:start w:val="1"/>
    </w:lvl>
  </w:abstractNum>
  <w:abstractNum w:abstractNumId="92">
    <w:nsid w:val="555C55B5"/>
    <w:multiLevelType w:val="hybridMultilevel"/>
    <w:lvl w:ilvl="0">
      <w:lvlJc w:val="left"/>
      <w:lvlText w:val="(%1)"/>
      <w:numFmt w:val="lowerRoman"/>
      <w:start w:val="1"/>
    </w:lvl>
  </w:abstractNum>
  <w:abstractNum w:abstractNumId="93">
    <w:nsid w:val="3FA62ACA"/>
    <w:multiLevelType w:val="hybridMultilevel"/>
    <w:lvl w:ilvl="0">
      <w:lvlJc w:val="left"/>
      <w:lvlText w:val="(%1)"/>
      <w:numFmt w:val="lowerRoman"/>
      <w:start w:val="2"/>
    </w:lvl>
  </w:abstractNum>
  <w:abstractNum w:abstractNumId="94">
    <w:nsid w:val="14FCE74E"/>
    <w:multiLevelType w:val="hybridMultilevel"/>
    <w:lvl w:ilvl="0">
      <w:lvlJc w:val="left"/>
      <w:lvlText w:val="(%1)"/>
      <w:numFmt w:val="lowerRoman"/>
      <w:start w:val="1"/>
    </w:lvl>
  </w:abstractNum>
  <w:abstractNum w:abstractNumId="95">
    <w:nsid w:val="6A3DD3E8"/>
    <w:multiLevelType w:val="hybridMultilevel"/>
    <w:lvl w:ilvl="0">
      <w:lvlJc w:val="left"/>
      <w:lvlText w:val="(%1)"/>
      <w:numFmt w:val="lowerRoman"/>
      <w:start w:val="1"/>
    </w:lvl>
  </w:abstractNum>
  <w:abstractNum w:abstractNumId="96">
    <w:nsid w:val="71C91298"/>
    <w:multiLevelType w:val="hybridMultilevel"/>
    <w:lvl w:ilvl="0">
      <w:lvlJc w:val="left"/>
      <w:lvlText w:val="(%1)"/>
      <w:numFmt w:val="lowerRoman"/>
      <w:start w:val="9"/>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lowerRoman"/>
      <w:start w:val="1"/>
    </w:lvl>
  </w:abstractNum>
  <w:abstractNum w:abstractNumId="99">
    <w:nsid w:val="1FBFE8E0"/>
    <w:multiLevelType w:val="hybridMultilevel"/>
    <w:lvl w:ilvl="0">
      <w:lvlJc w:val="left"/>
      <w:lvlText w:val="%1."/>
      <w:numFmt w:val="decimal"/>
      <w:start w:val="2"/>
    </w:lvl>
  </w:abstractNum>
  <w:abstractNum w:abstractNumId="100">
    <w:nsid w:val="5092CA79"/>
    <w:multiLevelType w:val="hybridMultilevel"/>
    <w:lvl w:ilvl="0">
      <w:lvlJc w:val="left"/>
      <w:lvlText w:val="(%1)"/>
      <w:numFmt w:val="lowerRoman"/>
      <w:start w:val="1"/>
    </w:lvl>
  </w:abstractNum>
  <w:abstractNum w:abstractNumId="101">
    <w:nsid w:val="1D545C4D"/>
    <w:multiLevelType w:val="hybridMultilevel"/>
    <w:lvl w:ilvl="0">
      <w:lvlJc w:val="left"/>
      <w:lvlText w:val="%1."/>
      <w:numFmt w:val="decimal"/>
      <w:start w:val="3"/>
    </w:lvl>
  </w:abstractNum>
  <w:abstractNum w:abstractNumId="102">
    <w:nsid w:val="59ADEA3D"/>
    <w:multiLevelType w:val="hybridMultilevel"/>
    <w:lvl w:ilvl="0">
      <w:lvlJc w:val="left"/>
      <w:lvlText w:val="%1."/>
      <w:numFmt w:val="decimal"/>
      <w:start w:val="4"/>
    </w:lvl>
  </w:abstractNum>
  <w:abstractNum w:abstractNumId="103">
    <w:nsid w:val="288F1A34"/>
    <w:multiLevelType w:val="hybridMultilevel"/>
    <w:lvl w:ilvl="0">
      <w:lvlJc w:val="left"/>
      <w:lvlText w:val="(%1)"/>
      <w:numFmt w:val="lowerRoman"/>
      <w:start w:val="1"/>
    </w:lvl>
  </w:abstractNum>
  <w:abstractNum w:abstractNumId="104">
    <w:nsid w:val="2A155DBC"/>
    <w:multiLevelType w:val="hybridMultilevel"/>
    <w:lvl w:ilvl="0">
      <w:lvlJc w:val="left"/>
      <w:lvlText w:val="%1."/>
      <w:numFmt w:val="decimal"/>
      <w:start w:val="5"/>
    </w:lvl>
  </w:abstractNum>
  <w:abstractNum w:abstractNumId="105">
    <w:nsid w:val="1D9F6E5F"/>
    <w:multiLevelType w:val="hybridMultilevel"/>
    <w:lvl w:ilvl="0">
      <w:lvlJc w:val="left"/>
      <w:lvlText w:val="(%1)"/>
      <w:numFmt w:val="lowerRoman"/>
      <w:start w:val="1"/>
    </w:lvl>
  </w:abstractNum>
  <w:abstractNum w:abstractNumId="106">
    <w:nsid w:val="97E1B4E"/>
    <w:multiLevelType w:val="hybridMultilevel"/>
    <w:lvl w:ilvl="0">
      <w:lvlJc w:val="left"/>
      <w:lvlText w:val="%1."/>
      <w:numFmt w:val="decimal"/>
      <w:start w:val="8"/>
    </w:lvl>
  </w:abstractNum>
  <w:abstractNum w:abstractNumId="107">
    <w:nsid w:val="51088277"/>
    <w:multiLevelType w:val="hybridMultilevel"/>
    <w:lvl w:ilvl="0">
      <w:lvlJc w:val="left"/>
      <w:lvlText w:val="%1."/>
      <w:numFmt w:val="decimal"/>
      <w:start w:val="9"/>
    </w:lvl>
  </w:abstractNum>
  <w:abstractNum w:abstractNumId="108">
    <w:nsid w:val="1CA0C5FA"/>
    <w:multiLevelType w:val="hybridMultilevel"/>
    <w:lvl w:ilvl="0">
      <w:lvlJc w:val="left"/>
      <w:lvlText w:val="•"/>
      <w:numFmt w:val="bullet"/>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jpeg"/><Relationship Id="rId33" Type="http://schemas.openxmlformats.org/officeDocument/2006/relationships/image" Target="media/image18.png"/><Relationship Id="rId34" Type="http://schemas.openxmlformats.org/officeDocument/2006/relationships/image" Target="media/image19.png"/><Relationship Id="rId57" Type="http://schemas.openxmlformats.org/officeDocument/2006/relationships/image" Target="media/image20.png"/><Relationship Id="rId60" Type="http://schemas.openxmlformats.org/officeDocument/2006/relationships/image" Target="media/image21.png"/><Relationship Id="rId61" Type="http://schemas.openxmlformats.org/officeDocument/2006/relationships/image" Target="media/image22.png"/><Relationship Id="rId62" Type="http://schemas.openxmlformats.org/officeDocument/2006/relationships/image" Target="media/image23.png"/><Relationship Id="rId63" Type="http://schemas.openxmlformats.org/officeDocument/2006/relationships/image" Target="media/image24.png"/><Relationship Id="rId64" Type="http://schemas.openxmlformats.org/officeDocument/2006/relationships/image" Target="media/image25.png"/><Relationship Id="rId6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jpeg"/><Relationship Id="rId89" Type="http://schemas.openxmlformats.org/officeDocument/2006/relationships/image" Target="media/image50.jpeg"/><Relationship Id="rId90" Type="http://schemas.openxmlformats.org/officeDocument/2006/relationships/image" Target="media/image51.jpeg"/><Relationship Id="rId91" Type="http://schemas.openxmlformats.org/officeDocument/2006/relationships/image" Target="media/image52.jpeg"/><Relationship Id="rId92" Type="http://schemas.openxmlformats.org/officeDocument/2006/relationships/image" Target="media/image53.jpeg"/><Relationship Id="rId93" Type="http://schemas.openxmlformats.org/officeDocument/2006/relationships/image" Target="media/image54.jpe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06" Type="http://schemas.openxmlformats.org/officeDocument/2006/relationships/image" Target="media/image67.png"/><Relationship Id="rId107" Type="http://schemas.openxmlformats.org/officeDocument/2006/relationships/image" Target="media/image68.png"/><Relationship Id="rId108" Type="http://schemas.openxmlformats.org/officeDocument/2006/relationships/image" Target="media/image69.png"/><Relationship Id="rId109" Type="http://schemas.openxmlformats.org/officeDocument/2006/relationships/image" Target="media/image70.png"/><Relationship Id="rId110" Type="http://schemas.openxmlformats.org/officeDocument/2006/relationships/image" Target="media/image71.png"/><Relationship Id="rId111" Type="http://schemas.openxmlformats.org/officeDocument/2006/relationships/image" Target="media/image72.png"/><Relationship Id="rId112"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116"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119"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22" Type="http://schemas.openxmlformats.org/officeDocument/2006/relationships/hyperlink" Target="https://www.sec.gov/ix?doc=/Archives/edgar/data/0001777835/000177783522000054/pwp-20211231.htm" TargetMode="External"/><Relationship Id="rId23" Type="http://schemas.openxmlformats.org/officeDocument/2006/relationships/hyperlink" Target="https://www.sec.gov/ix?doc=/Archives/edgar/data/0001777835/000177783522000028/pwp-20220331.htm" TargetMode="External"/><Relationship Id="rId24" Type="http://schemas.openxmlformats.org/officeDocument/2006/relationships/hyperlink" Target="https://www.sec.gov/ix?doc=/Archives/edgar/data/0001777835/000177783522000003/pwp-20220217.htm" TargetMode="External"/><Relationship Id="rId25" Type="http://schemas.openxmlformats.org/officeDocument/2006/relationships/hyperlink" Target="https://www.sec.gov/ix?doc=/Archives/edgar/data/0001777835/000177783522000031/pwp-20220524.htm" TargetMode="External"/><Relationship Id="rId26" Type="http://schemas.openxmlformats.org/officeDocument/2006/relationships/hyperlink" Target="https://www.sec.gov/ix?doc=/Archives/edgar/data/0001777835/000177783522000049/pwp-20220531.htm" TargetMode="External"/><Relationship Id="rId27" Type="http://schemas.openxmlformats.org/officeDocument/2006/relationships/hyperlink" Target="https://www.sec.gov/Archives/edgar/data/0001777835/000177783522000013/pwp-def14ax2021proxy.htm" TargetMode="External"/><Relationship Id="rId28" Type="http://schemas.openxmlformats.org/officeDocument/2006/relationships/hyperlink" Target="https://www.sec.gov/Archives/edgar/data/0001777835/000177783522000015/pwp-def14ax2021proxyamendm.htm" TargetMode="External"/><Relationship Id="rId29" Type="http://schemas.openxmlformats.org/officeDocument/2006/relationships/hyperlink" Target="https://www.sec.gov/Archives/edgar/data/1777835/000177783522000008/pwp-20211231xexx44.htm" TargetMode="External"/><Relationship Id="rId35" Type="http://schemas.openxmlformats.org/officeDocument/2006/relationships/hyperlink" Target="https://www.sec.gov/Archives/edgar/data/1777835/000121390020045792/ea132500ex2-1_fintechacq4.htm" TargetMode="External"/><Relationship Id="rId36" Type="http://schemas.openxmlformats.org/officeDocument/2006/relationships/hyperlink" Target="https://www.sec.gov/Archives/edgar/data/1777835/000162828022000893/exhibit31-sx1a1.htm" TargetMode="External"/><Relationship Id="rId37" Type="http://schemas.openxmlformats.org/officeDocument/2006/relationships/hyperlink" Target="https://www.sec.gov/Archives/edgar/data/1777835/000119312521204696/d119701dex32.htm" TargetMode="External"/><Relationship Id="rId38" Type="http://schemas.openxmlformats.org/officeDocument/2006/relationships/hyperlink" Target="https://www.sec.gov/Archives/edgar/data/1777835/000119312521204696/d119701dex41.htm" TargetMode="External"/><Relationship Id="rId39" Type="http://schemas.openxmlformats.org/officeDocument/2006/relationships/hyperlink" Target="https://www.sec.gov/Archives/edgar/data/1777835/000121390020029071/ea127460ex4-1_fintechacq4.htm" TargetMode="External"/><Relationship Id="rId40" Type="http://schemas.openxmlformats.org/officeDocument/2006/relationships/hyperlink" Target="https://www.sec.gov/Archives/edgar/data/1777835/000162828021025439/exhibit43-sx1.htm" TargetMode="External"/><Relationship Id="rId41" Type="http://schemas.openxmlformats.org/officeDocument/2006/relationships/hyperlink" Target="https://www.sec.gov/Archives/edgar/data/1777835/000095017021003237/pwp-ex10_1.htm" TargetMode="External"/><Relationship Id="rId42" Type="http://schemas.openxmlformats.org/officeDocument/2006/relationships/hyperlink" Target="https://www.sec.gov/Archives/edgar/data/1777835/000095017021003237/pwp-ex10_2.htm" TargetMode="External"/><Relationship Id="rId43" Type="http://schemas.openxmlformats.org/officeDocument/2006/relationships/hyperlink" Target="https://www.sec.gov/Archives/edgar/data/1777835/000095017021003237/pwp-ex10_3.htm" TargetMode="External"/><Relationship Id="rId44" Type="http://schemas.openxmlformats.org/officeDocument/2006/relationships/hyperlink" Target="https://www.sec.gov/Archives/edgar/data/1777835/000095017021003237/pwp-ex10_4.htm" TargetMode="External"/><Relationship Id="rId45" Type="http://schemas.openxmlformats.org/officeDocument/2006/relationships/hyperlink" Target="https://www.sec.gov/Archives/edgar/data/1777835/000095017021003237/pwp-ex10_5.htm" TargetMode="External"/><Relationship Id="rId46" Type="http://schemas.openxmlformats.org/officeDocument/2006/relationships/hyperlink" Target="https://www.sec.gov/Archives/edgar/data/1777835/000119312521204696/d119701dex101.htm" TargetMode="External"/><Relationship Id="rId47" Type="http://schemas.openxmlformats.org/officeDocument/2006/relationships/hyperlink" Target="https://www.sec.gov/Archives/edgar/data/1777835/000121390020045792/ea132500ex10-1_fintechacq4.htm" TargetMode="External"/><Relationship Id="rId48" Type="http://schemas.openxmlformats.org/officeDocument/2006/relationships/hyperlink" Target="https://www.sec.gov/Archives/edgar/data/1777835/000119312521204696/d119701dex103.htm" TargetMode="External"/><Relationship Id="rId49" Type="http://schemas.openxmlformats.org/officeDocument/2006/relationships/hyperlink" Target="https://www.sec.gov/Archives/edgar/data/1777835/000119312521204696/d119701dex102.htm" TargetMode="External"/><Relationship Id="rId50" Type="http://schemas.openxmlformats.org/officeDocument/2006/relationships/hyperlink" Target="https://www.sec.gov/Archives/edgar/data/1777835/000121390020045792/ea132500ex2-1_fintechacq4.htm#ex_008" TargetMode="External"/><Relationship Id="rId51" Type="http://schemas.openxmlformats.org/officeDocument/2006/relationships/hyperlink" Target="https://www.sec.gov/Archives/edgar/data/0001777835/000119312521175488/d101000ddefm14a.htm" TargetMode="External"/><Relationship Id="rId52" Type="http://schemas.openxmlformats.org/officeDocument/2006/relationships/hyperlink" Target="https://www.sec.gov/Archives/edgar/data/1777835/000119312521204696/d119701dex104.htm" TargetMode="External"/><Relationship Id="rId53" Type="http://schemas.openxmlformats.org/officeDocument/2006/relationships/hyperlink" Target="https://www.sec.gov/Archives/edgar/data/1777835/000119312521204696/d119701dex105.htm" TargetMode="External"/><Relationship Id="rId54" Type="http://schemas.openxmlformats.org/officeDocument/2006/relationships/hyperlink" Target="https://www.sec.gov/Archives/edgar/data/1777835/000119312521204696/d119701dex106.htm" TargetMode="External"/><Relationship Id="rId55" Type="http://schemas.openxmlformats.org/officeDocument/2006/relationships/hyperlink" Target="https://www.sec.gov/Archives/edgar/data/1777835/000119312521204696/d119701dex107.htm" TargetMode="External"/><Relationship Id="rId56" Type="http://schemas.openxmlformats.org/officeDocument/2006/relationships/hyperlink" Target="https://www.sec.gov/Archives/edgar/data/1777835/000119312521204696/d119701dex108.htm" TargetMode="External"/><Relationship Id="rId58" Type="http://schemas.openxmlformats.org/officeDocument/2006/relationships/hyperlink" Target="https://www.sec.gov/Archives/edgar/data/1777835/000119312521204696/d119701dex109.htm" TargetMode="External"/><Relationship Id="rId59" Type="http://schemas.openxmlformats.org/officeDocument/2006/relationships/hyperlink" Target="https://www.sec.gov/Archives/edgar/data/1777835/000177783522000008/pwp-20211231xex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2022-07-22T07:12:55Z</dcterms:created>
  <dcterms:modified xsi:type="dcterms:W3CDTF">2022-07-22T07:12:55Z</dcterms:modified>
</cp:coreProperties>
</file>