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28"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144145</wp:posOffset>
            </wp:positionV>
            <wp:extent cx="2117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111760</wp:posOffset>
            </wp:positionV>
            <wp:extent cx="2117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Perella Weinberg Partners</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001-39558</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50" w:lineRule="exact"/>
        <w:rPr>
          <w:sz w:val="24"/>
          <w:szCs w:val="24"/>
          <w:color w:val="auto"/>
        </w:rPr>
      </w:pPr>
    </w:p>
    <w:p>
      <w:pPr>
        <w:sectPr>
          <w:pgSz w:w="11900" w:h="16838" w:orient="portrait"/>
          <w:cols w:equalWidth="0" w:num="3">
            <w:col w:w="4580" w:space="720"/>
            <w:col w:w="2900" w:space="720"/>
            <w:col w:w="2320"/>
          </w:cols>
          <w:pgMar w:left="320" w:top="1178" w:right="339" w:bottom="1440" w:gutter="0" w:footer="0" w:header="0"/>
          <w:type w:val="continuous"/>
        </w:sectPr>
      </w:pPr>
    </w:p>
    <w:p>
      <w:pPr>
        <w:ind w:left="660"/>
        <w:spacing w:after="0"/>
        <w:rPr>
          <w:sz w:val="20"/>
          <w:szCs w:val="20"/>
          <w:color w:val="auto"/>
        </w:rPr>
      </w:pPr>
      <w:r>
        <w:rPr>
          <w:rFonts w:ascii="Arial" w:cs="Arial" w:eastAsia="Arial" w:hAnsi="Arial"/>
          <w:sz w:val="10"/>
          <w:szCs w:val="10"/>
          <w:b w:val="1"/>
          <w:bCs w:val="1"/>
          <w:color w:val="auto"/>
        </w:rPr>
        <w:t>( 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(IRS Employer Identification No.)</w:t>
      </w:r>
    </w:p>
    <w:p>
      <w:pPr>
        <w:spacing w:after="0" w:line="177" w:lineRule="exact"/>
        <w:rPr>
          <w:sz w:val="24"/>
          <w:szCs w:val="24"/>
          <w:color w:val="auto"/>
        </w:rPr>
      </w:pPr>
    </w:p>
    <w:p>
      <w:pPr>
        <w:sectPr>
          <w:pgSz w:w="11900" w:h="16838" w:orient="portrait"/>
          <w:cols w:equalWidth="0" w:num="3">
            <w:col w:w="4180" w:space="720"/>
            <w:col w:w="2820" w:space="720"/>
            <w:col w:w="2800"/>
          </w:cols>
          <w:pgMar w:left="320" w:top="1178" w:right="339" w:bottom="1440" w:gutter="0" w:footer="0" w:header="0"/>
          <w:type w:val="continuous"/>
        </w:sectPr>
      </w:pPr>
    </w:p>
    <w:p>
      <w:pPr>
        <w:ind w:left="2160"/>
        <w:spacing w:after="0"/>
        <w:rPr>
          <w:sz w:val="20"/>
          <w:szCs w:val="20"/>
          <w:color w:val="auto"/>
        </w:rPr>
      </w:pPr>
      <w:r>
        <w:rPr>
          <w:rFonts w:ascii="Arial" w:cs="Arial" w:eastAsia="Arial" w:hAnsi="Arial"/>
          <w:sz w:val="16"/>
          <w:szCs w:val="16"/>
          <w:b w:val="1"/>
          <w:bCs w:val="1"/>
          <w:color w:val="auto"/>
        </w:rPr>
        <w:t>767 Fifth Avenue</w:t>
      </w:r>
    </w:p>
    <w:p>
      <w:pPr>
        <w:sectPr>
          <w:pgSz w:w="11900" w:h="16838" w:orient="portrait"/>
          <w:cols w:equalWidth="0" w:num="1">
            <w:col w:w="11240"/>
          </w:cols>
          <w:pgMar w:left="320" w:top="1178" w:right="339" w:bottom="1440" w:gutter="0" w:footer="0" w:header="0"/>
          <w:type w:val="continuous"/>
        </w:sectPr>
      </w:pPr>
    </w:p>
    <w:p>
      <w:pPr>
        <w:spacing w:after="0" w:line="100" w:lineRule="exact"/>
        <w:rPr>
          <w:sz w:val="24"/>
          <w:szCs w:val="24"/>
          <w:color w:val="auto"/>
        </w:rPr>
      </w:pPr>
    </w:p>
    <w:p>
      <w:pPr>
        <w:ind w:left="2260"/>
        <w:spacing w:after="0"/>
        <w:rPr>
          <w:sz w:val="20"/>
          <w:szCs w:val="20"/>
          <w:color w:val="auto"/>
        </w:rPr>
      </w:pPr>
      <w:r>
        <w:rPr>
          <w:rFonts w:ascii="Arial" w:cs="Arial" w:eastAsia="Arial" w:hAnsi="Arial"/>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10153</w:t>
      </w:r>
    </w:p>
    <w:p>
      <w:pPr>
        <w:spacing w:after="0" w:line="50" w:lineRule="exact"/>
        <w:rPr>
          <w:sz w:val="24"/>
          <w:szCs w:val="24"/>
          <w:color w:val="auto"/>
        </w:rPr>
      </w:pPr>
    </w:p>
    <w:p>
      <w:pPr>
        <w:sectPr>
          <w:pgSz w:w="11900" w:h="16838" w:orient="portrait"/>
          <w:cols w:equalWidth="0" w:num="2">
            <w:col w:w="7480" w:space="720"/>
            <w:col w:w="3040"/>
          </w:cols>
          <w:pgMar w:left="320" w:top="1178" w:right="339" w:bottom="1440" w:gutter="0" w:footer="0" w:header="0"/>
          <w:type w:val="continuous"/>
        </w:sectPr>
      </w:pPr>
    </w:p>
    <w:p>
      <w:pPr>
        <w:ind w:left="178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110" w:lineRule="exact"/>
        <w:rPr>
          <w:sz w:val="24"/>
          <w:szCs w:val="24"/>
          <w:color w:val="auto"/>
        </w:rPr>
      </w:pPr>
    </w:p>
    <w:p>
      <w:pPr>
        <w:sectPr>
          <w:pgSz w:w="11900" w:h="16838" w:orient="portrait"/>
          <w:cols w:equalWidth="0" w:num="2">
            <w:col w:w="7420" w:space="720"/>
            <w:col w:w="3100"/>
          </w:cols>
          <w:pgMar w:left="320" w:top="1178"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47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Title of each class</w:t>
            </w:r>
          </w:p>
        </w:tc>
        <w:tc>
          <w:tcPr>
            <w:tcW w:w="2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Trading Symbol(s)</w:t>
            </w:r>
          </w:p>
        </w:tc>
        <w:tc>
          <w:tcPr>
            <w:tcW w:w="422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Class A Common Stock, par value $0.0001 per share</w:t>
            </w:r>
          </w:p>
        </w:tc>
        <w:tc>
          <w:tcPr>
            <w:tcW w:w="10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PWP</w:t>
            </w:r>
          </w:p>
        </w:tc>
        <w:tc>
          <w:tcPr>
            <w:tcW w:w="80" w:type="dxa"/>
            <w:vAlign w:val="bottom"/>
          </w:tcPr>
          <w:p>
            <w:pPr>
              <w:spacing w:after="0"/>
              <w:rPr>
                <w:sz w:val="18"/>
                <w:szCs w:val="18"/>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184"/>
        </w:trPr>
        <w:tc>
          <w:tcPr>
            <w:tcW w:w="4720" w:type="dxa"/>
            <w:vAlign w:val="bottom"/>
            <w:gridSpan w:val="2"/>
          </w:tcPr>
          <w:p>
            <w:pPr>
              <w:jc w:val="center"/>
              <w:ind w:right="100"/>
              <w:spacing w:after="0" w:line="185" w:lineRule="exact"/>
              <w:rPr>
                <w:sz w:val="20"/>
                <w:szCs w:val="20"/>
                <w:color w:val="auto"/>
              </w:rPr>
            </w:pPr>
            <w:r>
              <w:rPr>
                <w:rFonts w:ascii="Arial" w:cs="Arial" w:eastAsia="Arial" w:hAnsi="Arial"/>
                <w:sz w:val="17"/>
                <w:szCs w:val="17"/>
                <w:color w:val="auto"/>
                <w:w w:val="90"/>
              </w:rPr>
              <w:t>Warrants, each whole warrant exercisable for one share of Class A</w:t>
            </w:r>
          </w:p>
        </w:tc>
        <w:tc>
          <w:tcPr>
            <w:tcW w:w="230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3"/>
              </w:rPr>
              <w:t>PWPPW</w:t>
            </w:r>
          </w:p>
        </w:tc>
        <w:tc>
          <w:tcPr>
            <w:tcW w:w="4220" w:type="dxa"/>
            <w:vAlign w:val="bottom"/>
            <w:vMerge w:val="restart"/>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216"/>
        </w:trPr>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common stock</w:t>
            </w:r>
          </w:p>
        </w:tc>
        <w:tc>
          <w:tcPr>
            <w:tcW w:w="2300" w:type="dxa"/>
            <w:vAlign w:val="bottom"/>
            <w:gridSpan w:val="2"/>
            <w:vMerge w:val="continue"/>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78"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August 23, 2022, Perella Weinberg Partners (the “Company”) and American Stock Transfer &amp; Trust Company, LLC (the “Warrant Agent”), entered into Amendment No. 2 (the “Warrant Amendment”) to the Warrant Agreement, dated as of September 24, 2020 (the “Warrant Agreement”), by and between the Company (f/k/a FinTech Acquisition Corp. IV) and Continental Stock Transfer &amp; Trust Company, as amended by Amendment No. 1 to Warrant Agreement, dated as of November 10, 2021, by and among the Company, Continental Stock Transfer &amp; Trust Company and the Warrant Agent.</w:t>
      </w:r>
    </w:p>
    <w:p>
      <w:pPr>
        <w:spacing w:after="0" w:line="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Warrant Amendment amends the Warrant Agreement to provide the Company with the right to mandatorily exchange the Company’s remaining outstanding Warrants (as defined below) (including the remaining outstanding Private Placement Warrants (as defined below)) for shares of the Company’s Class A Common Stock, par value $0.0001 per share (“Class A Common Stock”), at an exchange ratio of 0.18 shares of Class A Common Stock for each Warrant. The Company has the right to require the exchange of not less than all of the Warrants at any time while such Warrants are exercisable and prior to their expiration, at the office of the Warrant Agent, upon notice to the registered holders of the outstanding Warrants at least fifteen days prior to the date of exchange fixed by the Company.</w:t>
      </w:r>
    </w:p>
    <w:p>
      <w:pPr>
        <w:spacing w:after="0" w:line="12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will exercise its right to exchange all remaining outstanding Warrants (including all remaining outstanding Private Placement Warrants) for shares of Class A Common Stock in accordance with the terms of the Warrant Amendment, and has fixed September 7, 2022 as the exchange date.</w:t>
      </w:r>
    </w:p>
    <w:p>
      <w:pPr>
        <w:spacing w:after="0" w:line="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foregoing description of the Warrant Amendment is qualified in its entirety by reference to the Warrant Amendment, which is filed as Exhibit 10.1 to this Current Report on Form 8-K and is incorporated by reference herein.</w:t>
      </w:r>
    </w:p>
    <w:p>
      <w:pPr>
        <w:spacing w:after="0" w:line="1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Modifications to Rights of Security Holders.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the extent required by Item 3.03 of Form 8-K, the disclosure set forth in Item 1.01 of this Current Report on Form 8-K is incorporated by reference in this Item 3.03.</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previously disclosed, including in the final Prospectus/Offer to Exchange filed by the Company with the U.S. Securities and Exchange Commission (the “SEC”) on August 15, 2022, in connection with the Company’s offer to each holder of the Company’s outstanding Warrants, consisting of (i) the Warrants sold as part of the units in FinTech Acquisition Corp. IV’s (“FTIV”) initial public offering of FTIV’s securities on September 29, 2020 (“IPO”) (whether they were purchased in the IPO or thereafter in the open market) (the “Public Warrants”) and (ii) the Warrants sold as part of the units in a private placement that occurred simultaneously with the IPO (the “Private Placement Warrants” and, together with the Public Warrants, the “Warrants”), to receive 0.20 shares of Class A Common Stock in exchange for each outstanding Warrant tendered by the holder and exchanged pursuant to the offer (the “Offer”), the Company solicited consents (the “Consent Solicitation”) from holders of its outstanding Public Warrants to approve the Warrant Amendment.</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Offer and Consent Solicitation expired one minute after 11:59 p.m., Eastern Standard Time, on August 18, 2022. A total of 7,388,071 Public Warrants, or approximately 96.37% of the 7,666,642 outstanding Public Warrants, were properly tendered and not withdrawn in the Offer, and therefore consented to the Warrant Amendment. Because consents were received from holders of more than 65% of the Company’s outstanding Public Warrants, the Warrant Amendment was approved.</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On August 23, 2022, the Company issued a press release announcing the closing of Offer and Consent Solicitation and the entry into the Warrant Amendment. At closing, the Company issued 1,493,688 shares of Class A Common Stock in exchange for the Warrants tendered in the Offer.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and is incorporated by reference herein.</w:t>
      </w:r>
    </w:p>
    <w:p>
      <w:pPr>
        <w:sectPr>
          <w:pgSz w:w="11900" w:h="16838" w:orient="portrait"/>
          <w:cols w:equalWidth="0" w:num="1">
            <w:col w:w="11240"/>
          </w:cols>
          <w:pgMar w:left="320" w:top="1404" w:right="33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820" w:type="dxa"/>
            <w:vAlign w:val="bottom"/>
            <w:gridSpan w:val="4"/>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9820" w:type="dxa"/>
            <w:vAlign w:val="bottom"/>
            <w:tcBorders>
              <w:top w:val="single" w:sz="8" w:color="auto"/>
            </w:tcBorders>
            <w:gridSpan w:val="4"/>
          </w:tcPr>
          <w:p>
            <w:pPr>
              <w:ind w:left="20"/>
              <w:spacing w:after="0" w:line="182" w:lineRule="exact"/>
              <w:rPr>
                <w:sz w:val="20"/>
                <w:szCs w:val="20"/>
                <w:color w:val="auto"/>
              </w:rPr>
            </w:pPr>
            <w:r>
              <w:rPr>
                <w:rFonts w:ascii="Arial" w:cs="Arial" w:eastAsia="Arial" w:hAnsi="Arial"/>
                <w:sz w:val="18"/>
                <w:szCs w:val="18"/>
                <w:color w:val="0000FF"/>
                <w:w w:val="91"/>
              </w:rPr>
              <w:t>Amendment No. 2 to Warrant Agreement, dated August 23, 2022, by and between the Company and American Stock Transfer &amp; Trust</w:t>
            </w: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0000FF"/>
              <w:bottom w:val="single" w:sz="8" w:color="0000FF"/>
            </w:tcBorders>
          </w:tcPr>
          <w:p>
            <w:pPr>
              <w:ind w:left="20"/>
              <w:spacing w:after="0" w:line="156" w:lineRule="exact"/>
              <w:rPr>
                <w:sz w:val="20"/>
                <w:szCs w:val="20"/>
                <w:color w:val="auto"/>
              </w:rPr>
            </w:pPr>
            <w:r>
              <w:rPr>
                <w:rFonts w:ascii="Arial" w:cs="Arial" w:eastAsia="Arial" w:hAnsi="Arial"/>
                <w:sz w:val="18"/>
                <w:szCs w:val="18"/>
                <w:color w:val="0000FF"/>
                <w:w w:val="91"/>
              </w:rPr>
              <w:t>Company, LLC.</w:t>
            </w:r>
          </w:p>
        </w:tc>
        <w:tc>
          <w:tcPr>
            <w:tcW w:w="852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132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9820" w:type="dxa"/>
            <w:vAlign w:val="bottom"/>
            <w:gridSpan w:val="4"/>
          </w:tcPr>
          <w:p>
            <w:pPr>
              <w:ind w:left="20"/>
              <w:spacing w:after="0"/>
              <w:rPr>
                <w:sz w:val="20"/>
                <w:szCs w:val="20"/>
                <w:color w:val="auto"/>
              </w:rPr>
            </w:pPr>
            <w:r>
              <w:rPr>
                <w:rFonts w:ascii="Arial" w:cs="Arial" w:eastAsia="Arial" w:hAnsi="Arial"/>
                <w:sz w:val="18"/>
                <w:szCs w:val="18"/>
                <w:color w:val="0000FF"/>
              </w:rPr>
              <w:t>Press Release of Perella Weinberg Partners, dated August 23, 2022.</w:t>
            </w: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250"/>
        </w:trPr>
        <w:tc>
          <w:tcPr>
            <w:tcW w:w="13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82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14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7640" w:type="dxa"/>
            <w:vAlign w:val="bottom"/>
            <w:gridSpan w:val="2"/>
          </w:tcPr>
          <w:p>
            <w:pPr>
              <w:ind w:left="1960"/>
              <w:spacing w:after="0"/>
              <w:rPr>
                <w:sz w:val="20"/>
                <w:szCs w:val="20"/>
                <w:color w:val="auto"/>
              </w:rPr>
            </w:pPr>
            <w:r>
              <w:rPr>
                <w:rFonts w:ascii="Arial" w:cs="Arial" w:eastAsia="Arial" w:hAnsi="Arial"/>
                <w:sz w:val="18"/>
                <w:szCs w:val="18"/>
                <w:color w:val="auto"/>
              </w:rPr>
              <w:t>PERELLA WEINBERG PARTNERS</w:t>
            </w:r>
          </w:p>
        </w:tc>
      </w:tr>
      <w:tr>
        <w:trPr>
          <w:trHeight w:val="230"/>
        </w:trPr>
        <w:tc>
          <w:tcPr>
            <w:tcW w:w="3580" w:type="dxa"/>
            <w:vAlign w:val="bottom"/>
          </w:tcPr>
          <w:p>
            <w:pPr>
              <w:spacing w:after="0"/>
              <w:rPr>
                <w:sz w:val="20"/>
                <w:szCs w:val="20"/>
                <w:color w:val="auto"/>
              </w:rPr>
            </w:pPr>
          </w:p>
        </w:tc>
        <w:tc>
          <w:tcPr>
            <w:tcW w:w="7640" w:type="dxa"/>
            <w:vAlign w:val="bottom"/>
            <w:gridSpan w:val="2"/>
          </w:tcPr>
          <w:p>
            <w:pPr>
              <w:ind w:left="1960"/>
              <w:spacing w:after="0"/>
              <w:rPr>
                <w:sz w:val="20"/>
                <w:szCs w:val="20"/>
                <w:color w:val="auto"/>
              </w:rPr>
            </w:pPr>
            <w:r>
              <w:rPr>
                <w:rFonts w:ascii="Arial" w:cs="Arial" w:eastAsia="Arial" w:hAnsi="Arial"/>
                <w:sz w:val="18"/>
                <w:szCs w:val="18"/>
                <w:color w:val="auto"/>
              </w:rPr>
              <w:t>(Registrant)</w:t>
            </w:r>
          </w:p>
        </w:tc>
      </w:tr>
      <w:tr>
        <w:trPr>
          <w:trHeight w:val="662"/>
        </w:trPr>
        <w:tc>
          <w:tcPr>
            <w:tcW w:w="3580" w:type="dxa"/>
            <w:vAlign w:val="bottom"/>
          </w:tcPr>
          <w:p>
            <w:pPr>
              <w:spacing w:after="0"/>
              <w:rPr>
                <w:sz w:val="20"/>
                <w:szCs w:val="20"/>
                <w:color w:val="auto"/>
              </w:rPr>
            </w:pPr>
            <w:r>
              <w:rPr>
                <w:rFonts w:ascii="Arial" w:cs="Arial" w:eastAsia="Arial" w:hAnsi="Arial"/>
                <w:sz w:val="18"/>
                <w:szCs w:val="18"/>
                <w:color w:val="auto"/>
              </w:rPr>
              <w:t>Date: August 23, 2022</w:t>
            </w:r>
          </w:p>
        </w:tc>
        <w:tc>
          <w:tcPr>
            <w:tcW w:w="2800" w:type="dxa"/>
            <w:vAlign w:val="bottom"/>
          </w:tcPr>
          <w:p>
            <w:pPr>
              <w:ind w:left="19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Barancik</w:t>
            </w:r>
          </w:p>
        </w:tc>
      </w:tr>
      <w:tr>
        <w:trPr>
          <w:trHeight w:val="222"/>
        </w:trPr>
        <w:tc>
          <w:tcPr>
            <w:tcW w:w="3580" w:type="dxa"/>
            <w:vAlign w:val="bottom"/>
          </w:tcPr>
          <w:p>
            <w:pPr>
              <w:spacing w:after="0"/>
              <w:rPr>
                <w:sz w:val="19"/>
                <w:szCs w:val="19"/>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Gary Barancik</w:t>
            </w:r>
          </w:p>
        </w:tc>
      </w:tr>
      <w:tr>
        <w:trPr>
          <w:trHeight w:val="230"/>
        </w:trPr>
        <w:tc>
          <w:tcPr>
            <w:tcW w:w="358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WARRANT AGREEMENT</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is made as of August 23, 2022 by and between Perella Weinberg Partners,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(f/k/a FinTech Acquisition Corp. IV (“</w:t>
      </w:r>
      <w:r>
        <w:rPr>
          <w:rFonts w:ascii="Arial" w:cs="Arial" w:eastAsia="Arial" w:hAnsi="Arial"/>
          <w:sz w:val="16"/>
          <w:szCs w:val="16"/>
          <w:b w:val="1"/>
          <w:bCs w:val="1"/>
          <w:i w:val="1"/>
          <w:iCs w:val="1"/>
          <w:color w:val="auto"/>
        </w:rPr>
        <w:t>FTIV</w:t>
      </w:r>
      <w:r>
        <w:rPr>
          <w:rFonts w:ascii="Arial" w:cs="Arial" w:eastAsia="Arial" w:hAnsi="Arial"/>
          <w:sz w:val="16"/>
          <w:szCs w:val="16"/>
          <w:color w:val="auto"/>
        </w:rPr>
        <w:t>”)), and American Stock Transfer &amp; Trust Company, LLC, as warrant agent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and constitutes an amendment to that certain Warrant Agreement, dated as of September 24, 2020, by and between the Company and Continental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Transfer &amp; Trust Company, as amended by Amendment No. 1 to Warrant Agreement, dated as of November 10, 2021, by and among the Company, Continental Stock Transfer &amp; Trust Company and the Warrant Agent (the “</w:t>
      </w:r>
      <w:r>
        <w:rPr>
          <w:rFonts w:ascii="Arial" w:cs="Arial" w:eastAsia="Arial" w:hAnsi="Arial"/>
          <w:sz w:val="16"/>
          <w:szCs w:val="16"/>
          <w:b w:val="1"/>
          <w:bCs w:val="1"/>
          <w:i w:val="1"/>
          <w:iCs w:val="1"/>
          <w:color w:val="auto"/>
        </w:rPr>
        <w:t>Existing Warrant Agreement</w:t>
      </w:r>
      <w:r>
        <w:rPr>
          <w:rFonts w:ascii="Arial" w:cs="Arial" w:eastAsia="Arial" w:hAnsi="Arial"/>
          <w:sz w:val="16"/>
          <w:szCs w:val="16"/>
          <w:color w:val="auto"/>
        </w:rPr>
        <w:t>”). Capitalized terms used but not otherwise defined in this Amendment shall have the meanings given to such terms in the Existing Warrant Agreement.</w:t>
      </w:r>
    </w:p>
    <w:p>
      <w:pPr>
        <w:spacing w:after="0" w:line="16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WHEREAS, on June 24, 2021, the Company consummated the business combination pursuant to that certain Business Combination Agreement, dated as of December 29, 2020, by and among FTIV, FinTech Investor Holdings IV, LLC, a Delaware limited liability company, FinTech Masala Advisors, LLC, a Delaware limited liability company, PWP Holdings LP, a Delaware limited partnership, PWP GP LLC, a Delaware limited liability company and the general partner of PWP OpCo, PWP Professional Partners LP, a Delaware limited partnership and a limited partner of PWP OpCo, and Perella Weinberg Partners LLC, a Delaware limited liability company and the general partner of Professional Partners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and in connection therewith the Company was renamed “Perella Weinberg Partners”;</w:t>
      </w:r>
    </w:p>
    <w:p>
      <w:pPr>
        <w:spacing w:after="0" w:line="178"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WHEREAS, in accordance with Section 4.4 of the Existing Warrant Agreement, upon effectiveness of the Business Combination, the holders of the Warrants thereafter had the right to purchase and receive, upon the basis and upon the terms and conditions specified in the Warrants and in lieu of the shares of the Class A common stock of FTIV immediately theretofore purchasable and receivable upon the exercise of the rights represented thereby, an Alternative Issuance in shares of Class A common stock, par value $0.0001,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w:t>
      </w:r>
    </w:p>
    <w:p>
      <w:pPr>
        <w:spacing w:after="0" w:line="157"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WHEREAS, Section 9.8 of the Existing Warrant Agreement provides that the Company and the Warrant Agent may amend, subject to certain conditions provided therein, the Existing Warrant Agreement with the vote or written consent of the Registered Holders of 65% of the then outstanding Public Warrants;</w:t>
      </w:r>
    </w:p>
    <w:p>
      <w:pPr>
        <w:spacing w:after="0" w:line="18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WHEREAS, the Company desires to amend the Existing Warrant Agreement to provide the Company with the right to require the holders of the Warrants to exchange all of the outstanding Warrants for shares of Common Stock, on the terms and subject to the conditions set forth herein; and</w:t>
      </w:r>
    </w:p>
    <w:p>
      <w:pPr>
        <w:spacing w:after="0" w:line="12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WHEREAS, in the exchange offer and consent solicitation undertaken by the Company pursuant to the Registration Statement on Form S-4 filed with the U.S. Securities and Exchange Commission, the Registered Holders of more than 65% of the then outstanding Public Warrants consented to and approved this Amendment.</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84" w:lineRule="exact"/>
        <w:rPr>
          <w:sz w:val="20"/>
          <w:szCs w:val="20"/>
          <w:color w:val="auto"/>
        </w:rPr>
      </w:pPr>
    </w:p>
    <w:p>
      <w:pPr>
        <w:ind w:left="1060" w:hanging="404"/>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Amendment of Existing Warrant Agreement</w:t>
      </w:r>
      <w:r>
        <w:rPr>
          <w:rFonts w:ascii="Arial" w:cs="Arial" w:eastAsia="Arial" w:hAnsi="Arial"/>
          <w:sz w:val="18"/>
          <w:szCs w:val="18"/>
          <w:color w:val="auto"/>
        </w:rPr>
        <w:t>. The Existing Warrant Agreement is hereby amended by adding:</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new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6A Mandatory Exchange</w:t>
      </w:r>
      <w:r>
        <w:rPr>
          <w:rFonts w:ascii="Arial" w:cs="Arial" w:eastAsia="Arial" w:hAnsi="Arial"/>
          <w:sz w:val="18"/>
          <w:szCs w:val="18"/>
          <w:color w:val="auto"/>
        </w:rPr>
        <w:t>.</w:t>
      </w:r>
    </w:p>
    <w:p>
      <w:pPr>
        <w:spacing w:after="0" w:line="22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u w:val="single" w:color="auto"/>
          <w:color w:val="auto"/>
        </w:rPr>
        <w:t>6A.1 Company Election to Exchange</w:t>
      </w:r>
      <w:r>
        <w:rPr>
          <w:rFonts w:ascii="Arial" w:cs="Arial" w:eastAsia="Arial" w:hAnsi="Arial"/>
          <w:sz w:val="16"/>
          <w:szCs w:val="16"/>
          <w:color w:val="auto"/>
        </w:rPr>
        <w:t>. Notwithstanding any other provision in this Agreement to the contrary, all (and not less than all) of the outstanding Warrants (including outstanding Placement Warrants) may be exchanged, at the option of the Company, at any time while they are exercisable and prior to their expiration, at the office of the Warrant Agent, upon notice to the Registered Holders of the then outstanding Warrants, as described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8" w:right="339" w:bottom="1440" w:gutter="0" w:footer="0" w:header="0"/>
        </w:sectPr>
      </w:pPr>
    </w:p>
    <w:bookmarkStart w:id="5" w:name="page6"/>
    <w:bookmarkEnd w:id="5"/>
    <w:p>
      <w:pPr>
        <w:ind w:right="240"/>
        <w:spacing w:after="0" w:line="296" w:lineRule="auto"/>
        <w:rPr>
          <w:sz w:val="20"/>
          <w:szCs w:val="20"/>
          <w:color w:val="auto"/>
        </w:rPr>
      </w:pPr>
      <w:r>
        <w:rPr>
          <w:rFonts w:ascii="Arial" w:cs="Arial" w:eastAsia="Arial" w:hAnsi="Arial"/>
          <w:sz w:val="16"/>
          <w:szCs w:val="16"/>
          <w:color w:val="auto"/>
        </w:rPr>
        <w:t>6A.2 below, for Common Stock (or any Alternative Issuance pursuant to Section 4.4), at the exchange rate of 0.18 shares of Common Stock (or any Alternative Issuance pursuant to Section 4.4) for each Warrant held by the holder thereof (the “</w:t>
      </w:r>
      <w:r>
        <w:rPr>
          <w:rFonts w:ascii="Arial" w:cs="Arial" w:eastAsia="Arial" w:hAnsi="Arial"/>
          <w:sz w:val="16"/>
          <w:szCs w:val="16"/>
          <w:b w:val="1"/>
          <w:bCs w:val="1"/>
          <w:i w:val="1"/>
          <w:iCs w:val="1"/>
          <w:color w:val="auto"/>
        </w:rPr>
        <w:t>Consideration</w:t>
      </w:r>
      <w:r>
        <w:rPr>
          <w:rFonts w:ascii="Arial" w:cs="Arial" w:eastAsia="Arial" w:hAnsi="Arial"/>
          <w:sz w:val="16"/>
          <w:szCs w:val="16"/>
          <w:color w:val="auto"/>
        </w:rPr>
        <w:t>”) (subject to equitable adjustment by the Company in the event of any stock splits, stock dividends, recapitalizations or similar transaction with respect to the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 a share multiplied by $7.85.</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6A.2 </w:t>
      </w:r>
      <w:r>
        <w:rPr>
          <w:rFonts w:ascii="Arial" w:cs="Arial" w:eastAsia="Arial" w:hAnsi="Arial"/>
          <w:sz w:val="17"/>
          <w:szCs w:val="17"/>
          <w:u w:val="single" w:color="auto"/>
          <w:color w:val="auto"/>
        </w:rPr>
        <w:t>Date Fixed for, and Notice of, Exchange</w:t>
      </w:r>
      <w:r>
        <w:rPr>
          <w:rFonts w:ascii="Arial" w:cs="Arial" w:eastAsia="Arial" w:hAnsi="Arial"/>
          <w:sz w:val="17"/>
          <w:szCs w:val="17"/>
          <w:color w:val="auto"/>
        </w:rPr>
        <w:t>. In the event that the Company elects to exchange all of the Warrants, the Company shall fix a date for the exchange (the “</w:t>
      </w:r>
      <w:r>
        <w:rPr>
          <w:rFonts w:ascii="Arial" w:cs="Arial" w:eastAsia="Arial" w:hAnsi="Arial"/>
          <w:sz w:val="17"/>
          <w:szCs w:val="17"/>
          <w:b w:val="1"/>
          <w:bCs w:val="1"/>
          <w:i w:val="1"/>
          <w:iCs w:val="1"/>
          <w:color w:val="auto"/>
        </w:rPr>
        <w:t>Exchange Date</w:t>
      </w:r>
      <w:r>
        <w:rPr>
          <w:rFonts w:ascii="Arial" w:cs="Arial" w:eastAsia="Arial" w:hAnsi="Arial"/>
          <w:sz w:val="17"/>
          <w:szCs w:val="17"/>
          <w:color w:val="auto"/>
        </w:rPr>
        <w:t>”). Notice of exchange shall be mailed by first class mail, postage prepaid, by the Company not less than fifteen (15) days prior to the Exchange Date to the Registered Holders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6A.3 </w:t>
      </w:r>
      <w:r>
        <w:rPr>
          <w:rFonts w:ascii="Arial" w:cs="Arial" w:eastAsia="Arial" w:hAnsi="Arial"/>
          <w:sz w:val="18"/>
          <w:szCs w:val="18"/>
          <w:u w:val="single" w:color="auto"/>
          <w:color w:val="auto"/>
        </w:rPr>
        <w:t>Exercise After Notice of Exchange</w:t>
      </w:r>
      <w:r>
        <w:rPr>
          <w:rFonts w:ascii="Arial" w:cs="Arial" w:eastAsia="Arial" w:hAnsi="Arial"/>
          <w:sz w:val="18"/>
          <w:szCs w:val="18"/>
          <w:color w:val="auto"/>
        </w:rPr>
        <w:t xml:space="preserve">. The Warrants may be exercised, for cash (or on a “cashless basis”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of this Agreement, with an adjustment to the definition of “Fair Market Value” to substitute the date on which the notice of exchange is sent for the date on which the nature of redemption is sent) at any time after notice of exchange shall have been given by the Company pursuant to </w:t>
      </w:r>
      <w:r>
        <w:rPr>
          <w:rFonts w:ascii="Arial" w:cs="Arial" w:eastAsia="Arial" w:hAnsi="Arial"/>
          <w:sz w:val="18"/>
          <w:szCs w:val="18"/>
          <w:u w:val="single" w:color="auto"/>
          <w:color w:val="auto"/>
        </w:rPr>
        <w:t>Section 6A.2</w:t>
      </w:r>
      <w:r>
        <w:rPr>
          <w:rFonts w:ascii="Arial" w:cs="Arial" w:eastAsia="Arial" w:hAnsi="Arial"/>
          <w:sz w:val="18"/>
          <w:szCs w:val="18"/>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8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Severability</w:t>
      </w:r>
      <w:r>
        <w:rPr>
          <w:rFonts w:ascii="Arial" w:cs="Arial" w:eastAsia="Arial" w:hAnsi="Arial"/>
          <w:sz w:val="18"/>
          <w:szCs w:val="18"/>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and performance of this Amendment and of the Warrants shall be governed in all respects by the laws of the State of New York, without giving effect to conflicts of law principles that would result in the application of the substantive laws of another jurisdiction. Each of the parties hereto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Each of the parties hereto hereby waives any objection to such exclusive jurisdiction and that such courts represent an inconvenient forum.</w:t>
      </w:r>
    </w:p>
    <w:p>
      <w:pPr>
        <w:spacing w:after="0" w:line="192"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(which may include counterparts delivered by any standard form of telecommunication) and each of such counterparts shall for all purposes be deemed to be an original, and all such counterparts shall together constitute but one and the same instrument. The words “execution,” “signed,” “signature,” and words of like import in this Amendment or in any other certificate, agreement or document related to this Amendment,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21" w:right="359" w:bottom="1440" w:gutter="0" w:footer="0" w:header="0"/>
        </w:sectPr>
      </w:pPr>
    </w:p>
    <w:bookmarkStart w:id="6" w:name="page7"/>
    <w:bookmarkEnd w:id="6"/>
    <w:p>
      <w:pPr>
        <w:ind w:right="52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Amendment and shall not affect the interpretation thereof.</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1421"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 WITNESS WHEREOF, each of the parties has caused this Amendment to be duly executed as of the date first above written.</w:t>
      </w:r>
    </w:p>
    <w:p>
      <w:pPr>
        <w:spacing w:after="0" w:line="26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PERELLA WEINBERG PARTNERS</w:t>
      </w:r>
    </w:p>
    <w:p>
      <w:pPr>
        <w:spacing w:after="0" w:line="256" w:lineRule="exact"/>
        <w:rPr>
          <w:sz w:val="20"/>
          <w:szCs w:val="20"/>
          <w:color w:val="auto"/>
        </w:rPr>
      </w:pPr>
    </w:p>
    <w:tbl>
      <w:tblPr>
        <w:tblLayout w:type="fixed"/>
        <w:tblInd w:w="48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Gary Barancik</w:t>
            </w:r>
          </w:p>
        </w:tc>
      </w:tr>
      <w:tr>
        <w:trPr>
          <w:trHeight w:val="222"/>
        </w:trPr>
        <w:tc>
          <w:tcPr>
            <w:tcW w:w="5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500" w:type="dxa"/>
            <w:vAlign w:val="bottom"/>
          </w:tcPr>
          <w:p>
            <w:pPr>
              <w:ind w:left="240"/>
              <w:spacing w:after="0"/>
              <w:rPr>
                <w:sz w:val="20"/>
                <w:szCs w:val="20"/>
                <w:color w:val="auto"/>
              </w:rPr>
            </w:pPr>
            <w:r>
              <w:rPr>
                <w:rFonts w:ascii="Arial" w:cs="Arial" w:eastAsia="Arial" w:hAnsi="Arial"/>
                <w:sz w:val="18"/>
                <w:szCs w:val="18"/>
                <w:color w:val="auto"/>
              </w:rPr>
              <w:t>Gary Barancik</w:t>
            </w:r>
          </w:p>
        </w:tc>
      </w:tr>
      <w:tr>
        <w:trPr>
          <w:trHeight w:val="230"/>
        </w:trPr>
        <w:tc>
          <w:tcPr>
            <w:tcW w:w="58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45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405"/>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AMERICAN STOCK TRANSFER &amp; TRUST COMPANY, LLC</w:t>
            </w:r>
            <w:r>
              <w:rPr>
                <w:rFonts w:ascii="Arial" w:cs="Arial" w:eastAsia="Arial" w:hAnsi="Arial"/>
                <w:sz w:val="18"/>
                <w:szCs w:val="18"/>
                <w:color w:val="auto"/>
              </w:rPr>
              <w:t>, as</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Warrant Agent</w:t>
            </w:r>
          </w:p>
        </w:tc>
        <w:tc>
          <w:tcPr>
            <w:tcW w:w="4500" w:type="dxa"/>
            <w:vAlign w:val="bottom"/>
          </w:tcPr>
          <w:p>
            <w:pPr>
              <w:spacing w:after="0"/>
              <w:rPr>
                <w:sz w:val="20"/>
                <w:szCs w:val="20"/>
                <w:color w:val="auto"/>
              </w:rPr>
            </w:pPr>
          </w:p>
        </w:tc>
      </w:tr>
      <w:tr>
        <w:trPr>
          <w:trHeight w:val="47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Michael Legregin</w:t>
            </w:r>
          </w:p>
        </w:tc>
      </w:tr>
      <w:tr>
        <w:trPr>
          <w:trHeight w:val="222"/>
        </w:trPr>
        <w:tc>
          <w:tcPr>
            <w:tcW w:w="5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rPr>
                <w:sz w:val="20"/>
                <w:szCs w:val="20"/>
                <w:color w:val="auto"/>
              </w:rPr>
            </w:pPr>
            <w:r>
              <w:rPr>
                <w:rFonts w:ascii="Arial" w:cs="Arial" w:eastAsia="Arial" w:hAnsi="Arial"/>
                <w:sz w:val="18"/>
                <w:szCs w:val="18"/>
                <w:color w:val="auto"/>
              </w:rPr>
              <w:t>Michael Legregin</w:t>
            </w:r>
          </w:p>
        </w:tc>
      </w:tr>
      <w:tr>
        <w:trPr>
          <w:trHeight w:val="176"/>
        </w:trPr>
        <w:tc>
          <w:tcPr>
            <w:tcW w:w="580" w:type="dxa"/>
            <w:vAlign w:val="bottom"/>
          </w:tcPr>
          <w:p>
            <w:pPr>
              <w:spacing w:after="0"/>
              <w:rPr>
                <w:sz w:val="15"/>
                <w:szCs w:val="15"/>
                <w:color w:val="auto"/>
              </w:rPr>
            </w:pPr>
          </w:p>
        </w:tc>
        <w:tc>
          <w:tcPr>
            <w:tcW w:w="62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line="176" w:lineRule="exact"/>
              <w:rPr>
                <w:sz w:val="20"/>
                <w:szCs w:val="20"/>
                <w:color w:val="auto"/>
              </w:rPr>
            </w:pPr>
            <w:r>
              <w:rPr>
                <w:rFonts w:ascii="Arial" w:cs="Arial" w:eastAsia="Arial" w:hAnsi="Arial"/>
                <w:sz w:val="18"/>
                <w:szCs w:val="18"/>
                <w:color w:val="auto"/>
              </w:rPr>
              <w:t>Senior Vice President, Corporate Actions Relationship</w:t>
            </w:r>
          </w:p>
        </w:tc>
      </w:t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Management &amp;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980" w:top="1421" w:right="339" w:bottom="1440" w:gutter="0" w:footer="0" w:header="0"/>
        </w:sectPr>
      </w:pPr>
    </w:p>
    <w:bookmarkStart w:id="8" w:name="page9"/>
    <w:bookmarkEnd w:id="8"/>
    <w:p>
      <w:pPr>
        <w:ind w:left="103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977265" cy="43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726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right="220"/>
        <w:spacing w:after="0" w:line="287" w:lineRule="auto"/>
        <w:rPr>
          <w:sz w:val="20"/>
          <w:szCs w:val="20"/>
          <w:color w:val="auto"/>
        </w:rPr>
      </w:pPr>
      <w:r>
        <w:rPr>
          <w:rFonts w:ascii="Arial" w:cs="Arial" w:eastAsia="Arial" w:hAnsi="Arial"/>
          <w:sz w:val="18"/>
          <w:szCs w:val="18"/>
          <w:b w:val="1"/>
          <w:bCs w:val="1"/>
          <w:color w:val="auto"/>
        </w:rPr>
        <w:t>Perella Weinberg Partners Announces Completion of Exchange Offer and Consent Solicitation and Notice to Exercise Right to Exchange Remaining Outstanding Warrants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New York, NY, August 23, 2022 - Perella Weinberg Partners (the “Company” or “PWP”) (NASDAQ: PWP), a leading global independent advisory firm, today announced the completion of its previously announced exchange offer (the “Offer”) and consent solicitation (the “Consent Solicitation”) relating to its outstanding warrants, consisting of (i) the warrants sold as part of the units in FinTech Acquisition Corp. IV’s (“FTIV”) initial public offering of FTIV’s securities on September 29, 2020 (“IPO”) (whether they were purchased in the IPO or thereafter in the open market) (the “Public Warrants”) and (ii) the warrants sold as part of the units in a private placement that occurred simultaneously with the IPO (the “Private Placement Warrants” and, together with the Public Warrants, the “Warrants”), each whole Warrant exercisable for one share of Class A common stock, $0.0001 par value per share (“Class A Common Stock”), of the Company, at an exercise price of $11.50 per share. Holders of the Warrants that were validly tendered and not validly withdrawn prior to the expiration of the Offer and Consent Solicitation received 0.20 shares of Class A Common Stock in exchange for each Warrant tendered by the holder and exchanged pursuant to the Offer. The Company issued 1,493,688 shares of Class A Common Stock in exchange for the Warrants tendered in the Offer. The Company also entered into the related amendment to the warrant agreement governing the Warrants (the “Warrant Amendment”).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also announced that it will exercise its right, in accordance with the terms of the Warrant Amendment, to exchange all remaining untendered Warrants (including Private Placement Warrants) at an exchange ratio of 0.18 shares of Class A Common Stock for each Warrant. The Company has fixed the date for such exchange as September 7, 2022. Following such exchange, no Public Warrants or Private Placement Warrants will remain outstanding.</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Citigroup Global Markets Inc. was the Dealer Manager for the Offer and Consent Solicitation. D.F. King &amp; Co., Inc. served as the Information Agent for the Offer and Consent Solicitation, and American Stock Transfer &amp; Trust Company, LLC served as the Exchange Agent.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shall not constitute an offer to exchange or the solicitation of an offer to exchange or the solicitation of an offer to purchase any securities, nor shall there be any exchange or sale of securities in any jurisdiction in which such offer, solicitation or sale would be unlawful prior to registration or qualification under the securities laws of any such jurisdiction. A registration statement on Form S-4 relating to the securities to be issued in the Offer was filed with the SEC and was declared effective on August 15, 2022. The Offer and Consent Solicitation were made only pursuant to the terms and conditions of the Prospectus/Offer to Exchange and related letter of transmittal and consent.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“safe harbor” provisions of the United States Private Securities Litigation Reform Act of 1995, which reflect the Company’s current views with respect to, among other things, statements about the exercise of the Company’s right to exchange the remaining untendered Warrants. You can identify these forward-looking statements by the</w:t>
      </w:r>
    </w:p>
    <w:p>
      <w:pPr>
        <w:sectPr>
          <w:pgSz w:w="11900" w:h="16838" w:orient="portrait"/>
          <w:cols w:equalWidth="0" w:num="1">
            <w:col w:w="11240"/>
          </w:cols>
          <w:pgMar w:left="320" w:top="162"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77265"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977265" cy="436880"/>
                    </a:xfrm>
                    <a:prstGeom prst="rect">
                      <a:avLst/>
                    </a:prstGeom>
                    <a:noFill/>
                  </pic:spPr>
                </pic:pic>
              </a:graphicData>
            </a:graphic>
          </wp:anchor>
        </w:drawing>
        <w:t>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Prospectus/Offer to Exchange, filed with the SEC on August 15, 2022, and Amendment No. 1 to the Company’s Annual Report on Form 10-K/A for the year ended December 31, 2021, filed with the SEC on July 7, 2022. These filings and subsequent filings are available online at www.sec.gov or on request from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Investor Relations: investors@pwpartners.com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Media: media@pwpartners.com</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abstractNum>
  <w:abstractNum w:abstractNumId="4">
    <w:nsid w:val="3D1B58BA"/>
    <w:multiLevelType w:val="hybridMultilevel"/>
    <w:lvl w:ilvl="0">
      <w:lvlJc w:val="left"/>
      <w:lvlText w:val="(%1)"/>
      <w:numFmt w:val="lowerLetter"/>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2022-08-23T16:12:40Z</dcterms:created>
  <dcterms:modified xsi:type="dcterms:W3CDTF">2022-08-23T16:12:40Z</dcterms:modified>
</cp:coreProperties>
</file>