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67995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Gottschalk Alexandra</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Perella Weinberg Partners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PWP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08/31/2021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13"/>
        <w:spacing w:after="0"/>
        <w:rPr>
          <w:sz w:val="20"/>
          <w:szCs w:val="20"/>
          <w:color w:val="auto"/>
        </w:rPr>
      </w:pPr>
      <w:r>
        <w:rPr>
          <w:rFonts w:ascii="Arial" w:cs="Arial" w:eastAsia="Arial" w:hAnsi="Arial"/>
          <w:sz w:val="17"/>
          <w:szCs w:val="17"/>
          <w:color w:val="0000FF"/>
        </w:rPr>
        <w:t>CAO and Managing Director</w:t>
      </w:r>
    </w:p>
    <w:p>
      <w:pPr>
        <w:spacing w:after="0" w:line="300" w:lineRule="exact"/>
        <w:rPr>
          <w:sz w:val="24"/>
          <w:szCs w:val="24"/>
          <w:color w:val="auto"/>
        </w:rPr>
      </w:pPr>
    </w:p>
    <w:p>
      <w:pPr>
        <w:sectPr>
          <w:pgSz w:w="11900" w:h="16838" w:orient="portrait"/>
          <w:cols w:equalWidth="0" w:num="3">
            <w:col w:w="3180" w:space="720"/>
            <w:col w:w="3107" w:space="720"/>
            <w:col w:w="3353"/>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10153</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3"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640"/>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08/31/2021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0"/>
              </w:rPr>
              <w:t>11,500</w:t>
            </w:r>
            <w:r>
              <w:rPr>
                <w:rFonts w:ascii="Arial" w:cs="Arial" w:eastAsia="Arial" w:hAnsi="Arial"/>
                <w:sz w:val="21"/>
                <w:szCs w:val="21"/>
                <w:color w:val="008000"/>
                <w:w w:val="80"/>
                <w:vertAlign w:val="superscript"/>
              </w:rPr>
              <w:t>(1)</w:t>
            </w:r>
          </w:p>
        </w:tc>
        <w:tc>
          <w:tcPr>
            <w:tcW w:w="600" w:type="dxa"/>
            <w:vAlign w:val="bottom"/>
            <w:tcBorders>
              <w:bottom w:val="single" w:sz="8" w:color="2C2C2C"/>
            </w:tcBorders>
          </w:tcPr>
          <w:p>
            <w:pPr>
              <w:jc w:val="right"/>
              <w:ind w:right="95"/>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0.00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11,500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2"/>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3"/>
              </w:rPr>
              <w:t>Performance-</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15"/>
                <w:szCs w:val="15"/>
                <w:color w:val="auto"/>
              </w:rPr>
            </w:pPr>
          </w:p>
        </w:tc>
        <w:tc>
          <w:tcPr>
            <w:tcW w:w="600" w:type="dxa"/>
            <w:vAlign w:val="bottom"/>
          </w:tcPr>
          <w:p>
            <w:pPr>
              <w:jc w:val="right"/>
              <w:ind w:right="95"/>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20,000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0" w:type="dxa"/>
            <w:vAlign w:val="bottom"/>
          </w:tcPr>
          <w:p>
            <w:pPr>
              <w:ind w:left="60"/>
              <w:spacing w:after="0" w:line="141" w:lineRule="exact"/>
              <w:rPr>
                <w:sz w:val="20"/>
                <w:szCs w:val="20"/>
                <w:color w:val="auto"/>
              </w:rPr>
            </w:pPr>
            <w:r>
              <w:rPr>
                <w:rFonts w:ascii="Arial" w:cs="Arial" w:eastAsia="Arial" w:hAnsi="Arial"/>
                <w:sz w:val="13"/>
                <w:szCs w:val="13"/>
                <w:color w:val="0000FF"/>
              </w:rPr>
              <w:t>Based Stock</w:t>
            </w:r>
          </w:p>
        </w:tc>
        <w:tc>
          <w:tcPr>
            <w:tcW w:w="760" w:type="dxa"/>
            <w:vAlign w:val="bottom"/>
            <w:vMerge w:val="continue"/>
          </w:tcPr>
          <w:p>
            <w:pPr>
              <w:spacing w:after="0"/>
              <w:rPr>
                <w:sz w:val="12"/>
                <w:szCs w:val="12"/>
                <w:color w:val="auto"/>
              </w:rPr>
            </w:pPr>
          </w:p>
        </w:tc>
        <w:tc>
          <w:tcPr>
            <w:tcW w:w="1080" w:type="dxa"/>
            <w:vAlign w:val="bottom"/>
          </w:tcPr>
          <w:p>
            <w:pPr>
              <w:ind w:left="260"/>
              <w:spacing w:after="0" w:line="141" w:lineRule="exact"/>
              <w:rPr>
                <w:sz w:val="20"/>
                <w:szCs w:val="20"/>
                <w:color w:val="auto"/>
              </w:rPr>
            </w:pPr>
            <w:r>
              <w:rPr>
                <w:rFonts w:ascii="Arial" w:cs="Arial" w:eastAsia="Arial" w:hAnsi="Arial"/>
                <w:sz w:val="13"/>
                <w:szCs w:val="13"/>
                <w:color w:val="0000FF"/>
              </w:rPr>
              <w:t>08/31/2021</w:t>
            </w:r>
          </w:p>
        </w:tc>
        <w:tc>
          <w:tcPr>
            <w:tcW w:w="1060" w:type="dxa"/>
            <w:vAlign w:val="bottom"/>
          </w:tcPr>
          <w:p>
            <w:pPr>
              <w:spacing w:after="0"/>
              <w:rPr>
                <w:sz w:val="12"/>
                <w:szCs w:val="12"/>
                <w:color w:val="auto"/>
              </w:rPr>
            </w:pPr>
          </w:p>
        </w:tc>
        <w:tc>
          <w:tcPr>
            <w:tcW w:w="620" w:type="dxa"/>
            <w:vAlign w:val="bottom"/>
          </w:tcPr>
          <w:p>
            <w:pPr>
              <w:ind w:left="180"/>
              <w:spacing w:after="0" w:line="141"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540" w:type="dxa"/>
            <w:vAlign w:val="bottom"/>
          </w:tcPr>
          <w:p>
            <w:pPr>
              <w:ind w:left="80"/>
              <w:spacing w:after="0" w:line="141" w:lineRule="exact"/>
              <w:rPr>
                <w:sz w:val="20"/>
                <w:szCs w:val="20"/>
                <w:color w:val="auto"/>
              </w:rPr>
            </w:pPr>
            <w:r>
              <w:rPr>
                <w:rFonts w:ascii="Arial" w:cs="Arial" w:eastAsia="Arial" w:hAnsi="Arial"/>
                <w:sz w:val="13"/>
                <w:szCs w:val="13"/>
                <w:color w:val="0000FF"/>
              </w:rPr>
              <w:t>20,000</w:t>
            </w: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tcPr>
          <w:p>
            <w:pPr>
              <w:ind w:left="240"/>
              <w:spacing w:after="0" w:line="141" w:lineRule="exact"/>
              <w:rPr>
                <w:sz w:val="20"/>
                <w:szCs w:val="20"/>
                <w:color w:val="auto"/>
              </w:rPr>
            </w:pPr>
            <w:r>
              <w:rPr>
                <w:rFonts w:ascii="Arial" w:cs="Arial" w:eastAsia="Arial" w:hAnsi="Arial"/>
                <w:sz w:val="13"/>
                <w:szCs w:val="13"/>
                <w:color w:val="0000FF"/>
                <w:w w:val="85"/>
              </w:rPr>
              <w:t>20,000</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-1987550</wp:posOffset>
            </wp:positionV>
            <wp:extent cx="28575" cy="1992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9263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11,500 unvested shares subject to awards of restricted stock units ("RSUs"), which vest in three equal installments on the 12, 24 and 36 month anniversaries of the grant date, subject to continued service through each vesting date. Each RSU represents a contingent right to receive one share of Class A common stock.</w:t>
      </w:r>
    </w:p>
    <w:p>
      <w:pPr>
        <w:spacing w:after="0" w:line="27" w:lineRule="exact"/>
        <w:rPr>
          <w:rFonts w:ascii="Arial" w:cs="Arial" w:eastAsia="Arial" w:hAnsi="Arial"/>
          <w:sz w:val="13"/>
          <w:szCs w:val="13"/>
          <w:color w:val="008000"/>
        </w:rPr>
      </w:pPr>
    </w:p>
    <w:p>
      <w:pPr>
        <w:ind w:left="40" w:right="140"/>
        <w:spacing w:after="0" w:line="26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performance-based restricted stock unit ("PSU") represents a contingent right to receive one share of Class A common stock. PSUs vest based on the achievement of (i) service-based vesting conditions that are satisfied in five equal installments on the 36, 42, 48, 54 and 60 month anniversaries of the grant date and (ii) performance-based vesting conditions that are satisfied upon the achievement of closing stock price hurdles for 20 out of any 30 consecutive trading days equal to $12, $13.50, $15 and $17, in each case prior to the sixth anniversary of the grant date.</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Arial" w:cs="Arial" w:eastAsia="Arial" w:hAnsi="Arial"/>
          <w:sz w:val="17"/>
          <w:szCs w:val="17"/>
          <w:color w:val="0000FF"/>
        </w:rPr>
        <w:t xml:space="preserve">/s/ Mark Polemeni, as Attorney- </w:t>
      </w:r>
      <w:r>
        <w:rPr>
          <w:rFonts w:ascii="Arial" w:cs="Arial" w:eastAsia="Arial" w:hAnsi="Arial"/>
          <w:sz w:val="33"/>
          <w:szCs w:val="33"/>
          <w:color w:val="0000FF"/>
          <w:vertAlign w:val="subscript"/>
        </w:rPr>
        <w:t>09/01/2021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297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8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7701"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2021-09-01T15:35:11Z</dcterms:created>
  <dcterms:modified xsi:type="dcterms:W3CDTF">2021-09-01T15:35:11Z</dcterms:modified>
</cp:coreProperties>
</file>