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 w:after="283"/>
        <w:jc w:val="right"/>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13"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120"/>
        <w:jc w:val="center"/>
        <w:rPr>
          <w:rFonts w:ascii="Arial;sans-serif" w:hAnsi="Arial;sans-serif"/>
          <w:b/>
          <w:color w:val="000000"/>
          <w:sz w:val="32"/>
        </w:rPr>
      </w:pPr>
      <w:r>
        <w:rPr>
          <w:rFonts w:ascii="Arial;sans-serif" w:hAnsi="Arial;sans-serif"/>
          <w:b/>
          <w:color w:val="000000"/>
          <w:sz w:val="32"/>
        </w:rPr>
        <w:t>UNITED STATES</w:t>
      </w:r>
    </w:p>
    <w:p>
      <w:pPr>
        <w:pStyle w:val="TextBody"/>
        <w:spacing w:lineRule="auto" w:line="240" w:before="0" w:after="12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spacing w:lineRule="auto" w:line="240" w:before="0" w:after="12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lineRule="auto" w:line="240" w:before="60" w:after="283"/>
        <w:jc w:val="center"/>
        <w:rPr>
          <w:rFonts w:ascii="Arial;sans-serif" w:hAnsi="Arial;sans-serif"/>
          <w:b/>
          <w:color w:val="000000"/>
          <w:sz w:val="32"/>
        </w:rPr>
      </w:pPr>
      <w:r>
        <w:rPr>
          <w:rFonts w:ascii="Arial;sans-serif" w:hAnsi="Arial;sans-serif"/>
          <w:b/>
          <w:color w:val="000000"/>
          <w:sz w:val="32"/>
        </w:rPr>
        <w:t>SCHEDULE 14A</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before="0" w:after="0"/>
        <w:jc w:val="center"/>
        <w:rPr/>
      </w:pPr>
      <w:r>
        <w:rPr/>
      </w:r>
    </w:p>
    <w:p>
      <w:pPr>
        <w:pStyle w:val="TextBody"/>
        <w:spacing w:lineRule="auto" w:line="288" w:before="0" w:after="120"/>
        <w:jc w:val="center"/>
        <w:rPr>
          <w:rFonts w:ascii="Arial;sans-serif" w:hAnsi="Arial;sans-serif"/>
          <w:b/>
          <w:color w:val="000000"/>
          <w:sz w:val="28"/>
        </w:rPr>
      </w:pPr>
      <w:r>
        <w:rPr>
          <w:rFonts w:ascii="Arial;sans-serif" w:hAnsi="Arial;sans-serif"/>
          <w:b/>
          <w:color w:val="000000"/>
          <w:sz w:val="28"/>
        </w:rPr>
        <w:t>Proxy Statement Pursuant to Section 14(a)</w:t>
        <w:br/>
        <w:t>of the Securities Exchange Act of 1934</w:t>
      </w:r>
    </w:p>
    <w:p>
      <w:pPr>
        <w:pStyle w:val="TextBody"/>
        <w:spacing w:lineRule="auto" w:line="240" w:before="0" w:after="0"/>
        <w:jc w:val="center"/>
        <w:rPr>
          <w:rFonts w:ascii="Arial;sans-serif" w:hAnsi="Arial;sans-serif"/>
          <w:b/>
          <w:color w:val="000000"/>
          <w:sz w:val="28"/>
        </w:rPr>
      </w:pPr>
      <w:r>
        <w:rPr>
          <w:rFonts w:ascii="Arial;sans-serif" w:hAnsi="Arial;sans-serif"/>
          <w:b/>
          <w:color w:val="000000"/>
          <w:sz w:val="28"/>
        </w:rPr>
        <w:t>(Amendment No. )</w:t>
      </w:r>
    </w:p>
    <w:p>
      <w:pPr>
        <w:pStyle w:val="TextBody"/>
        <w:spacing w:before="2" w:after="283"/>
        <w:rPr/>
      </w:pPr>
      <w:r>
        <w:rPr/>
      </w:r>
    </w:p>
    <w:p>
      <w:pPr>
        <w:pStyle w:val="TextBody"/>
        <w:spacing w:lineRule="auto" w:line="288" w:before="120" w:after="120"/>
        <w:rPr>
          <w:rFonts w:ascii="Arial;sans-serif" w:hAnsi="Arial;sans-serif"/>
          <w:b w:val="false"/>
          <w:color w:val="000000"/>
          <w:sz w:val="22"/>
        </w:rPr>
      </w:pPr>
      <w:r>
        <w:rPr>
          <w:rFonts w:ascii="Arial;sans-serif" w:hAnsi="Arial;sans-serif"/>
          <w:b w:val="false"/>
          <w:color w:val="000000"/>
          <w:sz w:val="22"/>
        </w:rPr>
        <w:t xml:space="preserve">Filed by the Registrant ☒ </w:t>
      </w:r>
    </w:p>
    <w:p>
      <w:pPr>
        <w:pStyle w:val="TextBody"/>
        <w:spacing w:lineRule="auto" w:line="288" w:before="120" w:after="120"/>
        <w:rPr>
          <w:rFonts w:ascii="Arial;sans-serif" w:hAnsi="Arial;sans-serif"/>
          <w:b w:val="false"/>
          <w:color w:val="000000"/>
          <w:sz w:val="22"/>
        </w:rPr>
      </w:pPr>
      <w:r>
        <w:rPr>
          <w:rFonts w:ascii="Arial;sans-serif" w:hAnsi="Arial;sans-serif"/>
          <w:b w:val="false"/>
          <w:color w:val="000000"/>
          <w:sz w:val="22"/>
        </w:rPr>
        <w:t>Filed by a party other than the Registrant ☐</w:t>
      </w:r>
    </w:p>
    <w:p>
      <w:pPr>
        <w:pStyle w:val="TextBody"/>
        <w:spacing w:before="0" w:after="120"/>
        <w:rPr/>
      </w:pPr>
      <w:r>
        <w:rPr/>
      </w:r>
    </w:p>
    <w:p>
      <w:pPr>
        <w:pStyle w:val="TextBody"/>
        <w:spacing w:lineRule="auto" w:line="288" w:before="0" w:after="120"/>
        <w:rPr>
          <w:rFonts w:ascii="Arial;sans-serif" w:hAnsi="Arial;sans-serif"/>
          <w:b w:val="false"/>
          <w:color w:val="000000"/>
          <w:sz w:val="22"/>
        </w:rPr>
      </w:pPr>
      <w:r>
        <w:rPr>
          <w:rFonts w:ascii="Arial;sans-serif" w:hAnsi="Arial;sans-serif"/>
          <w:b w:val="false"/>
          <w:color w:val="000000"/>
          <w:sz w:val="22"/>
        </w:rPr>
        <w:t>Check the appropriate box:</w:t>
      </w:r>
    </w:p>
    <w:p>
      <w:pPr>
        <w:pStyle w:val="TextBody"/>
        <w:spacing w:lineRule="auto" w:line="288" w:before="0" w:after="120"/>
        <w:rPr>
          <w:color w:val="000000"/>
        </w:rPr>
      </w:pPr>
      <w:r>
        <w:rPr>
          <w:color w:val="000000"/>
        </w:rPr>
        <w:t>☐    </w:t>
      </w:r>
      <w:r>
        <w:rPr>
          <w:rFonts w:ascii="Arial;sans-serif" w:hAnsi="Arial;sans-serif"/>
          <w:b w:val="false"/>
          <w:color w:val="000000"/>
          <w:sz w:val="22"/>
        </w:rPr>
        <w:t>Preliminary Proxy Statement</w:t>
      </w:r>
    </w:p>
    <w:p>
      <w:pPr>
        <w:pStyle w:val="TextBody"/>
        <w:spacing w:lineRule="auto" w:line="288" w:before="0" w:after="120"/>
        <w:rPr/>
      </w:pPr>
      <w:r>
        <w:rPr>
          <w:color w:val="000000"/>
        </w:rPr>
        <w:t>☐    </w:t>
      </w:r>
      <w:r>
        <w:rPr>
          <w:rFonts w:ascii="Arial;sans-serif" w:hAnsi="Arial;sans-serif"/>
          <w:b/>
          <w:color w:val="000000"/>
          <w:sz w:val="22"/>
        </w:rPr>
        <w:t>Confidential, for Use of the Commission Only (as permitted by Rule 14a-6(e)(2))</w:t>
      </w:r>
    </w:p>
    <w:p>
      <w:pPr>
        <w:pStyle w:val="TextBody"/>
        <w:spacing w:lineRule="auto" w:line="288" w:before="0" w:after="120"/>
        <w:rPr>
          <w:color w:val="000000"/>
        </w:rPr>
      </w:pPr>
      <w:r>
        <w:rPr>
          <w:color w:val="000000"/>
        </w:rPr>
        <w:t>☒    </w:t>
      </w:r>
      <w:r>
        <w:rPr>
          <w:rFonts w:ascii="Arial;sans-serif" w:hAnsi="Arial;sans-serif"/>
          <w:b w:val="false"/>
          <w:color w:val="000000"/>
          <w:sz w:val="22"/>
        </w:rPr>
        <w:t>Definitive Proxy Statement</w:t>
      </w:r>
    </w:p>
    <w:p>
      <w:pPr>
        <w:pStyle w:val="TextBody"/>
        <w:spacing w:lineRule="auto" w:line="288" w:before="0" w:after="120"/>
        <w:rPr>
          <w:color w:val="000000"/>
        </w:rPr>
      </w:pPr>
      <w:r>
        <w:rPr>
          <w:color w:val="000000"/>
        </w:rPr>
        <w:t>☐    </w:t>
      </w:r>
      <w:r>
        <w:rPr>
          <w:rFonts w:ascii="Arial;sans-serif" w:hAnsi="Arial;sans-serif"/>
          <w:b w:val="false"/>
          <w:color w:val="000000"/>
          <w:sz w:val="22"/>
        </w:rPr>
        <w:t>Definitive Additional Materials</w:t>
      </w:r>
    </w:p>
    <w:p>
      <w:pPr>
        <w:pStyle w:val="TextBody"/>
        <w:spacing w:lineRule="auto" w:line="288" w:before="0" w:after="0"/>
        <w:rPr>
          <w:color w:val="000000"/>
        </w:rPr>
      </w:pPr>
      <w:r>
        <w:rPr>
          <w:color w:val="000000"/>
        </w:rPr>
        <w:t>☐    </w:t>
      </w:r>
      <w:r>
        <w:rPr>
          <w:rFonts w:ascii="Arial;sans-serif" w:hAnsi="Arial;sans-serif"/>
          <w:b w:val="false"/>
          <w:color w:val="000000"/>
          <w:sz w:val="22"/>
        </w:rPr>
        <w:t>Soliciting Material under §240.14a-12</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lineRule="auto" w:line="240" w:before="0" w:after="120"/>
        <w:jc w:val="center"/>
        <w:rPr>
          <w:rFonts w:ascii="Arial;sans-serif" w:hAnsi="Arial;sans-serif"/>
          <w:b/>
          <w:color w:val="000000"/>
          <w:sz w:val="44"/>
        </w:rPr>
      </w:pPr>
      <w:r>
        <w:rPr>
          <w:rFonts w:ascii="Arial;sans-serif" w:hAnsi="Arial;sans-serif"/>
          <w:b/>
          <w:color w:val="000000"/>
          <w:sz w:val="44"/>
        </w:rPr>
        <w:t>PERELLA WEINBERG PARTNERS</w:t>
      </w:r>
    </w:p>
    <w:p>
      <w:pPr>
        <w:pStyle w:val="TextBody"/>
        <w:spacing w:lineRule="auto" w:line="240" w:before="0" w:after="120"/>
        <w:jc w:val="center"/>
        <w:rPr>
          <w:rFonts w:ascii="Arial;sans-serif" w:hAnsi="Arial;sans-serif"/>
          <w:b/>
          <w:color w:val="000000"/>
          <w:sz w:val="14"/>
        </w:rPr>
      </w:pPr>
      <w:r>
        <w:rPr>
          <w:rFonts w:ascii="Arial;sans-serif" w:hAnsi="Arial;sans-serif"/>
          <w:b/>
          <w:color w:val="000000"/>
          <w:sz w:val="14"/>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lineRule="auto" w:line="288" w:before="900" w:after="120"/>
        <w:rPr>
          <w:rFonts w:ascii="Arial;sans-serif" w:hAnsi="Arial;sans-serif"/>
          <w:b w:val="false"/>
          <w:color w:val="000000"/>
          <w:sz w:val="24"/>
        </w:rPr>
      </w:pPr>
      <w:r>
        <w:rPr>
          <w:rFonts w:ascii="Arial;sans-serif" w:hAnsi="Arial;sans-serif"/>
          <w:b w:val="false"/>
          <w:color w:val="000000"/>
          <w:sz w:val="24"/>
        </w:rPr>
        <w:t>Payment of Filing Fee (Check all boxes that apply):</w:t>
      </w:r>
    </w:p>
    <w:p>
      <w:pPr>
        <w:pStyle w:val="TextBody"/>
        <w:spacing w:lineRule="auto" w:line="288" w:before="0" w:after="120"/>
        <w:rPr/>
      </w:pPr>
      <w:r>
        <w:rPr>
          <w:color w:val="000000"/>
        </w:rPr>
        <w:t>☒    </w:t>
      </w:r>
      <w:r>
        <w:rPr>
          <w:rFonts w:ascii="Arial;sans-serif" w:hAnsi="Arial;sans-serif"/>
          <w:b w:val="false"/>
          <w:color w:val="000000"/>
          <w:sz w:val="22"/>
        </w:rPr>
        <w:t>No fee required</w:t>
      </w:r>
    </w:p>
    <w:p>
      <w:pPr>
        <w:pStyle w:val="TextBody"/>
        <w:spacing w:lineRule="auto" w:line="288" w:before="0" w:after="120"/>
        <w:rPr>
          <w:color w:val="000000"/>
        </w:rPr>
      </w:pPr>
      <w:r>
        <w:rPr>
          <w:color w:val="000000"/>
        </w:rPr>
        <w:t>☐    </w:t>
      </w:r>
      <w:r>
        <w:rPr>
          <w:rFonts w:ascii="Arial;sans-serif" w:hAnsi="Arial;sans-serif"/>
          <w:b w:val="false"/>
          <w:color w:val="000000"/>
          <w:sz w:val="22"/>
        </w:rPr>
        <w:t>Fee paid previously with preliminary materials</w:t>
      </w:r>
    </w:p>
    <w:p>
      <w:pPr>
        <w:pStyle w:val="TextBody"/>
        <w:spacing w:lineRule="auto" w:line="288" w:before="0" w:after="120"/>
        <w:rPr>
          <w:color w:val="000000"/>
        </w:rPr>
      </w:pPr>
      <w:r>
        <w:rPr>
          <w:color w:val="000000"/>
        </w:rPr>
        <w:t>☐    </w:t>
      </w:r>
      <w:r>
        <w:rPr>
          <w:rFonts w:ascii="Arial;sans-serif" w:hAnsi="Arial;sans-serif"/>
          <w:b w:val="false"/>
          <w:color w:val="000000"/>
          <w:sz w:val="22"/>
        </w:rPr>
        <w:t>Fee computed on table in exhibit required by Item 25(b) per Exchange Act Rules 14a-6(i)(1) and 0-11</w:t>
      </w:r>
    </w:p>
    <w:p>
      <w:pPr>
        <w:pStyle w:val="TextBody"/>
        <w:spacing w:before="2" w:after="2"/>
        <w:jc w:val="center"/>
        <w:rPr/>
      </w:pPr>
      <w:r>
        <w:rPr/>
      </w:r>
    </w:p>
    <w:p>
      <w:pPr>
        <w:pStyle w:val="TextBody"/>
        <w:spacing w:before="2" w:after="2"/>
        <w:jc w:val="center"/>
        <w:rPr/>
      </w:pPr>
      <w:r>
        <w:rPr/>
      </w:r>
    </w:p>
    <w:p>
      <w:pPr>
        <w:pStyle w:val="TextBody"/>
        <w:spacing w:before="2" w:after="2"/>
        <w:jc w:val="center"/>
        <w:rPr/>
      </w:pPr>
      <w:r>
        <w:rPr/>
      </w:r>
    </w:p>
    <w:p>
      <w:pPr>
        <w:pStyle w:val="TextBody"/>
        <w:spacing w:before="2" w:after="2"/>
        <w:jc w:val="center"/>
        <w:rPr/>
      </w:pPr>
      <w:r>
        <w:rPr/>
      </w:r>
    </w:p>
    <w:p>
      <w:pPr>
        <w:pStyle w:val="TextBody"/>
        <w:spacing w:before="2" w:after="2"/>
        <w:jc w:val="center"/>
        <w:rPr/>
      </w:pPr>
      <w:r>
        <w:rPr/>
      </w:r>
    </w:p>
    <w:p>
      <w:pPr>
        <w:pStyle w:val="TextBody"/>
        <w:spacing w:before="2" w:after="2"/>
        <w:jc w:val="center"/>
        <w:rPr/>
      </w:pPr>
      <w:r>
        <w:rPr/>
      </w:r>
    </w:p>
    <w:p>
      <w:pPr>
        <w:pStyle w:val="TextBody"/>
        <w:spacing w:before="2" w:after="2"/>
        <w:jc w:val="center"/>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13"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before="200" w:after="283"/>
        <w:rPr/>
      </w:pPr>
      <w:r>
        <w:rPr/>
        <w:drawing>
          <wp:inline distT="0" distB="63500" distL="0" distR="0">
            <wp:extent cx="1905000" cy="7239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05000" cy="723900"/>
                    </a:xfrm>
                    <a:prstGeom prst="rect">
                      <a:avLst/>
                    </a:prstGeom>
                  </pic:spPr>
                </pic:pic>
              </a:graphicData>
            </a:graphic>
          </wp:inline>
        </w:drawing>
      </w:r>
    </w:p>
    <w:p>
      <w:pPr>
        <w:pStyle w:val="TextBody"/>
        <w:spacing w:lineRule="auto" w:line="288" w:before="20" w:after="283"/>
        <w:jc w:val="right"/>
        <w:rPr>
          <w:rFonts w:ascii="Arial;sans-serif" w:hAnsi="Arial;sans-serif"/>
          <w:b w:val="false"/>
          <w:color w:val="000000"/>
          <w:sz w:val="20"/>
        </w:rPr>
      </w:pPr>
      <w:r>
        <w:rPr>
          <w:rFonts w:ascii="Arial;sans-serif" w:hAnsi="Arial;sans-serif"/>
          <w:b w:val="false"/>
          <w:color w:val="000000"/>
          <w:sz w:val="20"/>
        </w:rPr>
        <w:t>767 FIFTH AVENUE</w:t>
        <w:br/>
        <w:t>NEW YORK, NEW YORK 10153</w:t>
      </w:r>
    </w:p>
    <w:p>
      <w:pPr>
        <w:pStyle w:val="TextBody"/>
        <w:spacing w:before="0" w:after="0"/>
        <w:jc w:val="both"/>
        <w:rPr/>
      </w:pPr>
      <w:r>
        <w:rPr/>
      </w:r>
    </w:p>
    <w:p>
      <w:pPr>
        <w:pStyle w:val="TextBody"/>
        <w:spacing w:lineRule="auto" w:line="288" w:before="200" w:after="283"/>
        <w:jc w:val="right"/>
        <w:rPr>
          <w:rFonts w:ascii="Arial;sans-serif" w:hAnsi="Arial;sans-serif"/>
          <w:b w:val="false"/>
          <w:color w:val="000000"/>
          <w:sz w:val="20"/>
        </w:rPr>
      </w:pPr>
      <w:r>
        <w:rPr>
          <w:rFonts w:ascii="Arial;sans-serif" w:hAnsi="Arial;sans-serif"/>
          <w:b w:val="false"/>
          <w:color w:val="000000"/>
          <w:sz w:val="20"/>
        </w:rPr>
        <w:t>April 14, 2023</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Dear Stockholder,</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We cordially invite you to attend our 2023 Annual Meeting of Stockholders, to be held on Wednesday, May 24, 2023, at 10:00 a.m. (Eastern Time) at http://www.virtualshareholdermeeting.com/PWP2023.</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The Notice of Annual Meeting of Stockholders and the proxy statement that follow describe the business to be conducted at the meeting.</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Your vote is important. We encourage you to submit your votes in advance of the meeting, whether or not you plan to attend the meeting.</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Sincerely,</w:t>
      </w:r>
    </w:p>
    <w:p>
      <w:pPr>
        <w:pStyle w:val="TextBody"/>
        <w:spacing w:lineRule="auto" w:line="288" w:before="200" w:after="120"/>
        <w:rPr>
          <w:rFonts w:ascii="Arial;sans-serif" w:hAnsi="Arial;sans-serif"/>
          <w:b w:val="false"/>
          <w:color w:val="000000"/>
          <w:sz w:val="20"/>
          <w:u w:val="single"/>
        </w:rPr>
      </w:pPr>
      <w:r>
        <w:rPr>
          <w:rFonts w:ascii="Arial;sans-serif" w:hAnsi="Arial;sans-serif"/>
          <w:b w:val="false"/>
          <w:color w:val="000000"/>
          <w:sz w:val="20"/>
          <w:u w:val="single"/>
        </w:rPr>
        <w:t>/s/ Andrew Bednar    </w:t>
      </w:r>
    </w:p>
    <w:p>
      <w:pPr>
        <w:pStyle w:val="TextBody"/>
        <w:spacing w:lineRule="auto" w:line="288" w:before="120" w:after="200"/>
        <w:rPr/>
      </w:pPr>
      <w:r>
        <w:rPr>
          <w:rFonts w:ascii="Arial;sans-serif" w:hAnsi="Arial;sans-serif"/>
          <w:b w:val="false"/>
          <w:color w:val="000000"/>
          <w:sz w:val="20"/>
        </w:rPr>
        <w:t>Andrew Bednar</w:t>
        <w:br/>
      </w:r>
      <w:r>
        <w:rPr>
          <w:rFonts w:ascii="Arial;sans-serif" w:hAnsi="Arial;sans-serif"/>
          <w:b w:val="false"/>
          <w:i/>
          <w:color w:val="000000"/>
          <w:sz w:val="20"/>
        </w:rPr>
        <w:t>Chief Executive Officer</w:t>
      </w:r>
    </w:p>
    <w:p>
      <w:pPr>
        <w:pStyle w:val="TextBody"/>
        <w:spacing w:before="20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before="200" w:after="283"/>
        <w:rPr/>
      </w:pPr>
      <w:r>
        <w:rPr/>
        <w:drawing>
          <wp:inline distT="0" distB="63500" distL="0" distR="0">
            <wp:extent cx="1905000" cy="7239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05000" cy="723900"/>
                    </a:xfrm>
                    <a:prstGeom prst="rect">
                      <a:avLst/>
                    </a:prstGeom>
                  </pic:spPr>
                </pic:pic>
              </a:graphicData>
            </a:graphic>
          </wp:inline>
        </w:drawing>
      </w:r>
    </w:p>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767 FIFTH AVENUE</w:t>
        <w:br/>
        <w:t>NEW YORK, NEW YORK 10153</w:t>
      </w:r>
    </w:p>
    <w:p>
      <w:pPr>
        <w:pStyle w:val="TextBody"/>
        <w:spacing w:lineRule="auto" w:line="288" w:before="200" w:after="200"/>
        <w:jc w:val="center"/>
        <w:rPr>
          <w:rFonts w:ascii="Arial;sans-serif" w:hAnsi="Arial;sans-serif"/>
          <w:b/>
          <w:color w:val="000000"/>
          <w:sz w:val="20"/>
        </w:rPr>
      </w:pPr>
      <w:r>
        <w:rPr>
          <w:rFonts w:ascii="Arial;sans-serif" w:hAnsi="Arial;sans-serif"/>
          <w:b/>
          <w:color w:val="000000"/>
          <w:sz w:val="20"/>
        </w:rPr>
        <w:t>NOTICE OF ANNUAL MEETING OF STOCKHOLDERS</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Meeting Date:    Wednesday, May 24, 2023</w:t>
        <w:br/>
        <w:t>Time:    10:00 a.m. (Eastern Time)</w:t>
        <w:br/>
        <w:t>Place:    http://www.virtualshareholdermeeting.com/PWP2023</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We are holding our 2023 annual meeting of stockholders for the following purposes, which are described in more detail in the proxy statement:</w:t>
      </w:r>
    </w:p>
    <w:p>
      <w:pPr>
        <w:pStyle w:val="TextBody"/>
        <w:spacing w:lineRule="auto" w:line="288" w:before="240" w:after="283"/>
        <w:ind w:left="0" w:right="0" w:hanging="360"/>
        <w:rPr>
          <w:rFonts w:ascii="Arial;sans-serif" w:hAnsi="Arial;sans-serif"/>
          <w:b w:val="false"/>
          <w:color w:val="000000"/>
          <w:sz w:val="20"/>
        </w:rPr>
      </w:pPr>
      <w:r>
        <w:rPr>
          <w:rFonts w:ascii="Arial;sans-serif" w:hAnsi="Arial;sans-serif"/>
          <w:b w:val="false"/>
          <w:color w:val="000000"/>
          <w:sz w:val="20"/>
        </w:rPr>
        <w:t>1.to elect four directors to our board of directors;</w:t>
      </w:r>
    </w:p>
    <w:p>
      <w:pPr>
        <w:pStyle w:val="TextBody"/>
        <w:spacing w:lineRule="auto" w:line="288" w:before="240" w:after="283"/>
        <w:ind w:left="0" w:right="0" w:hanging="360"/>
        <w:rPr>
          <w:rFonts w:ascii="Arial;sans-serif" w:hAnsi="Arial;sans-serif"/>
          <w:b w:val="false"/>
          <w:color w:val="000000"/>
          <w:sz w:val="20"/>
        </w:rPr>
      </w:pPr>
      <w:r>
        <w:rPr>
          <w:rFonts w:ascii="Arial;sans-serif" w:hAnsi="Arial;sans-serif"/>
          <w:b w:val="false"/>
          <w:color w:val="000000"/>
          <w:sz w:val="20"/>
        </w:rPr>
        <w:t>2.to ratify the appointment of Ernst &amp; Young LLP as our independent registered public accounting firm for the fiscal year ending December 31, 2023; and</w:t>
      </w:r>
    </w:p>
    <w:p>
      <w:pPr>
        <w:pStyle w:val="TextBody"/>
        <w:spacing w:before="2" w:after="283"/>
        <w:rPr/>
      </w:pPr>
      <w:r>
        <w:rPr/>
      </w:r>
    </w:p>
    <w:p>
      <w:pPr>
        <w:pStyle w:val="TextBody"/>
        <w:spacing w:lineRule="auto" w:line="240" w:before="2" w:after="283"/>
        <w:ind w:left="0" w:right="0" w:hanging="360"/>
        <w:rPr>
          <w:rFonts w:ascii="Arial;sans-serif" w:hAnsi="Arial;sans-serif"/>
          <w:b w:val="false"/>
          <w:color w:val="000000"/>
          <w:sz w:val="20"/>
        </w:rPr>
      </w:pPr>
      <w:r>
        <w:rPr>
          <w:rFonts w:ascii="Arial;sans-serif" w:hAnsi="Arial;sans-serif"/>
          <w:b w:val="false"/>
          <w:color w:val="000000"/>
          <w:sz w:val="20"/>
        </w:rPr>
        <w:t>3.to transact any other business as may properly come before the meeting or any adjournment or postponement thereof.</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Only stockholders of record as of the close of business on March 30, 2023, will be entitled to attend and vote at the annual meeting.</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We will furnish our proxy materials over the Internet as permitted by the rules of the U.S. Securities and Exchange Commission. As a result, we are sending to certain of our stockholders a Notice of Internet Availability of Proxy Materials rather than a full paper set of the proxy materials. Such notice contains instructions on how to access our proxy materials on the Internet, as well as instructions on how stockholders may obtain a paper copy of the proxy materials. This process will reduce the costs associated with printing and distributing our proxy materials. We expect to mail this notice and our proxy materials on or about April 14, 2023.</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Your vote is important. We encourage you to vote by proxy in advance of the meeting, whether or not you plan to attend the meeting. The Notice of Internet Availability of Proxy Materials includes instructions on how to vote, including by Internet and telephone. If you hold your shares through a brokerage firm, bank, broker-dealer or other similar organization, please follow their instructions.</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By Order of the Board of Directors,</w:t>
      </w:r>
    </w:p>
    <w:p>
      <w:pPr>
        <w:pStyle w:val="TextBody"/>
        <w:spacing w:lineRule="auto" w:line="288" w:before="200" w:after="200"/>
        <w:rPr>
          <w:rFonts w:ascii="Arial;sans-serif" w:hAnsi="Arial;sans-serif"/>
          <w:b w:val="false"/>
          <w:color w:val="000000"/>
          <w:sz w:val="20"/>
          <w:u w:val="single"/>
        </w:rPr>
      </w:pPr>
      <w:r>
        <w:rPr>
          <w:rFonts w:ascii="Arial;sans-serif" w:hAnsi="Arial;sans-serif"/>
          <w:b w:val="false"/>
          <w:color w:val="000000"/>
          <w:sz w:val="20"/>
          <w:u w:val="single"/>
        </w:rPr>
        <w:t>/s/ Justin Kamen    </w:t>
      </w:r>
    </w:p>
    <w:p>
      <w:pPr>
        <w:pStyle w:val="TextBody"/>
        <w:spacing w:lineRule="auto" w:line="288" w:before="200" w:after="200"/>
        <w:rPr/>
      </w:pPr>
      <w:r>
        <w:rPr>
          <w:rFonts w:ascii="Arial;sans-serif" w:hAnsi="Arial;sans-serif"/>
          <w:b w:val="false"/>
          <w:color w:val="000000"/>
          <w:sz w:val="20"/>
        </w:rPr>
        <w:t>Justin Kamen</w:t>
        <w:br/>
      </w:r>
      <w:r>
        <w:rPr>
          <w:rFonts w:ascii="Arial;sans-serif" w:hAnsi="Arial;sans-serif"/>
          <w:b w:val="false"/>
          <w:i/>
          <w:color w:val="000000"/>
          <w:sz w:val="20"/>
        </w:rPr>
        <w:t>Corporate Secretary</w:t>
      </w:r>
    </w:p>
    <w:p>
      <w:pPr>
        <w:pStyle w:val="TextBody"/>
        <w:spacing w:lineRule="auto" w:line="288" w:before="200" w:after="200"/>
        <w:rPr>
          <w:rFonts w:ascii="Arial;sans-serif" w:hAnsi="Arial;sans-serif"/>
          <w:b w:val="false"/>
          <w:color w:val="000000"/>
          <w:sz w:val="20"/>
        </w:rPr>
      </w:pPr>
      <w:r>
        <w:rPr>
          <w:rFonts w:ascii="Arial;sans-serif" w:hAnsi="Arial;sans-serif"/>
          <w:b w:val="false"/>
          <w:color w:val="000000"/>
          <w:sz w:val="20"/>
        </w:rPr>
        <w:t>April 14, 2023</w:t>
      </w:r>
    </w:p>
    <w:p>
      <w:pPr>
        <w:pStyle w:val="TextBody"/>
        <w:spacing w:lineRule="auto" w:line="288" w:before="200" w:after="200"/>
        <w:jc w:val="center"/>
        <w:rPr>
          <w:rFonts w:ascii="Arial;sans-serif" w:hAnsi="Arial;sans-serif"/>
          <w:b/>
          <w:color w:val="000000"/>
          <w:sz w:val="20"/>
        </w:rPr>
      </w:pPr>
      <w:r>
        <w:rPr>
          <w:rFonts w:ascii="Arial;sans-serif" w:hAnsi="Arial;sans-serif"/>
          <w:b/>
          <w:color w:val="000000"/>
          <w:sz w:val="20"/>
        </w:rPr>
        <w:t>IMPORTANT NOTICE REGARDING THE AVAILABILITY OF PROXY MATERIALS FOR THE ANNUAL MEETING TO BE HELD ON MAY 24, 2023.</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The Company’s Proxy Statement and 2022 Annual Report on Form 10-K</w:t>
        <w:br/>
        <w:t>are also available at www.proxyvote.com.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40" w:before="200" w:after="200"/>
        <w:jc w:val="center"/>
        <w:rPr>
          <w:rFonts w:ascii="Arial;sans-serif" w:hAnsi="Arial;sans-serif"/>
          <w:b/>
          <w:color w:val="000000"/>
          <w:sz w:val="20"/>
        </w:rPr>
      </w:pPr>
      <w:r>
        <w:rPr>
          <w:rFonts w:ascii="Arial;sans-serif" w:hAnsi="Arial;sans-serif"/>
          <w:b/>
          <w:color w:val="000000"/>
          <w:sz w:val="20"/>
        </w:rPr>
        <w:t>TABLE OF CONTENTS</w:t>
      </w:r>
    </w:p>
    <w:tbl>
      <w:tblPr>
        <w:tblW w:w="7751" w:type="dxa"/>
        <w:jc w:val="left"/>
        <w:tblInd w:w="0" w:type="dxa"/>
        <w:tblCellMar>
          <w:top w:w="28" w:type="dxa"/>
          <w:left w:w="28" w:type="dxa"/>
          <w:bottom w:w="28" w:type="dxa"/>
          <w:right w:w="28" w:type="dxa"/>
        </w:tblCellMar>
      </w:tblPr>
      <w:tblGrid>
        <w:gridCol w:w="2671"/>
        <w:gridCol w:w="2349"/>
        <w:gridCol w:w="2359"/>
        <w:gridCol w:w="109"/>
        <w:gridCol w:w="109"/>
        <w:gridCol w:w="154"/>
      </w:tblGrid>
      <w:tr>
        <w:trPr/>
        <w:tc>
          <w:tcPr>
            <w:tcW w:w="2671" w:type="dxa"/>
            <w:tcBorders/>
            <w:shd w:fill="auto" w:val="clear"/>
            <w:vAlign w:val="center"/>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c>
          <w:tcPr>
            <w:tcW w:w="23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7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cf65eb3cb1274478a4a68bf310fcdce8_13">
              <w:r>
                <w:rPr>
                  <w:rStyle w:val="InternetLink"/>
                  <w:rFonts w:ascii="Arial;sans-serif" w:hAnsi="Arial;sans-serif"/>
                  <w:b w:val="false"/>
                  <w:color w:val="0E32E1"/>
                  <w:sz w:val="20"/>
                  <w:u w:val="single"/>
                </w:rPr>
                <w:t>GENERAL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65eb3cb1274478a4a68bf310fcdce8_13">
              <w:r>
                <w:rPr>
                  <w:rStyle w:val="InternetLink"/>
                  <w:rFonts w:ascii="Arial;sans-serif" w:hAnsi="Arial;sans-serif"/>
                  <w:b w:val="false"/>
                  <w:color w:val="0E32E1"/>
                  <w:sz w:val="20"/>
                  <w:u w:val="single"/>
                </w:rPr>
                <w:t>1</w:t>
              </w:r>
            </w:hyperlink>
          </w:p>
        </w:tc>
      </w:tr>
      <w:tr>
        <w:trPr/>
        <w:tc>
          <w:tcPr>
            <w:tcW w:w="737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cf65eb3cb1274478a4a68bf310fcdce8_16">
              <w:r>
                <w:rPr>
                  <w:rStyle w:val="InternetLink"/>
                  <w:rFonts w:ascii="Arial;sans-serif" w:hAnsi="Arial;sans-serif"/>
                  <w:b w:val="false"/>
                  <w:color w:val="0E32E1"/>
                  <w:sz w:val="20"/>
                  <w:u w:val="single"/>
                </w:rPr>
                <w:t>PROPOSAL 1: ELECTION OF DIRECTORS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65eb3cb1274478a4a68bf310fcdce8_16">
              <w:r>
                <w:rPr>
                  <w:rStyle w:val="InternetLink"/>
                  <w:rFonts w:ascii="Arial;sans-serif" w:hAnsi="Arial;sans-serif"/>
                  <w:b w:val="false"/>
                  <w:color w:val="0E32E1"/>
                  <w:sz w:val="20"/>
                  <w:u w:val="single"/>
                </w:rPr>
                <w:t>7</w:t>
              </w:r>
            </w:hyperlink>
          </w:p>
        </w:tc>
      </w:tr>
      <w:tr>
        <w:trPr/>
        <w:tc>
          <w:tcPr>
            <w:tcW w:w="737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cf65eb3cb1274478a4a68bf310fcdce8_19">
              <w:r>
                <w:rPr>
                  <w:rStyle w:val="InternetLink"/>
                  <w:rFonts w:ascii="Arial;sans-serif" w:hAnsi="Arial;sans-serif"/>
                  <w:b w:val="false"/>
                  <w:color w:val="0E32E1"/>
                  <w:sz w:val="20"/>
                  <w:u w:val="single"/>
                </w:rPr>
                <w:t>CORPORATE GOVERNANCE</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65eb3cb1274478a4a68bf310fcdce8_19">
              <w:r>
                <w:rPr>
                  <w:rStyle w:val="InternetLink"/>
                  <w:rFonts w:ascii="Arial;sans-serif" w:hAnsi="Arial;sans-serif"/>
                  <w:b w:val="false"/>
                  <w:color w:val="0E32E1"/>
                  <w:sz w:val="20"/>
                  <w:u w:val="single"/>
                </w:rPr>
                <w:t>8</w:t>
              </w:r>
            </w:hyperlink>
          </w:p>
        </w:tc>
      </w:tr>
      <w:tr>
        <w:trPr/>
        <w:tc>
          <w:tcPr>
            <w:tcW w:w="737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cf65eb3cb1274478a4a68bf310fcdce8_22">
              <w:r>
                <w:rPr>
                  <w:rStyle w:val="InternetLink"/>
                  <w:rFonts w:ascii="Arial;sans-serif" w:hAnsi="Arial;sans-serif"/>
                  <w:b w:val="false"/>
                  <w:color w:val="0E32E1"/>
                  <w:sz w:val="20"/>
                  <w:u w:val="single"/>
                </w:rPr>
                <w:t>DIRECTOR COMPENSATION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65eb3cb1274478a4a68bf310fcdce8_22">
              <w:r>
                <w:rPr>
                  <w:rStyle w:val="InternetLink"/>
                  <w:rFonts w:ascii="Arial;sans-serif" w:hAnsi="Arial;sans-serif"/>
                  <w:b w:val="false"/>
                  <w:color w:val="0E32E1"/>
                  <w:sz w:val="20"/>
                  <w:u w:val="single"/>
                </w:rPr>
                <w:t>18</w:t>
              </w:r>
            </w:hyperlink>
          </w:p>
        </w:tc>
      </w:tr>
      <w:tr>
        <w:trPr/>
        <w:tc>
          <w:tcPr>
            <w:tcW w:w="737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cf65eb3cb1274478a4a68bf310fcdce8_25">
              <w:r>
                <w:rPr>
                  <w:rStyle w:val="InternetLink"/>
                  <w:rFonts w:ascii="Arial;sans-serif" w:hAnsi="Arial;sans-serif"/>
                  <w:b w:val="false"/>
                  <w:color w:val="0E32E1"/>
                  <w:sz w:val="20"/>
                  <w:u w:val="single"/>
                </w:rPr>
                <w:t>EXECUTIVE COMPENSATION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65eb3cb1274478a4a68bf310fcdce8_25">
              <w:r>
                <w:rPr>
                  <w:rStyle w:val="InternetLink"/>
                  <w:rFonts w:ascii="Arial;sans-serif" w:hAnsi="Arial;sans-serif"/>
                  <w:b w:val="false"/>
                  <w:color w:val="0E32E1"/>
                  <w:sz w:val="20"/>
                  <w:u w:val="single"/>
                </w:rPr>
                <w:t>19</w:t>
              </w:r>
            </w:hyperlink>
          </w:p>
        </w:tc>
      </w:tr>
      <w:tr>
        <w:trPr/>
        <w:tc>
          <w:tcPr>
            <w:tcW w:w="737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cf65eb3cb1274478a4a68bf310fcdce8_28">
              <w:r>
                <w:rPr>
                  <w:rStyle w:val="InternetLink"/>
                  <w:rFonts w:ascii="Arial;sans-serif" w:hAnsi="Arial;sans-serif"/>
                  <w:b w:val="false"/>
                  <w:color w:val="0E32E1"/>
                  <w:sz w:val="20"/>
                  <w:u w:val="single"/>
                </w:rPr>
                <w:t>STOCK OWNERSHIP OF CERTAIN BENEFICIAL OWNERS AND MANAGEMENT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65eb3cb1274478a4a68bf310fcdce8_28">
              <w:r>
                <w:rPr>
                  <w:rStyle w:val="InternetLink"/>
                  <w:rFonts w:ascii="Arial;sans-serif" w:hAnsi="Arial;sans-serif"/>
                  <w:b w:val="false"/>
                  <w:color w:val="0E32E1"/>
                  <w:sz w:val="20"/>
                  <w:u w:val="single"/>
                </w:rPr>
                <w:t>27</w:t>
              </w:r>
            </w:hyperlink>
          </w:p>
        </w:tc>
      </w:tr>
      <w:tr>
        <w:trPr/>
        <w:tc>
          <w:tcPr>
            <w:tcW w:w="737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cf65eb3cb1274478a4a68bf310fcdce8_31">
              <w:r>
                <w:rPr>
                  <w:rStyle w:val="InternetLink"/>
                  <w:rFonts w:ascii="Arial;sans-serif" w:hAnsi="Arial;sans-serif"/>
                  <w:b w:val="false"/>
                  <w:color w:val="0E32E1"/>
                  <w:sz w:val="20"/>
                  <w:u w:val="single"/>
                </w:rPr>
                <w:t>DELINQUENT SECTION 16(A) REPORTS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65eb3cb1274478a4a68bf310fcdce8_31">
              <w:r>
                <w:rPr>
                  <w:rStyle w:val="InternetLink"/>
                  <w:rFonts w:ascii="Arial;sans-serif" w:hAnsi="Arial;sans-serif"/>
                  <w:b w:val="false"/>
                  <w:color w:val="0E32E1"/>
                  <w:sz w:val="20"/>
                  <w:u w:val="single"/>
                </w:rPr>
                <w:t>32</w:t>
              </w:r>
            </w:hyperlink>
          </w:p>
        </w:tc>
      </w:tr>
      <w:tr>
        <w:trPr/>
        <w:tc>
          <w:tcPr>
            <w:tcW w:w="737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cf65eb3cb1274478a4a68bf310fcdce8_34">
              <w:r>
                <w:rPr>
                  <w:rStyle w:val="InternetLink"/>
                  <w:rFonts w:ascii="Arial;sans-serif" w:hAnsi="Arial;sans-serif"/>
                  <w:b w:val="false"/>
                  <w:color w:val="0E32E1"/>
                  <w:sz w:val="20"/>
                  <w:u w:val="single"/>
                </w:rPr>
                <w:t>CERTAIN RELATIONSHIPS AND RELATED PERSON TRANSACTIONS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65eb3cb1274478a4a68bf310fcdce8_34">
              <w:r>
                <w:rPr>
                  <w:rStyle w:val="InternetLink"/>
                  <w:rFonts w:ascii="Arial;sans-serif" w:hAnsi="Arial;sans-serif"/>
                  <w:b w:val="false"/>
                  <w:color w:val="0E32E1"/>
                  <w:sz w:val="20"/>
                  <w:u w:val="single"/>
                </w:rPr>
                <w:t>33</w:t>
              </w:r>
            </w:hyperlink>
          </w:p>
        </w:tc>
      </w:tr>
      <w:tr>
        <w:trPr/>
        <w:tc>
          <w:tcPr>
            <w:tcW w:w="737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cf65eb3cb1274478a4a68bf310fcdce8_37">
              <w:r>
                <w:rPr>
                  <w:rStyle w:val="InternetLink"/>
                  <w:rFonts w:ascii="Arial;sans-serif" w:hAnsi="Arial;sans-serif"/>
                  <w:b w:val="false"/>
                  <w:color w:val="0E32E1"/>
                  <w:sz w:val="20"/>
                  <w:u w:val="single"/>
                </w:rPr>
                <w:t>PROPOSAL 2: RATIFICATION OF INDEPENDENT AUDITOR APPOINTMENT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65eb3cb1274478a4a68bf310fcdce8_37">
              <w:r>
                <w:rPr>
                  <w:rStyle w:val="InternetLink"/>
                  <w:rFonts w:ascii="Arial;sans-serif" w:hAnsi="Arial;sans-serif"/>
                  <w:b w:val="false"/>
                  <w:color w:val="0E32E1"/>
                  <w:sz w:val="20"/>
                  <w:u w:val="single"/>
                </w:rPr>
                <w:t>42</w:t>
              </w:r>
            </w:hyperlink>
          </w:p>
        </w:tc>
      </w:tr>
      <w:tr>
        <w:trPr/>
        <w:tc>
          <w:tcPr>
            <w:tcW w:w="737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cf65eb3cb1274478a4a68bf310fcdce8_40">
              <w:r>
                <w:rPr>
                  <w:rStyle w:val="InternetLink"/>
                  <w:rFonts w:ascii="Arial;sans-serif" w:hAnsi="Arial;sans-serif"/>
                  <w:b w:val="false"/>
                  <w:color w:val="0E32E1"/>
                  <w:sz w:val="20"/>
                  <w:u w:val="single"/>
                </w:rPr>
                <w:t>AUDIT COMMITTEE REPORT</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65eb3cb1274478a4a68bf310fcdce8_40">
              <w:r>
                <w:rPr>
                  <w:rStyle w:val="InternetLink"/>
                  <w:rFonts w:ascii="Arial;sans-serif" w:hAnsi="Arial;sans-serif"/>
                  <w:b w:val="false"/>
                  <w:color w:val="0E32E1"/>
                  <w:sz w:val="20"/>
                  <w:u w:val="single"/>
                </w:rPr>
                <w:t>43</w:t>
              </w:r>
            </w:hyperlink>
          </w:p>
        </w:tc>
      </w:tr>
      <w:tr>
        <w:trPr/>
        <w:tc>
          <w:tcPr>
            <w:tcW w:w="737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cf65eb3cb1274478a4a68bf310fcdce8_43">
              <w:r>
                <w:rPr>
                  <w:rStyle w:val="InternetLink"/>
                  <w:rFonts w:ascii="Arial;sans-serif" w:hAnsi="Arial;sans-serif"/>
                  <w:b w:val="false"/>
                  <w:color w:val="0E32E1"/>
                  <w:sz w:val="20"/>
                  <w:u w:val="single"/>
                </w:rPr>
                <w:t>ADDITIONAL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cf65eb3cb1274478a4a68bf310fcdce8_43">
              <w:r>
                <w:rPr>
                  <w:rStyle w:val="InternetLink"/>
                  <w:rFonts w:ascii="Arial;sans-serif" w:hAnsi="Arial;sans-serif"/>
                  <w:b w:val="false"/>
                  <w:color w:val="0E32E1"/>
                  <w:sz w:val="20"/>
                  <w:u w:val="single"/>
                </w:rPr>
                <w:t>44</w:t>
              </w:r>
            </w:hyperlink>
          </w:p>
        </w:tc>
      </w:tr>
    </w:tbl>
    <w:p>
      <w:pPr>
        <w:pStyle w:val="TextBody"/>
        <w:spacing w:before="0" w:after="0"/>
        <w:jc w:val="both"/>
        <w:rPr/>
      </w:pPr>
      <w:r>
        <w:rPr/>
      </w:r>
    </w:p>
    <w:p>
      <w:pPr>
        <w:pStyle w:val="TextBody"/>
        <w:spacing w:lineRule="auto" w:line="240" w:before="2" w:after="283"/>
        <w:jc w:val="both"/>
        <w:rPr>
          <w:rFonts w:ascii="Arial;sans-serif" w:hAnsi="Arial;sans-serif"/>
          <w:b/>
          <w:i/>
          <w:color w:val="000000"/>
          <w:sz w:val="20"/>
        </w:rPr>
      </w:pPr>
      <w:r>
        <w:rPr>
          <w:rFonts w:ascii="Arial;sans-serif" w:hAnsi="Arial;sans-serif"/>
          <w:b/>
          <w:i/>
          <w:color w:val="000000"/>
          <w:sz w:val="20"/>
        </w:rPr>
        <w:t>Although we refer to our website in this proxy statement, the contents of our website are not included or incorporated by reference into this proxy statement. All references to our website in this proxy statement are intended to be inactive textual references only.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before="200" w:after="283"/>
        <w:jc w:val="center"/>
        <w:rPr/>
      </w:pPr>
      <w:r>
        <w:rPr/>
        <w:drawing>
          <wp:inline distT="0" distB="63500" distL="0" distR="0">
            <wp:extent cx="1905000" cy="7239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905000" cy="723900"/>
                    </a:xfrm>
                    <a:prstGeom prst="rect">
                      <a:avLst/>
                    </a:prstGeom>
                  </pic:spPr>
                </pic:pic>
              </a:graphicData>
            </a:graphic>
          </wp:inline>
        </w:drawing>
      </w:r>
    </w:p>
    <w:p>
      <w:pPr>
        <w:pStyle w:val="TextBody"/>
        <w:spacing w:lineRule="auto" w:line="288" w:before="240" w:after="200"/>
        <w:jc w:val="center"/>
        <w:rPr>
          <w:rFonts w:ascii="Arial;sans-serif" w:hAnsi="Arial;sans-serif"/>
          <w:b/>
          <w:color w:val="000000"/>
          <w:sz w:val="20"/>
        </w:rPr>
      </w:pPr>
      <w:r>
        <w:rPr>
          <w:rFonts w:ascii="Arial;sans-serif" w:hAnsi="Arial;sans-serif"/>
          <w:b/>
          <w:color w:val="000000"/>
          <w:sz w:val="20"/>
        </w:rPr>
        <w:t>PROXY STATEMENT</w:t>
      </w:r>
    </w:p>
    <w:p>
      <w:pPr>
        <w:pStyle w:val="TextBody"/>
        <w:spacing w:lineRule="auto" w:line="240" w:before="200" w:after="200"/>
        <w:jc w:val="center"/>
        <w:rPr>
          <w:rFonts w:ascii="Arial;sans-serif" w:hAnsi="Arial;sans-serif"/>
          <w:b/>
          <w:color w:val="000000"/>
          <w:sz w:val="20"/>
        </w:rPr>
      </w:pPr>
      <w:r>
        <w:rPr>
          <w:rFonts w:ascii="Arial;sans-serif" w:hAnsi="Arial;sans-serif"/>
          <w:b/>
          <w:color w:val="000000"/>
          <w:sz w:val="20"/>
        </w:rPr>
        <w:t>2023 ANNUAL MEETING OF STOCKHOLDERS</w:t>
        <w:br/>
        <w:t>TO BE HELD ON MAY 24, 2023</w:t>
      </w:r>
    </w:p>
    <w:p>
      <w:pPr>
        <w:pStyle w:val="TextBody"/>
        <w:spacing w:lineRule="auto" w:line="240" w:before="240" w:after="240"/>
        <w:jc w:val="center"/>
        <w:rPr>
          <w:rFonts w:ascii="Arial;sans-serif" w:hAnsi="Arial;sans-serif"/>
          <w:b/>
          <w:color w:val="000000"/>
          <w:sz w:val="20"/>
        </w:rPr>
      </w:pPr>
      <w:r>
        <w:rPr>
          <w:rFonts w:ascii="Arial;sans-serif" w:hAnsi="Arial;sans-serif"/>
          <w:b/>
          <w:color w:val="000000"/>
          <w:sz w:val="20"/>
        </w:rPr>
        <w:t>GENERAL INFORMATION</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Perella Weinberg Partners is providing this proxy statement to you in connection with the solicitation of proxies by the board of directors for our 2023 Annual Meeting of Stockholders to be held on Wednesday, May 24, 2023, at 10:00 a.m. (Eastern Time) at http://www.virtualshareholdermeeting.com/PWP2023, and any adjournment or postponement of that meeting (the “Annual Meeting”). As a stockholder, you are invited to attend the Annual Meeting and are entitled and encouraged to vote on the proposals described in this proxy statement. On or about April 14, 2023, we mailed our stockholders a Notice of Internet Availability of Proxy Materials containing instructions on how to access our proxy statement and our 2022 Annual Report on Form 10-K.</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are a leading global independent advisory firm that provides strategic and financial advice to clients across a range of the most active industry sectors and international markets.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PWP is a holding company and our only material assets are our partnership interests in PWP Holdings LP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this proxy statement, unless the context requires otherwise, any of the “Company,” “PWP,” “we,” “us” and “our” refers to Perella Weinberg Partners and its subsidiaries, and for periods prior to the reorganization in connection with our business combination (the “Business Combination”) refers to the advisory business of our predecessor company, PWP OpCo. In connection with the closing of our Business Combination, we acquired interests in PWP OpCo, which is jointly-owned by PWP, PWP Professional Partners LP (“Professional Partners”) and certain existing partners of PWP OpCo. PWP OpCo serves as the Company’s operating partnership.</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Perella Weinberg Partners was formed in June 2006 and became a publicly-traded company in June 2021. Our Class A common stock trades on the Nasdaq Global Select Market (“Nasdaq”) under the symbol “PWP.”</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Below are answers to common questions stockholders may have about the Annual Meeting.</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310"/>
                <wp:effectExtent l="0" t="0" r="0" b="0"/>
                <wp:wrapNone/>
                <wp:docPr id="8" name="Frame5"/>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Why did I receive a Notice of Internet Availability of Proxy Materials instead of a full set of proxy materials?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Under rules adopted by the U.S. Securities and Exchange Commission (“SEC”), we are furnishing proxy materials to our stockholders online at www.proxyvote.com, rather than mailing printed copies of our proxy materials. We believe that this process expedites stockholders’ receipt of these materials, lowers the costs of our Annual Meeting and helps to conserve natural resources. If you received a Notice of Internet Availability of Proxy Materials by mail, you will not receive printed copies of the proxy materials unless you request them. Instead, the notice will contain instructions on how to access and review the proxy materials online, including this proxy statement and our annual report on Form 10-K for the fiscal year ended December 31, 2022, as well as the proxy card to vote online. If you would like printed copies of the proxy materials, please follow the instructions on the notice.</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Who is entitled to vote at the Annual Meeting?</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Only stockholders of record of PWP Class A common stock and Class B common stock as of the close of business on March 30, 2023 (the “Record Date”) are entitled to receive notice and to vote their shares at the Annual Meeting. As of the close of business on the Record Date, there were 42,423,520 shares of Class A common stock, 41,813,971 shares of Class B-1 common stock and 1,964,044 shares of Class B-2 common stock outstanding. Holders of our Class A common stock are entitled to one vote for each share, and holders of our Class B common stock are entitled to ten votes for each share. Holders of our Class A common stock and Class B common stock will vote as a single class on all matters at the Annual Meeting.</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You may vote all of the shares owned by you as of the close of business on the Record Date. These shares include shares that are (i) held of record directly in your name (in which case, you are a “record holder” with respect to such shares) and (ii) held for you as the beneficial owner through a broker, bank or other nominee. There are some distinctions between being a record holder and a beneficial owner, as described below.</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What is the difference between a stockholder of record and a beneficial owner?</w:t>
      </w:r>
    </w:p>
    <w:p>
      <w:pPr>
        <w:pStyle w:val="TextBody"/>
        <w:spacing w:lineRule="auto" w:line="288" w:before="200" w:after="200"/>
        <w:ind w:left="0" w:right="0" w:firstLine="360"/>
        <w:jc w:val="both"/>
        <w:rPr/>
      </w:pPr>
      <w:r>
        <w:rPr>
          <w:rFonts w:ascii="Arial;sans-serif" w:hAnsi="Arial;sans-serif"/>
          <w:b w:val="false"/>
          <w:i/>
          <w:color w:val="000000"/>
          <w:sz w:val="20"/>
        </w:rPr>
        <w:t>Stockholder of Record.</w:t>
      </w:r>
      <w:r>
        <w:rPr>
          <w:color w:val="000000"/>
        </w:rPr>
        <w:t xml:space="preserve"> </w:t>
      </w:r>
      <w:r>
        <w:rPr>
          <w:rFonts w:ascii="Arial;sans-serif" w:hAnsi="Arial;sans-serif"/>
          <w:b w:val="false"/>
          <w:color w:val="000000"/>
          <w:sz w:val="20"/>
        </w:rPr>
        <w:t>If your shares are registered directly in your name with our transfer agent, American Stock Transfer &amp; Trust Company, LLC, you are a stockholder of record.</w:t>
      </w:r>
    </w:p>
    <w:p>
      <w:pPr>
        <w:pStyle w:val="TextBody"/>
        <w:spacing w:lineRule="auto" w:line="288" w:before="240" w:after="283"/>
        <w:ind w:left="0" w:right="0" w:firstLine="360"/>
        <w:jc w:val="both"/>
        <w:rPr/>
      </w:pPr>
      <w:r>
        <w:rPr>
          <w:rFonts w:ascii="Arial;sans-serif" w:hAnsi="Arial;sans-serif"/>
          <w:b w:val="false"/>
          <w:i/>
          <w:color w:val="000000"/>
          <w:sz w:val="20"/>
        </w:rPr>
        <w:t xml:space="preserve">Beneficial Owner. </w:t>
      </w:r>
      <w:r>
        <w:rPr>
          <w:rFonts w:ascii="Arial;sans-serif" w:hAnsi="Arial;sans-serif"/>
          <w:b w:val="false"/>
          <w:color w:val="000000"/>
          <w:sz w:val="20"/>
        </w:rPr>
        <w:t>If your shares are held in a stock brokerage account or by a bank or other nominee, then you are a beneficial owner of shares held in “street name,” and the proxy materials were forwarded to you by your broker or other nominee who is considered, with respect to those shares, the stockholder of record. As a beneficial owner, you have the right to direct your broker or other nominee on how to vote the shares you hold in your account.</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What items will be voted on at the Annual Meeting?</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There are two proposals to be voted on at the Annual Meeting:</w:t>
      </w:r>
    </w:p>
    <w:p>
      <w:pPr>
        <w:pStyle w:val="TextBody"/>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1.the election of four directors to our board of directors; and</w:t>
      </w:r>
    </w:p>
    <w:p>
      <w:pPr>
        <w:pStyle w:val="TextBody"/>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2.the ratification of the appointment of Ernst &amp; Young LLP as our independent registered public accounting firm for the fiscal year ending December 31, 2023.</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amended and restated bylaws (the “bylaws”) require that we receive advance notice of any proposals to be brought before the Annual Meeting by our stockholders. We have not received any such proposals. We do not anticipate any other matters will come before the Annual Meeting. If any other matter properly comes before the Annual Meeting, the proxy holders appointed by our board of directors will have discretion to vote on those matters.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310"/>
                <wp:effectExtent l="0" t="0" r="0" b="0"/>
                <wp:wrapNone/>
                <wp:docPr id="9" name="Frame6"/>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The board of directors recommends:</w:t>
      </w:r>
    </w:p>
    <w:p>
      <w:pPr>
        <w:pStyle w:val="TextBody"/>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1.that you vote “FOR” each of the nominees in Proposal 1; and</w:t>
      </w:r>
    </w:p>
    <w:p>
      <w:pPr>
        <w:pStyle w:val="TextBody"/>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2.that you vote “FOR” the ratification of the appointment of Ernst &amp; Young LLP as our independent registered public accounting firm for 2023 in Proposal 2.</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What do I need to do if I want to attend the meeting?</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You may attend the Annual Meeting, as well as vote during the Annual Meeting, by visiting http://www.virtualshareholdermeeting.com/PWP2023. You will need your 16-digit control number, which appears in the notice, the proxy card or voting instructions that accompanied the proxy materials. In the event that you do not have a control number, please contact your broker, bank or other nominee as soon as possible so that you can be provided with a control number and gain access to the meeting.</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What constitutes a quorum at the Annual Meeting?</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presence, in person or represented by proxy, of holders of a majority in voting power of the Company’s capital stock entitled to vote constitutes a quorum. A quorum is required in order to hold and conduct business at the Annual Meeting. </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If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even if you have not instructed your broker, bank, trust or other nominee on how to vote on those matters. </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How do I vote?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If you hold your shares through a brokerage firm, bank, broker-dealer or other similar organization, please follow their instructions. If you are a stockholder of record, you can vote through the following methods:</w:t>
      </w:r>
    </w:p>
    <w:p>
      <w:pPr>
        <w:pStyle w:val="TextBody"/>
        <w:spacing w:lineRule="auto" w:line="288" w:before="240" w:after="283"/>
        <w:ind w:left="0" w:right="0" w:hanging="360"/>
        <w:jc w:val="both"/>
        <w:rPr/>
      </w:pPr>
      <w:r>
        <w:rPr>
          <w:color w:val="000000"/>
        </w:rPr>
        <w:t>•</w:t>
      </w:r>
      <w:r>
        <w:rPr>
          <w:rFonts w:ascii="Arial;sans-serif" w:hAnsi="Arial;sans-serif"/>
          <w:b w:val="false"/>
          <w:i/>
          <w:color w:val="000000"/>
          <w:sz w:val="20"/>
        </w:rPr>
        <w:t xml:space="preserve">Via the Internet. </w:t>
      </w:r>
      <w:r>
        <w:rPr>
          <w:rFonts w:ascii="Arial;sans-serif" w:hAnsi="Arial;sans-serif"/>
          <w:b w:val="false"/>
          <w:color w:val="000000"/>
          <w:sz w:val="20"/>
        </w:rPr>
        <w:t>You may vote via the Internet by visiting http://www.proxyvote.com and entering the 16-digit control number for your shares located on the Notice of Internet Availability of Proxy Materials or proxy card.</w:t>
      </w:r>
    </w:p>
    <w:p>
      <w:pPr>
        <w:pStyle w:val="TextBody"/>
        <w:spacing w:lineRule="auto" w:line="288" w:before="240" w:after="283"/>
        <w:ind w:left="0" w:right="0" w:hanging="360"/>
        <w:jc w:val="both"/>
        <w:rPr/>
      </w:pPr>
      <w:r>
        <w:rPr>
          <w:color w:val="000000"/>
        </w:rPr>
        <w:t>•</w:t>
      </w:r>
      <w:r>
        <w:rPr>
          <w:rFonts w:ascii="Arial;sans-serif" w:hAnsi="Arial;sans-serif"/>
          <w:b w:val="false"/>
          <w:i/>
          <w:color w:val="000000"/>
          <w:sz w:val="20"/>
        </w:rPr>
        <w:t xml:space="preserve">By telephone. </w:t>
      </w:r>
      <w:r>
        <w:rPr>
          <w:rFonts w:ascii="Arial;sans-serif" w:hAnsi="Arial;sans-serif"/>
          <w:b w:val="false"/>
          <w:color w:val="000000"/>
          <w:sz w:val="20"/>
        </w:rPr>
        <w:t>You may vote by telephone by calling the telephone number and following the instructions provided on your proxy card.</w:t>
      </w:r>
    </w:p>
    <w:p>
      <w:pPr>
        <w:pStyle w:val="TextBody"/>
        <w:spacing w:lineRule="auto" w:line="288" w:before="240" w:after="283"/>
        <w:ind w:left="0" w:right="0" w:hanging="360"/>
        <w:jc w:val="both"/>
        <w:rPr/>
      </w:pPr>
      <w:r>
        <w:rPr>
          <w:color w:val="000000"/>
        </w:rPr>
        <w:t>•</w:t>
      </w:r>
      <w:r>
        <w:rPr>
          <w:rFonts w:ascii="Arial;sans-serif" w:hAnsi="Arial;sans-serif"/>
          <w:b w:val="false"/>
          <w:i/>
          <w:color w:val="000000"/>
          <w:sz w:val="20"/>
        </w:rPr>
        <w:t>By mail.</w:t>
      </w:r>
      <w:r>
        <w:rPr>
          <w:color w:val="000000"/>
        </w:rPr>
        <w:t xml:space="preserve"> </w:t>
      </w:r>
      <w:r>
        <w:rPr>
          <w:rFonts w:ascii="Arial;sans-serif" w:hAnsi="Arial;sans-serif"/>
          <w:b w:val="false"/>
          <w:color w:val="000000"/>
          <w:sz w:val="20"/>
        </w:rPr>
        <w:t>If you requested that proxy materials be mailed to you, you will receive a proxy card with your proxy materials. You may vote by filling out and signing the proxy card and returning it in the envelope provided. The proxy card must be received by the close of business on the day before the Annual Meeting.</w:t>
      </w:r>
    </w:p>
    <w:p>
      <w:pPr>
        <w:pStyle w:val="TextBody"/>
        <w:spacing w:lineRule="auto" w:line="288" w:before="240" w:after="283"/>
        <w:ind w:left="0" w:right="0" w:hanging="360"/>
        <w:jc w:val="both"/>
        <w:rPr/>
      </w:pPr>
      <w:r>
        <w:rPr>
          <w:color w:val="000000"/>
        </w:rPr>
        <w:t>•</w:t>
      </w:r>
      <w:r>
        <w:rPr>
          <w:rFonts w:ascii="Arial;sans-serif" w:hAnsi="Arial;sans-serif"/>
          <w:b w:val="false"/>
          <w:i/>
          <w:color w:val="000000"/>
          <w:sz w:val="20"/>
        </w:rPr>
        <w:t>During the meeting.</w:t>
      </w:r>
      <w:r>
        <w:rPr>
          <w:color w:val="000000"/>
        </w:rPr>
        <w:t xml:space="preserve"> </w:t>
      </w:r>
      <w:r>
        <w:rPr>
          <w:rFonts w:ascii="Arial;sans-serif" w:hAnsi="Arial;sans-serif"/>
          <w:b w:val="false"/>
          <w:color w:val="000000"/>
          <w:sz w:val="20"/>
        </w:rPr>
        <w:t>You can vote at the Annual Meeting online at http://www.virtualshareholdermeeting.com/PWP2023 by using the 16-digit control number included on your notice, on your proxy card, or in the voting instructions that accompanied your proxy materials.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310"/>
                <wp:effectExtent l="0" t="0" r="0" b="0"/>
                <wp:wrapNone/>
                <wp:docPr id="10" name="Frame7"/>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What vote is required for each proposal?</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For the election of directors, each director must be elected by a plurality of the votes cast. This means that the four nominees receiving the largest number of “for” votes will be elected as directors. We do not have cumulative voting.</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ratification of the Company’s independent registered public accounting firm and any other proposal that may come before the Annual Meeting will be determined by the vote of the holders of a majority of the voting power of the shares represented at the Annual Meeting and entitled to vote on such question, voting as a single class.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As of the Record Date, Professional Partners owned all of our outstanding Class B-1 common stock. Professional Partners is controlled by Perella Weinberg Partners LLC ("Professionals GP"). As the result of our stockholders agreement (the “Stockholders Agreement”) with Professional Partners, Professional Partners or its limited partners as of the date of the closing of our Business Combination or its or their respective successors or assigns maintain, directly or indirectly, ownership of PWP OpCo Class A partnership units that represent at least 10% of our issued and outstanding Class A common stock (calculated, without duplication, on the basis that all issued and outstanding PWP OpCo Class A partnership units not held by us or our subsidiaries had been exchanged for our Class A common stock) (the “Class B Condition”). For so long as the Class B Condition is satisfied, Professional Partners has approval rights over significant corporate actions by us. Our board of directors will nominate individuals designated by Professional Partners equal to a majority of the board of directors, for so long as the Class B Condition is satisfied.</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After the Class B Condition ceases to be satisfied, for so long as Professional Partners or its limited partners as of the date of closing or its or their respective successors or assigns maintain, directly or indirectly, ownership of PWP OpCo Class A partnership units that represent at least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is satisfied, Professional Partners will have certain approval rights (including, among others, certain amendments to our second amended and restated certificate of incorporation ("Certificate of Incorporation") and the Amended and Restated Agreement of Limited Partnership of PWP OpCo, as amended, restated, modified or supplemented from time to time (the “LP Agreement”)) and our board of directors will nominate individuals designated by Professional Partners equal to one third of the board of directors. See “Certain Relationships and Related Person Transactions—PWP Related Party Transactions—Right of Professional Partners and Stockholders Agreement.”</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How are abstentions and broker non-votes counted?</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Abstentions and broker non-votes are counted for the purpose of establishing the presence of a quorum. If you hold your shares in street name and you do not vote, the broker or other organization holding your shares can vote on certain “routine” proposals but cannot vote on other proposals. Proposal 1 is not considered a “routine” proposal. If you hold shares in street name and do not vote on Proposal 1, your uninstructed shares will be counted as “broker non-votes.” Withheld votes and broker non-votes will have no effect on the outcome of Proposal 1. Proposal 2 is a “routine” proposal, and therefore brokers have discretion to vote uninstructed shares on Proposal 2. For Proposal 2, if you elect to abstain, the abstention will have the same effect as an "against" vote. </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What if I do not specify how I want my shares voted?</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If you are the record holder of your shares and submit your proxy without specifying how your shares are to be voted, your shares will be voted as follows:</w:t>
      </w:r>
    </w:p>
    <w:p>
      <w:pPr>
        <w:pStyle w:val="TextBody"/>
        <w:spacing w:lineRule="auto" w:line="288" w:before="200" w:after="200"/>
        <w:ind w:left="0" w:right="0" w:hanging="360"/>
        <w:jc w:val="both"/>
        <w:rPr/>
      </w:pPr>
      <w:r>
        <w:rPr>
          <w:color w:val="000000"/>
        </w:rPr>
        <w:t>•</w:t>
      </w:r>
      <w:r>
        <w:rPr>
          <w:rFonts w:ascii="Arial;sans-serif" w:hAnsi="Arial;sans-serif"/>
          <w:b w:val="false"/>
          <w:color w:val="000000"/>
          <w:sz w:val="20"/>
        </w:rPr>
        <w:t>FOR the election of each of the four nominees for directors; and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310"/>
                <wp:effectExtent l="0" t="0" r="0" b="0"/>
                <wp:wrapNone/>
                <wp:docPr id="11" name="Frame8"/>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88" w:before="200" w:after="200"/>
        <w:ind w:left="0" w:right="0" w:hanging="360"/>
        <w:jc w:val="both"/>
        <w:rPr/>
      </w:pPr>
      <w:r>
        <w:rPr>
          <w:color w:val="000000"/>
        </w:rPr>
        <w:t>•</w:t>
      </w:r>
      <w:r>
        <w:rPr>
          <w:rFonts w:ascii="Arial;sans-serif" w:hAnsi="Arial;sans-serif"/>
          <w:b w:val="false"/>
          <w:color w:val="000000"/>
          <w:sz w:val="20"/>
        </w:rPr>
        <w:t>FOR the ratification of the appointment of Ernst &amp; Young LLP as our independent registered public accounting firm for the fiscal year ending December 31, 2023.</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addition, the proxy holders named in the proxy are authorized to vote in their discretion on any other matters that may properly come before the Annual Meeting and at any postponement or adjournment thereof. The board of directors is not aware of any other items of business that will be presented for consideration at the Annual Meeting other than those described in this proxy statement.</w:t>
      </w:r>
    </w:p>
    <w:p>
      <w:pPr>
        <w:pStyle w:val="TextBody"/>
        <w:spacing w:lineRule="auto" w:line="288" w:before="200" w:after="200"/>
        <w:rPr>
          <w:rFonts w:ascii="Arial;sans-serif" w:hAnsi="Arial;sans-serif"/>
          <w:b/>
          <w:i/>
          <w:color w:val="000000"/>
          <w:sz w:val="20"/>
        </w:rPr>
      </w:pPr>
      <w:r>
        <w:rPr>
          <w:rFonts w:ascii="Arial;sans-serif" w:hAnsi="Arial;sans-serif"/>
          <w:b/>
          <w:i/>
          <w:color w:val="000000"/>
          <w:sz w:val="20"/>
        </w:rPr>
        <w:t>Can I change my vote after submitting a proxy?</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Stockholders of record may revoke their proxy before the Annual Meeting by (i) delivering to the Company’s Corporate Secretary a written notice stating that a proxy is revoked, (ii) signing and delivering a proxy bearing a later date, (iii) voting again via the Internet or by telephone or (iv) attending and voting in person at the virtual Annual Meeting.</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Street name stockholders who wish to change their votes should contact the organization that holds their shares.</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Who is paying for this proxy solicitation?</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 is paying the costs of the solicitation of proxies.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Where can I find voting results?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will file a Current Report on Form 8-K with the SEC announcing the final voting results from the Annual Meeting within four business days of the Annual Meeting.</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I share an address with another stockholder. Why did we receive only one set of proxy materials?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Some banks, brokers and nominees may be participating in the practice of “householding” proxy materials. This means that only one copy of our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bank, broker, or other nominee who holds your shares.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If you would like to receive separate copies of our proxy materials in the future, or if you are receiving multiple copies and would like to receive only one copy per household, you should contact your bank, broker or other holder of record, or you may contact Investor Relations at investors@pwpartners.com or 767 Fifth Avenue, New York, NY 10153.</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Is a list of stockholders available?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names of stockholders of record entitled to vote at the Annual Meeting will be available to stockholders at least 10 days prior to our Annual Meeting at our principal executive offices located at 767 Fifth Avenue, New York, NY 10153 during normal business hours, and at the Annual Meeting. The list will also be available to stockholders at www.virtualshareholdermeeting.com/PWP2023 during the Annual Meeting.</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310"/>
                <wp:effectExtent l="0" t="0" r="0" b="0"/>
                <wp:wrapNone/>
                <wp:docPr id="12" name="Frame9"/>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Who should I contact if I have additional questions?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You can contact our Investor Relations department at investors@pwpartners.com or at our principal executive offices at 767 Fifth Avenue, New York, NY 10153. Stockholders who hold their shares in street name should contact the organization that holds their shares for additional information on how to vote.</w:t>
      </w:r>
    </w:p>
    <w:p>
      <w:pPr>
        <w:pStyle w:val="TextBody"/>
        <w:spacing w:before="0" w:after="0"/>
        <w:rPr/>
      </w:pPr>
      <w:r>
        <w:rPr/>
      </w:r>
    </w:p>
    <w:p>
      <w:pPr>
        <w:pStyle w:val="TextBody"/>
        <w:spacing w:before="2" w:after="2"/>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310"/>
                <wp:effectExtent l="0" t="0" r="0" b="0"/>
                <wp:wrapNone/>
                <wp:docPr id="13" name="Frame10"/>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288" w:before="240" w:after="2"/>
        <w:jc w:val="center"/>
        <w:rPr>
          <w:rFonts w:ascii="Arial;sans-serif" w:hAnsi="Arial;sans-serif"/>
          <w:b/>
          <w:color w:val="000000"/>
          <w:sz w:val="20"/>
        </w:rPr>
      </w:pPr>
      <w:r>
        <w:rPr>
          <w:rFonts w:ascii="Arial;sans-serif" w:hAnsi="Arial;sans-serif"/>
          <w:b/>
          <w:color w:val="000000"/>
          <w:sz w:val="20"/>
        </w:rPr>
        <w:t>PROPOSAL 1: ELECTION OF DIRECTORS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board of directors is currently composed of nine directors, and are divided into three classes, designated Class I, Class II and Class III. At the Annual Meeting, stockholders will vote to elect as directors of the Company the four Class II directors. Each of the Class II directors elected at the Annual Meeting will hold office until the 2026 Annual Meeting of Stockholders, and until his or her respective successor has been duly elected and qualified.</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board of directors has nominated Andrew Bednar, Robert K. Steel, Jorma Ollila and Kristin W. Mugford for re-election as Class II directors at the Annual Meeting. The persons named as proxy holders will vote to elect each of these nominees unless a stockholder indicates that his or her shares should be withheld with respect to one or more of such nominees.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our Business Combination, we entered into a Stockholders Agreement with Professional Partners, pursuant to which, for so long as the Class B Condition is satisfied, Professional Partners has approval rights over significant corporate actions by us. Our board of directors will nominate individuals designated by Professional Partners equal to a majority of the board of directors, for so long as the Class B Condition is satisfied.</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After the Class B Condition ceases to be satisfied, for so long as the Secondary Class B Condition is satisfied, Professional Partners will have certain approval rights (including, among others, certain amendments to our Certificate of Incorporation and the LP Agreement) and our board of directors will nominate individuals designated by Professional Partners equal to one third of the board of directors. </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Should any of the nominees become unable to serve for any reason prior to the Annual Meeting, subject to the terms of the Stockholders’ Agreement, the board of directors may designate a substitute nominee, in which event the proxy holders will vote for the election of such substitute nominee, or may reduce the number of directors on the board of directors. See “Certain Relationships and Transactions—PWP Related Party Transactions—Right of Professional Partners and Stockholders Agreement” for additional information regarding the Stockholders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determining that each director should be nominated for re-election, our board considered his or her service, business experience, prior directorships, qualifications, attributes and skills described in the biography set forth below under “Corporate Governance—Directors and Director Nominees.”</w:t>
      </w:r>
    </w:p>
    <w:p>
      <w:pPr>
        <w:pStyle w:val="TextBody"/>
        <w:spacing w:lineRule="auto" w:line="288" w:before="200" w:after="200"/>
        <w:rPr>
          <w:rFonts w:ascii="Arial;sans-serif" w:hAnsi="Arial;sans-serif"/>
          <w:b/>
          <w:color w:val="000000"/>
          <w:sz w:val="20"/>
        </w:rPr>
      </w:pPr>
      <w:r>
        <w:rPr>
          <w:rFonts w:ascii="Arial;sans-serif" w:hAnsi="Arial;sans-serif"/>
          <w:b/>
          <w:color w:val="000000"/>
          <w:sz w:val="20"/>
        </w:rPr>
        <w:t>The board of directors recommends that you vote “FOR” each of the director nominees in this Proposal 1.</w:t>
      </w:r>
    </w:p>
    <w:p>
      <w:pPr>
        <w:pStyle w:val="TextBody"/>
        <w:spacing w:before="0" w:after="0"/>
        <w:rPr/>
      </w:pPr>
      <w:r>
        <w:rPr/>
      </w:r>
    </w:p>
    <w:p>
      <w:pPr>
        <w:pStyle w:val="TextBody"/>
        <w:spacing w:before="2" w:after="2"/>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310"/>
                <wp:effectExtent l="0" t="0" r="0" b="0"/>
                <wp:wrapNone/>
                <wp:docPr id="14" name="Frame11"/>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88" w:before="240" w:after="2"/>
        <w:jc w:val="center"/>
        <w:rPr>
          <w:rFonts w:ascii="Arial;sans-serif" w:hAnsi="Arial;sans-serif"/>
          <w:b/>
          <w:color w:val="000000"/>
          <w:sz w:val="20"/>
        </w:rPr>
      </w:pPr>
      <w:r>
        <w:rPr>
          <w:rFonts w:ascii="Arial;sans-serif" w:hAnsi="Arial;sans-serif"/>
          <w:b/>
          <w:color w:val="000000"/>
          <w:sz w:val="20"/>
        </w:rPr>
        <w:t>CORPORATE GOVERNANCE</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Directors and Director Nominees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Below is a list of our directors and their respective ages and a brief account of the business experience of each of them.</w:t>
      </w:r>
    </w:p>
    <w:tbl>
      <w:tblPr>
        <w:tblW w:w="4974" w:type="dxa"/>
        <w:jc w:val="left"/>
        <w:tblInd w:w="0" w:type="dxa"/>
        <w:tblCellMar>
          <w:top w:w="28" w:type="dxa"/>
          <w:left w:w="28" w:type="dxa"/>
          <w:bottom w:w="28" w:type="dxa"/>
          <w:right w:w="28" w:type="dxa"/>
        </w:tblCellMar>
      </w:tblPr>
      <w:tblGrid>
        <w:gridCol w:w="1076"/>
        <w:gridCol w:w="941"/>
        <w:gridCol w:w="953"/>
        <w:gridCol w:w="109"/>
        <w:gridCol w:w="109"/>
        <w:gridCol w:w="109"/>
        <w:gridCol w:w="155"/>
        <w:gridCol w:w="155"/>
        <w:gridCol w:w="156"/>
        <w:gridCol w:w="109"/>
        <w:gridCol w:w="109"/>
        <w:gridCol w:w="109"/>
        <w:gridCol w:w="258"/>
        <w:gridCol w:w="258"/>
        <w:gridCol w:w="368"/>
      </w:tblGrid>
      <w:tr>
        <w:trPr/>
        <w:tc>
          <w:tcPr>
            <w:tcW w:w="1076"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Class</w:t>
            </w:r>
          </w:p>
        </w:tc>
      </w:tr>
      <w:tr>
        <w:trPr/>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Peter A. Weinberg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III</w:t>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Joseph R. Perella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K. Steel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II</w:t>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Dietrich Becker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III</w:t>
            </w:r>
          </w:p>
        </w:tc>
      </w:tr>
      <w:tr>
        <w:trPr/>
        <w:tc>
          <w:tcPr>
            <w:tcW w:w="2970" w:type="dxa"/>
            <w:gridSpan w:val="3"/>
            <w:tcBorders/>
            <w:shd w:fill="CCEC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Andrew Bednar</w:t>
            </w:r>
          </w:p>
        </w:tc>
        <w:tc>
          <w:tcPr>
            <w:tcW w:w="327" w:type="dxa"/>
            <w:gridSpan w:val="3"/>
            <w:tcBorders/>
            <w:shd w:fill="CCEC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C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327" w:type="dxa"/>
            <w:gridSpan w:val="3"/>
            <w:tcBorders/>
            <w:shd w:fill="CCEC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C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II</w:t>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Jorma Ollila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II</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Jane C. Sherburne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Class III</w:t>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Elizabeth (Beth) Cogan Fascitelli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III</w:t>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Kristin W. Mugford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Class II</w:t>
            </w:r>
          </w:p>
        </w:tc>
      </w:tr>
    </w:tbl>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Class II Director Nominees for Election – Term Expiring 2026</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current term of the Class II directors will expire at the Annual Meeting. Our board of directors nominated each of Andrew Bednar, Robert K. Steel, Jorma Ollila and Kristin W. Mugford for re-election at the Annual Meeting as a Class II director to hold office until the annual meeting of stockholders to be held in 2026 and until his or her successor is duly elected and qualified, or his or her earlier death, resignation, or removal. </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Below is a biography of each of the Class II directors standing for re-election at the Annual Meeting:</w:t>
      </w:r>
    </w:p>
    <w:p>
      <w:pPr>
        <w:pStyle w:val="TextBody"/>
        <w:spacing w:lineRule="auto" w:line="288" w:before="200" w:after="200"/>
        <w:ind w:left="0" w:right="0" w:firstLine="360"/>
        <w:jc w:val="both"/>
        <w:rPr/>
      </w:pPr>
      <w:r>
        <w:rPr>
          <w:rFonts w:ascii="Arial;sans-serif" w:hAnsi="Arial;sans-serif"/>
          <w:b/>
          <w:i/>
          <w:color w:val="000000"/>
          <w:sz w:val="20"/>
        </w:rPr>
        <w:t xml:space="preserve">Andrew Bednar </w:t>
      </w:r>
      <w:r>
        <w:rPr>
          <w:rFonts w:ascii="Arial;sans-serif" w:hAnsi="Arial;sans-serif"/>
          <w:b w:val="false"/>
          <w:color w:val="000000"/>
          <w:sz w:val="20"/>
        </w:rPr>
        <w:t>is a Founding Partner of PWP, has served as our Chief Executive Officer since January 2023, and has served as a member of our board of directors since the closing of the Business Combination in June 2021. Mr. Bednar served as our Co-President from March 2020 to January 2023. Mr. Bednar has over 25 years of investment banking experience. In addition to his current role, Mr. Bednar is a partner in PWP’s Advisory business where he served as Co-Head of PWP’s Advisory business in the U.S. until 2013. Mr. Bednar also serves as the Chief Executive Officer of the general partner of PWP Capital Holdings LP (together with its subsidiaries, "PWP Capital Holdings"), which holds the former asset management business of PWP OpCo. Prior to joining PWP in 2006, Mr. Bednar was Head of U.S. Mergers &amp; Acquisitions at Bank of America and a member of the Investment Banking Executive Committee. Prior to that, he was a Managing Director at Goldman, Sachs &amp; Co. He began his career at Cravath, Swaine &amp; Moore LLP in 1994. Mr. Bednar earned a Bachelor of Science and a Master’s in Business Administration from Cornell University, and also received a Juris Doctor from Columbia University. We believe that Mr. Bednar is qualified to serve on our board of directors due to his extensive finance industry, investment banking and executive leadership experience.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310"/>
                <wp:effectExtent l="0" t="0" r="0" b="0"/>
                <wp:wrapNone/>
                <wp:docPr id="15" name="Frame12"/>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lineRule="auto" w:line="288" w:before="2" w:after="2"/>
        <w:ind w:left="0" w:right="0" w:firstLine="360"/>
        <w:jc w:val="both"/>
        <w:rPr/>
      </w:pPr>
      <w:r>
        <w:rPr>
          <w:rFonts w:ascii="Arial;sans-serif" w:hAnsi="Arial;sans-serif"/>
          <w:b/>
          <w:i/>
          <w:color w:val="000000"/>
          <w:sz w:val="20"/>
        </w:rPr>
        <w:t xml:space="preserve">Robert K. Steel </w:t>
      </w:r>
      <w:r>
        <w:rPr>
          <w:rFonts w:ascii="Arial;sans-serif" w:hAnsi="Arial;sans-serif"/>
          <w:b w:val="false"/>
          <w:color w:val="000000"/>
          <w:sz w:val="20"/>
        </w:rPr>
        <w:t>is a Partner of PWP and</w:t>
      </w:r>
      <w:r>
        <w:rPr>
          <w:color w:val="000000"/>
        </w:rPr>
        <w:t xml:space="preserve"> </w:t>
      </w:r>
      <w:r>
        <w:rPr>
          <w:rFonts w:ascii="Arial;sans-serif" w:hAnsi="Arial;sans-serif"/>
          <w:b w:val="false"/>
          <w:color w:val="000000"/>
          <w:sz w:val="20"/>
        </w:rPr>
        <w:t xml:space="preserve">has served as our Vice Chairman and a member of our board of directors since the closing of the Business Combination in June 2021. Mr. Steel served as our Chief Executive Officer from 2014 until February 2019. Mr. Steel has over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He earned a Bachelor of Arts from Duke University and a Master’s in Business Administration from the University of Chicago’s Booth School of Business. We believe that Mr. Steel is qualified to serve on our board of directors due to his extensive finance industry and financial regulatory experience. </w:t>
      </w:r>
    </w:p>
    <w:p>
      <w:pPr>
        <w:pStyle w:val="TextBody"/>
        <w:spacing w:before="2" w:after="2"/>
        <w:jc w:val="both"/>
        <w:rPr/>
      </w:pPr>
      <w:r>
        <w:rPr/>
      </w:r>
    </w:p>
    <w:p>
      <w:pPr>
        <w:pStyle w:val="TextBody"/>
        <w:spacing w:lineRule="auto" w:line="288" w:before="2" w:after="2"/>
        <w:ind w:left="0" w:right="0" w:firstLine="360"/>
        <w:jc w:val="both"/>
        <w:rPr/>
      </w:pPr>
      <w:r>
        <w:rPr>
          <w:rFonts w:ascii="Arial;sans-serif" w:hAnsi="Arial;sans-serif"/>
          <w:b/>
          <w:i/>
          <w:color w:val="000000"/>
          <w:sz w:val="20"/>
        </w:rPr>
        <w:t>Jorma Ollila</w:t>
      </w:r>
      <w:r>
        <w:rPr>
          <w:color w:val="000000"/>
        </w:rPr>
        <w:t xml:space="preserve"> </w:t>
      </w:r>
      <w:r>
        <w:rPr>
          <w:rFonts w:ascii="Arial;sans-serif" w:hAnsi="Arial;sans-serif"/>
          <w:b w:val="false"/>
          <w:color w:val="000000"/>
          <w:sz w:val="20"/>
        </w:rPr>
        <w:t>has served as a member of our board of directors since the closing of the Business Combination in June 2021. Mr. Ollila is the Former Chairman and CEO 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 We believe that Mr. Ollila is qualified to serve on our board of directors due to his extensive business management and financial industry experience.</w:t>
      </w:r>
    </w:p>
    <w:p>
      <w:pPr>
        <w:pStyle w:val="TextBody"/>
        <w:spacing w:before="2" w:after="2"/>
        <w:jc w:val="both"/>
        <w:rPr/>
      </w:pPr>
      <w:r>
        <w:rPr/>
      </w:r>
    </w:p>
    <w:p>
      <w:pPr>
        <w:pStyle w:val="TextBody"/>
        <w:spacing w:lineRule="auto" w:line="288" w:before="2" w:after="2"/>
        <w:ind w:left="0" w:right="0" w:firstLine="360"/>
        <w:jc w:val="both"/>
        <w:rPr/>
      </w:pPr>
      <w:r>
        <w:rPr>
          <w:rFonts w:ascii="Arial;sans-serif" w:hAnsi="Arial;sans-serif"/>
          <w:b/>
          <w:i/>
          <w:color w:val="000000"/>
          <w:sz w:val="20"/>
        </w:rPr>
        <w:t>Kristin W. Mugford</w:t>
      </w:r>
      <w:r>
        <w:rPr>
          <w:color w:val="000000"/>
        </w:rPr>
        <w:t xml:space="preserve"> </w:t>
      </w:r>
      <w:r>
        <w:rPr>
          <w:rFonts w:ascii="Arial;sans-serif" w:hAnsi="Arial;sans-serif"/>
          <w:b w:val="false"/>
          <w:color w:val="000000"/>
          <w:sz w:val="20"/>
        </w:rPr>
        <w:t>has served as a member of our board of directors since May 24, 2022. Ms. Mugford currently serves as the Melvin Tukman Senior Lecturer of Business Administration in the Finance Unit at the Harvard Business School. Prior to joining academia, she spent nearly 20 years with Bain Capital Partners, LP, joining their private equity business in 1994, where she focused on the consumer and media industries. In 1998, she helped start Bain Capital Credit, LP (formerly known as Sankaty Advisors, LP), the credit affiliate of Bain Capital Partners, LP, where she was a senior member of the management and investment committee. Ms. Mugford began her career at the Walt Disney Company as a strategic planning analyst. Ms. Mugford is a member of the board of directors of Dollarama (TSE: DOL), where she is the Chair of the Human Resources and Compensation Committee and a member of the Audit Committee. Ms. Mugford earned a Bachelor of Arts with honors in economics from Harvard College and a Master’s in Business Administration from Harvard Business School as a Baker Scholar. We believe that Ms. Mugford is qualified to serve on our board of directors due to her extensive business consulting and finance industry experience.</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Class I and Class III Directors Continuing in Office</w:t>
      </w:r>
    </w:p>
    <w:p>
      <w:pPr>
        <w:pStyle w:val="TextBody"/>
        <w:spacing w:lineRule="auto" w:line="288" w:before="200" w:after="200"/>
        <w:ind w:left="0" w:right="0" w:firstLine="360"/>
        <w:jc w:val="both"/>
        <w:rPr/>
      </w:pPr>
      <w:r>
        <w:rPr>
          <w:rFonts w:ascii="Arial;sans-serif" w:hAnsi="Arial;sans-serif"/>
          <w:b/>
          <w:i/>
          <w:color w:val="000000"/>
          <w:sz w:val="20"/>
        </w:rPr>
        <w:t>Peter A. Weinberg</w:t>
      </w:r>
      <w:r>
        <w:rPr>
          <w:color w:val="000000"/>
        </w:rPr>
        <w:t xml:space="preserve"> </w:t>
      </w:r>
      <w:r>
        <w:rPr>
          <w:rFonts w:ascii="Arial;sans-serif" w:hAnsi="Arial;sans-serif"/>
          <w:b w:val="false"/>
          <w:color w:val="000000"/>
          <w:sz w:val="20"/>
        </w:rPr>
        <w:t>is a Founding Partner of PWP, has served as our Chairman and a member of our board of directors since the closing of the Business Combination in June 2021, and served as our Chief Executive Officer from February 2019 to January 2023.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Master’s in Business Administration from Harvard Business School. We believe that Mr. Weinberg is qualified to serve on our board of directors due to his extensive finance industry, investment banking and executive leadership experience.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310"/>
                <wp:effectExtent l="0" t="0" r="0" b="0"/>
                <wp:wrapNone/>
                <wp:docPr id="16" name="Frame13"/>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lineRule="auto" w:line="288" w:before="200" w:after="200"/>
        <w:ind w:left="0" w:right="0" w:firstLine="360"/>
        <w:jc w:val="both"/>
        <w:rPr/>
      </w:pPr>
      <w:r>
        <w:rPr>
          <w:rFonts w:ascii="Arial;sans-serif" w:hAnsi="Arial;sans-serif"/>
          <w:b/>
          <w:i/>
          <w:color w:val="000000"/>
          <w:sz w:val="20"/>
        </w:rPr>
        <w:t xml:space="preserve">Dietrich Becker </w:t>
      </w:r>
      <w:r>
        <w:rPr>
          <w:rFonts w:ascii="Arial;sans-serif" w:hAnsi="Arial;sans-serif"/>
          <w:b w:val="false"/>
          <w:color w:val="000000"/>
          <w:sz w:val="20"/>
        </w:rPr>
        <w:t>is a Founding Partner of PWP, has served as our President since January 2023, and has served as a member of our board of directors since the closing of the Business Combination in June 2021. He served as Co-President from March 2020 to January 2023. Mr. Becker has over 30 years of investment banking experience. In addition to his current role, Mr. Becker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Master’s in Business Administration from New York University Stern Graduate School of Business. We believe that Mr. Becker is qualified to serve on our board of directors due to his extensive finance industry, investment banking and executive leadership experience.</w:t>
      </w:r>
    </w:p>
    <w:p>
      <w:pPr>
        <w:pStyle w:val="TextBody"/>
        <w:spacing w:lineRule="auto" w:line="288" w:before="200" w:after="200"/>
        <w:ind w:left="0" w:right="0" w:firstLine="360"/>
        <w:jc w:val="both"/>
        <w:rPr/>
      </w:pPr>
      <w:r>
        <w:rPr>
          <w:rFonts w:ascii="Arial;sans-serif" w:hAnsi="Arial;sans-serif"/>
          <w:b/>
          <w:i/>
          <w:color w:val="000000"/>
          <w:sz w:val="20"/>
        </w:rPr>
        <w:t>Jane C. Sherburne</w:t>
      </w:r>
      <w:r>
        <w:rPr>
          <w:color w:val="000000"/>
        </w:rPr>
        <w:t xml:space="preserve"> </w:t>
      </w:r>
      <w:r>
        <w:rPr>
          <w:rFonts w:ascii="Arial;sans-serif" w:hAnsi="Arial;sans-serif"/>
          <w:b w:val="false"/>
          <w:color w:val="000000"/>
          <w:sz w:val="20"/>
        </w:rPr>
        <w:t>has served as a member of our board of directors since the closing of the Business Combination in June 2021. Ms. Sherburne is Principal of 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member of the Committee for Economic Development, and a member of the American Law Institute. Ms. Sherburne earned a Bachelor of Arts and Master of Social Work from the University of Minnesota and a Juris Doctor from Georgetown University Law Center. We believe that Ms. Sherburne is qualified to serve on our board of directors due to her extensive legal and governance experience.</w:t>
      </w:r>
    </w:p>
    <w:p>
      <w:pPr>
        <w:pStyle w:val="TextBody"/>
        <w:spacing w:lineRule="auto" w:line="288" w:before="200" w:after="2"/>
        <w:ind w:left="0" w:right="0" w:firstLine="360"/>
        <w:jc w:val="both"/>
        <w:rPr/>
      </w:pPr>
      <w:r>
        <w:rPr>
          <w:rFonts w:ascii="Arial;sans-serif" w:hAnsi="Arial;sans-serif"/>
          <w:b/>
          <w:i/>
          <w:color w:val="000000"/>
          <w:sz w:val="20"/>
        </w:rPr>
        <w:t>Joseph R. Perella</w:t>
      </w:r>
      <w:r>
        <w:rPr>
          <w:color w:val="000000"/>
        </w:rPr>
        <w:t xml:space="preserve"> </w:t>
      </w:r>
      <w:r>
        <w:rPr>
          <w:rFonts w:ascii="Arial;sans-serif" w:hAnsi="Arial;sans-serif"/>
          <w:b w:val="false"/>
          <w:color w:val="000000"/>
          <w:sz w:val="20"/>
        </w:rPr>
        <w:t>is a Founding Partner of PWP and has served as our Chairman Emeritus and a member of our board of directors since the closing of the Business Combination in June 2021. Mr. Perella served as our Chief Executive Officer from 2006 until 2014. Mr. Perella has approximately 50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Master’s in Business Administration from Harvard Business School. We believe that Mr. Perella is qualified to serve on our board of directors due to his extensive finance industry and business leadership experience, as well as his deep understanding of the Company's business.</w:t>
      </w:r>
    </w:p>
    <w:p>
      <w:pPr>
        <w:pStyle w:val="TextBody"/>
        <w:spacing w:before="2" w:after="2"/>
        <w:jc w:val="both"/>
        <w:rPr/>
      </w:pPr>
      <w:r>
        <w:rPr/>
      </w:r>
    </w:p>
    <w:p>
      <w:pPr>
        <w:pStyle w:val="TextBody"/>
        <w:spacing w:lineRule="auto" w:line="288" w:before="2" w:after="2"/>
        <w:ind w:left="0" w:right="0" w:firstLine="360"/>
        <w:jc w:val="both"/>
        <w:rPr/>
      </w:pPr>
      <w:r>
        <w:rPr>
          <w:rFonts w:ascii="Arial;sans-serif" w:hAnsi="Arial;sans-serif"/>
          <w:b/>
          <w:i/>
          <w:color w:val="000000"/>
          <w:sz w:val="20"/>
        </w:rPr>
        <w:t xml:space="preserve">Elizabeth (Beth) Cogan Fascitelli </w:t>
      </w:r>
      <w:r>
        <w:rPr>
          <w:rFonts w:ascii="Arial;sans-serif" w:hAnsi="Arial;sans-serif"/>
          <w:b w:val="false"/>
          <w:color w:val="000000"/>
          <w:sz w:val="20"/>
        </w:rPr>
        <w:t>has served as a member of our board of directors since May 24, 2022. Ms. Fascitelli worked for Goldman Sachs Group, Inc. from 1984 to 2020, most recently serving as a Partner and Managing Director and Chief Operating Officer of the Merchant Banking Division. Ms. Fascitelli is a director of Jaws Mustang Acquisition Corp. (NYSE: JWSM) and a former director of Carmike Cinemas, Cosmetics Plus Group, Globe Manufacturing, Neuromedical Systems, Whole Foods Market and Fortress Capital Acquisition. Ms. Fascitelli is a trustee of the nonprofit Partnership for Inner-City Education and Child Mind Institute and serves as a member of the Board of Trustees for Dartmouth College. Ms. Fascitelli earned a Bachelor of Arts from Dartmouth College and a Master’s in Business Administration from Harvard Business School. We believe that Ms. Fascitelli is qualified to serve on our board of directors due to her extensive financial industry and public company board experience.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310"/>
                <wp:effectExtent l="0" t="0" r="0" b="0"/>
                <wp:wrapNone/>
                <wp:docPr id="17" name="Frame14"/>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Board Composition</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Certificate of Incorporation and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board of directors is divided into three classes of nearly equal size. The current terms of the Class I, Class II and Class III directors will expire at our 2025, 2023 and 2024 annual meetings of our stockholders, respectively, and in each case, until his or her successor has been duly elected and qualified or until his or her earlier death, resignation or removal. Upon the expiration of each term, directors will subsequently serve three-year terms if re-nominated and re-elected. Our Class I director includes Mr. Perella, our Class II directors include Mr. Bednar, Mr. Ollila, Mr. Steel and Ms. Mugford, and our Class III directors include Mr. Weinberg, Ms. Sherburne, Mr. Becker and Ms. Fascitelli. There are no family relationships among any of our directors or executive officers.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closing of the Business Combination, we entered into the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“Certain Relationships and Related Person Transactions—PWP Related Party Transactions—Right of Professional Partners and Stockholders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are “controlled” by the Limited Partners who manage Professional Partners, and as a result, are a “controlled company” under Nasdaq rules. Under these rules, a company of which more than 50% of the voting power is held by an individual, group or another company is a “controlled company” and may elect not to comply with certain corporate governance standards, including the requirements (i) that a majority of our board of directors consist of independent directors, as independence is defined in Rule 10A-3 of the Securities Exchange Act of 1934, as amended (the “Exchange Act”) and under the listing standards, (ii) that our board of directors have a compensation committee comprised solely of independent directors and (iii) that our board of directors either (A) have a nominations committee comprised solely of independent directors or (B) that independent directors constituting a majority of the board’s independent directors select or recommend director nominees in a vote in which only independent directors participate.</w:t>
      </w:r>
    </w:p>
    <w:p>
      <w:pPr>
        <w:pStyle w:val="TextBody"/>
        <w:spacing w:lineRule="auto" w:line="268"/>
        <w:ind w:left="0" w:right="0" w:firstLine="360"/>
        <w:jc w:val="both"/>
        <w:rPr>
          <w:rFonts w:ascii="Arial;sans-serif" w:hAnsi="Arial;sans-serif"/>
          <w:b w:val="false"/>
          <w:color w:val="000000"/>
          <w:sz w:val="20"/>
        </w:rPr>
      </w:pPr>
      <w:r>
        <w:rPr>
          <w:rFonts w:ascii="Arial;sans-serif" w:hAnsi="Arial;sans-serif"/>
          <w:b w:val="false"/>
          <w:color w:val="000000"/>
          <w:sz w:val="20"/>
        </w:rPr>
        <w:t>We currently utilize the exemption from having either a nominations committee comprised solely of independent directors or the independent directors constituting a majority of the board's independent directors select or recommend director nominees. Our full board of directors participates in the consideration of nominees to our board. In addition, we do not have a majority of independent directors on our board of directors.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comply with the applicable requirements of the SEC and Nasdaq with respect to our audit committee.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310"/>
                <wp:effectExtent l="0" t="0" r="0" b="0"/>
                <wp:wrapNone/>
                <wp:docPr id="18" name="Frame15"/>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Director Independence</w:t>
      </w:r>
    </w:p>
    <w:p>
      <w:pPr>
        <w:pStyle w:val="TextBody"/>
        <w:spacing w:before="2" w:after="283"/>
        <w:rPr/>
      </w:pPr>
      <w:r>
        <w:rPr/>
      </w:r>
    </w:p>
    <w:p>
      <w:pPr>
        <w:pStyle w:val="TextBody"/>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Under Nasdaq rules, independent directors must comprise a majority of a listed company’s board of directors and each member of a listed company’s audit, compensation and nominations committees must be independent, subject to specified exceptions, including the "controlled company" exemptions discussed above. As discussed above, we have availed ourselves of the “controlled company” exception and, as a result, although we have an independent audit committee, we do not have a majority of independent directors on our board. Under Nasdaq rules, a director is independent only if our board of directors makes an affirmative determination that the individual does not have any relationship that would interfere with the exercise of independent judgment in carrying out the responsibilities of a director. The board has determined that Mr. Ollila, Ms. Sherburne, Ms. Fascitelli and Ms. Mugford are “independent directors” as that term is defined under Nasdaq rules.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Board of Directors Leadership Structure</w:t>
      </w:r>
    </w:p>
    <w:p>
      <w:pPr>
        <w:pStyle w:val="TextBody"/>
        <w:spacing w:before="2" w:after="283"/>
        <w:rPr/>
      </w:pPr>
      <w:r>
        <w:rPr/>
      </w:r>
    </w:p>
    <w:p>
      <w:pPr>
        <w:pStyle w:val="TextBody"/>
        <w:spacing w:lineRule="auto" w:line="288" w:before="2" w:after="2"/>
        <w:ind w:left="0" w:right="0" w:firstLine="360"/>
        <w:jc w:val="both"/>
        <w:rPr>
          <w:rFonts w:ascii="Arial;sans-serif" w:hAnsi="Arial;sans-serif"/>
          <w:b w:val="false"/>
          <w:color w:val="000000"/>
          <w:sz w:val="20"/>
        </w:rPr>
      </w:pPr>
      <w:r>
        <w:rPr>
          <w:rFonts w:ascii="Arial;sans-serif" w:hAnsi="Arial;sans-serif"/>
          <w:b w:val="false"/>
          <w:color w:val="000000"/>
          <w:sz w:val="20"/>
        </w:rPr>
        <w:t>Under our corporate governance guidelines, the board of directors does not require the separation of the offices of the chairman of the board of directors (the “Chairman”) and the chief executive officer of the Company (the “Chief Executive Officer”). These guidelines provide that the board of directors shall be free to choose its chairman in any way that it deems best for the Company at any given point in time. The roles of our Chairman and Chief Executive Officer were separated in January 2023, when Peter A. Weinberg ended his term as Chief Executive Officer, continuing to serve as our Chairman, and Andrew Bednar succeeded Mr. Weinberg as our Chief Executive Officer. The board believes that this leadership structure, with Mr. Weinberg as Chairman and Mr. Bednar as Chief Executive Officer, currently provides continuity for our board and facilitates our board’s efficient and effective functioning. As former Chief Executive Officer, as well as a Founding Partner of PWP, Mr. Weinberg is well-situated to serve as the Chairman because he is familiar with our business and industry and therefore able to identify the strategic priorities to be discussed by the board. The board also believes that the Chairman helps facilitate information flow between management and the board and fosters the development and execution of the Company's strategy.</w:t>
      </w:r>
    </w:p>
    <w:p>
      <w:pPr>
        <w:pStyle w:val="TextBody"/>
        <w:spacing w:before="2" w:after="2"/>
        <w:rPr/>
      </w:pPr>
      <w:r>
        <w:rPr/>
      </w:r>
    </w:p>
    <w:p>
      <w:pPr>
        <w:pStyle w:val="TextBody"/>
        <w:spacing w:lineRule="auto" w:line="288" w:before="2" w:after="2"/>
        <w:ind w:left="0" w:right="0" w:firstLine="360"/>
        <w:jc w:val="both"/>
        <w:rPr>
          <w:rFonts w:ascii="Arial;sans-serif" w:hAnsi="Arial;sans-serif"/>
          <w:b w:val="false"/>
          <w:color w:val="000000"/>
          <w:sz w:val="20"/>
        </w:rPr>
      </w:pPr>
      <w:r>
        <w:rPr>
          <w:rFonts w:ascii="Arial;sans-serif" w:hAnsi="Arial;sans-serif"/>
          <w:b w:val="false"/>
          <w:color w:val="000000"/>
          <w:sz w:val="20"/>
        </w:rPr>
        <w:t>The board of directors periodically reviews its leadership structure and may make changes in the future. The Company does not have a lead independent director; however, an independent director presides over the executive sessions.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Board of Directors Role in Risk Oversight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are exposed to a number of risks, and we regularly identify and evaluate these risks and our risk management strategy. Management is principally responsible for identifying, evaluating and managing the risks on a day-to-day basis, under the oversight of the board of directors and the audit committee. Our audit committee is responsible for overseeing the guidelines and policies governing the process by which senior management and the relevant departments of the Company, including the internal audit function, assess and manage our exposure to risk, including cybersecurity risk, as well as any major litigation, regulatory, financial and reputational risk exposures and the steps management has taken to monitor and control such exposures. Additionally, our audit committee focuses on oversight of financial risks and the compensation committee makes recommendations to the board of directors regarding executive compensation plans and arrangements. The full board of directors keeps itself regularly informed regarding risks overseen by the audit committee through management and committee reports and otherwise.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310"/>
                <wp:effectExtent l="0" t="0" r="0" b="0"/>
                <wp:wrapNone/>
                <wp:docPr id="19" name="Frame16"/>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Board Committees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 Each committee has adopted a written charter, which we have posted on our website at http://www.pwpartners.com. </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Audit Committee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appointing, compensating and overseeing the work of our independent auditors, including resolving disagreements between management and the independent registered public accounting firm regarding financial reporting;</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approving engagements of the independent registered public accounting firm to render any audit or permissible non-audit services;</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reviewing the qualifications and independence of the independent registered public accounting firm;</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reviewing our financial statements and related disclosures and reviewing our critical accounting policies and practices;</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reviewing the adequacy and effectiveness of our internal control over financial reporting;</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establishing procedures for the receipt, retention and treatment of accounting and auditing related complaints and concerns;</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preparing the audit committee report required by SEC rules to be included in our annual proxy statement;</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reviewing and discussing with management and the independent registered public accounting firm the results of the annual audit, our quarterly financial statements and our publicly filed reports; and</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reviewing and approving in advance any proposed related person transactions.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members of our audit committee are Jorma Ollila, Jane C. Sherburne and Elizabeth (Beth) Cogan Fascitelli. Jorma Ollila is the chairman of the audit committee. Our board of directors has determined that Jane C. Sherburne is an audit committee financial expert. The board of directors has determined that Jorma Ollila, Jane C. Sherburne and Elizabeth (Beth) Cogan Fascitelli qualify as independent directors pursuant to Nasdaq rules and additional independence criteria set forth in Rule 10A-3 of the Exchange Act. The audit committee held five meetings during 2022.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310"/>
                <wp:effectExtent l="0" t="0" r="0" b="0"/>
                <wp:wrapNone/>
                <wp:docPr id="20" name="Frame17"/>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Compensation Committee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compensation committee oversees our compensation policies, plans and programs. The compensation committee is responsible for, among other things:</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reviewing and recommending policies, plans and programs relating to compensation and benefits of our directors, officers and employees;</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reviewing and recommending compensation and the corporate goals and objectives relevant to compensation of our Chief Executive Officer;</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reviewing and recommending compensation and corporate goals and objectives relevant to compensation for executive officers other than our Chief Executive Officer;</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evaluating the performance of our Chief Executive Officer and other executive officers in light of established goals and objectives; and</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administering our equity compensation plans for our employees and directors.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members of the compensation committee are Jorma Ollila, Jane C. Sherburne and Kristin W. Mugford. Jane C. Sherburne is the chairman of the compensation committee. The compensation committee held four meetings during 2022.</w:t>
      </w:r>
    </w:p>
    <w:p>
      <w:pPr>
        <w:pStyle w:val="TextBody"/>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Compensation Committee Interlocks and Insider Participation</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Board and Committee Meetings; Annual Meeting Attendance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During 2022, our board of directors held five meetings, our audit committee held five meetings and our compensation committee held four meetings. During 2022, each director attended at least 75% of the total number of meetings of the board of directors and committees on which the director served. The independent directors of the Company meet in executive session without management on a regularly scheduled basis. The Chairman, if an independent director, shall preside at such executive sessions, or if the Chairperson is not an independent director or in such director’s absence, an independent director designated by a majority of independent directors shall preside at such executive sessions.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Under our corporate governance guidelines, directors are expected to attend the Company’s annual meetings of stockholders. Four of our directors attended our 2022 annual meeting of stockholders.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310"/>
                <wp:effectExtent l="0" t="0" r="0" b="0"/>
                <wp:wrapNone/>
                <wp:docPr id="21" name="Frame18"/>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Annual Board Self-Evaluation</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Board conducts a self-evaluation annually to determine whether it, its committees and its individual members are functioning effectively and whether the Board possesses the appropriate expertise and diversity. Each committee of the Board also conducts a self-evaluation annually and reports the results to the Board. The Board monitors the mix of specific experience, qualifications, skills and diversity of its current directors in order to assure that the Board, as a whole, has the necessary tools to perform its oversight function effectively in light of the Company’s business and structure.</w:t>
      </w:r>
    </w:p>
    <w:p>
      <w:pPr>
        <w:pStyle w:val="TextBody"/>
        <w:spacing w:lineRule="auto" w:line="240" w:before="2" w:after="283"/>
        <w:rPr>
          <w:rFonts w:ascii="Arial;sans-serif" w:hAnsi="Arial;sans-serif"/>
          <w:b/>
          <w:color w:val="000000"/>
          <w:sz w:val="20"/>
        </w:rPr>
      </w:pPr>
      <w:r>
        <w:rPr>
          <w:rFonts w:ascii="Arial;sans-serif" w:hAnsi="Arial;sans-serif"/>
          <w:b/>
          <w:color w:val="000000"/>
          <w:sz w:val="20"/>
        </w:rPr>
        <w:t>Director Nomination Process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do not have a nominations committee. Our full board of directors participates in the consideration of nominees to our board of directors other than as set forth below. The board of directors believes that input from all directors in the nominating process enhances the Company’s ability to identify, evaluate and select director nominees. In addition, our Stockholders Agreement provides that our board of directors will nominate individuals designated by Professional Partners equal to a majority of the board of directors, for so long as the Class B Condition is satisfied and, thereafter, one quarter of the candidates for so long as the Secondary Class B Condition is satisfied. See “Certain Relationships and Related Person Transactions—PWP Related Party Transactions—Right of Professional Partners and Stockholders Agreement” below.</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considering candidates for nomination, the board of directors applies several criteria in selecting nominees. At a minimum, the board of directors considers (a) whether each such nominee has demonstrated, by significant accomplishment in his or her field, an ability to make a meaningful contribution to the board of directors’ oversight of the business and affairs of the Company and (b) the nominee’s reputation for honesty and ethical conduct in his or her personal and professional activities. Additional factors which the board of directors may consider include a candidate’s specific experiences and skills, expertise, diversity, personal and professional integrity, character, business judgment, time availability in light of other commitments, dedication, potential conflicts of interest and such other relevant factors that the board of directors considers appropriate in the context of the board of directors’ needs.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board of directors will consider a candidate nominated by a stockholder in a manner consistent with its evaluation of potential nominees, so long as the nomination meets the requirements of our bylaws, as summarized below.</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notice of nomination should include the information required by PWP’s bylaws, including, but not limited to, the following:</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the stockholder’s name, record address, and name and principal place of business,</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the name, age, business address, residence address, and principal occupation or employment of the nominee,</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the class or series, and number of all shares of the Company’s stock owned beneficially or of record by the stockholder or the nominee,</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whether and the extent to which any derivative or other instrument, transaction, agreement, or arrangement has been entered into by the stockholder or the nominee with respect to the Company’s stock,</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a description of all agreements or arrangements to which the stockholder or the nominee is a party with respect to the nomination, the Company or the Company’s stock,</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310"/>
                <wp:effectExtent l="0" t="0" r="0" b="0"/>
                <wp:wrapNone/>
                <wp:docPr id="22" name="Frame19"/>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a description of agreements or arrangements entered into by the stockholder or the nominee with the intent to mitigate loss, manage risk or benefit from changes in the stock price or increase or decrease the stockholder’s voting power,</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a representation that the stockholder will attend the meeting in person or by proxy to nominate the persons named in its notice, and</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any other information related to the stockholder or the nominee required to be disclosed in the solicitation of proxies for election of directors under federal securities laws.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notice must be accompanied by the nominee’s consent to be elected and to serve as a director and include certain representations and agreements by the nominee set forth in our bylaws.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This notice must be updated, if necessary, so that the information is true and correct as of the record date for the meeting.</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Stockholder nominees should be submitted to the Company’s Corporate Secretary at the Company’s principal executive offices. Stockholder nominations may be made at any time. However, in order for a candidate to be included in the slate of director nominees for approval by stockholders in connection with a meeting of stockholders and for information about the candidate to be included in the Company’s proxy materials for such a meeting, the stockholder must submit the information required by our bylaws and other information reasonably requested by the Company within the timeframe described below under “Additional Information—Procedures for Submitting Stockholder Proposals and Director Nominations.”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When the Company or the board of directors is required by contractual obligation (including pursuant to the Stockholders Agreement) to nominate candidates designated by any person or entity, the selection and nomination of these directors is not subject to the above process.</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Communication with the Board of Directors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Any stockholder or other interested parties who would like to communicate with the board of directors, the independent directors as a group or any specific member or members of the board of directors should send such communications to the attention of our Corporate Secretary at Perella Weinberg Partners, 767 Fifth Avenue, New York, NY 10153. Communications should contain instructions on which member or members of the board of directors the communication is intended for. Such communications will generally be forwarded to the intended recipients. However, our Corporate Secretary may, in his or her sole discretion, decline to forward any communications that are inappropriate.</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Compensation Committee Interlocks and Insider Participation</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Code of Business Conduct and Ethics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310"/>
                <wp:effectExtent l="0" t="0" r="0" b="0"/>
                <wp:wrapNone/>
                <wp:docPr id="23" name="Frame20"/>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Corporate Governance Guidelines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board of directors has adopted corporate governance guidelines to assist the board of directors in the exercise of its responsibilities. The corporate governance guidelines are available in the Corporate Governance section of our Investor Relations website at https://investors.pwpartners.com.</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Executive Officers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Set forth below are biographical summaries of our executive officers as of March 1, 2023, other than Mr. Bednar, our Chief Executive Officer, Mr. Weinberg, our Chairman, and Mr. Becker, our President, each of whose biographical summary is set forth above in “Directors and Director Nominees.”</w:t>
      </w:r>
    </w:p>
    <w:tbl>
      <w:tblPr>
        <w:tblW w:w="5169" w:type="dxa"/>
        <w:jc w:val="left"/>
        <w:tblInd w:w="0" w:type="dxa"/>
        <w:tblCellMar>
          <w:top w:w="28" w:type="dxa"/>
          <w:left w:w="28" w:type="dxa"/>
          <w:bottom w:w="28" w:type="dxa"/>
          <w:right w:w="28" w:type="dxa"/>
        </w:tblCellMar>
      </w:tblPr>
      <w:tblGrid>
        <w:gridCol w:w="709"/>
        <w:gridCol w:w="623"/>
        <w:gridCol w:w="632"/>
        <w:gridCol w:w="109"/>
        <w:gridCol w:w="109"/>
        <w:gridCol w:w="109"/>
        <w:gridCol w:w="155"/>
        <w:gridCol w:w="155"/>
        <w:gridCol w:w="156"/>
        <w:gridCol w:w="109"/>
        <w:gridCol w:w="109"/>
        <w:gridCol w:w="109"/>
        <w:gridCol w:w="607"/>
        <w:gridCol w:w="607"/>
        <w:gridCol w:w="871"/>
      </w:tblGrid>
      <w:tr>
        <w:trPr/>
        <w:tc>
          <w:tcPr>
            <w:tcW w:w="7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Title</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Gary S. Barancik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Vladimir Shendelman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Counsel</w:t>
            </w:r>
          </w:p>
        </w:tc>
      </w:tr>
    </w:tbl>
    <w:p>
      <w:pPr>
        <w:pStyle w:val="TextBody"/>
        <w:spacing w:before="2" w:after="2"/>
        <w:jc w:val="both"/>
        <w:rPr/>
      </w:pPr>
      <w:r>
        <w:rPr/>
      </w:r>
    </w:p>
    <w:p>
      <w:pPr>
        <w:pStyle w:val="TextBody"/>
        <w:spacing w:lineRule="auto" w:line="288" w:before="200" w:after="200"/>
        <w:ind w:left="0" w:right="0" w:firstLine="360"/>
        <w:jc w:val="both"/>
        <w:rPr/>
      </w:pPr>
      <w:r>
        <w:rPr>
          <w:rFonts w:ascii="Arial;sans-serif" w:hAnsi="Arial;sans-serif"/>
          <w:b/>
          <w:i/>
          <w:color w:val="000000"/>
          <w:sz w:val="20"/>
        </w:rPr>
        <w:t>Gary S. Barancik</w:t>
      </w:r>
      <w:r>
        <w:rPr>
          <w:color w:val="000000"/>
        </w:rPr>
        <w:t xml:space="preserve"> </w:t>
      </w:r>
      <w:r>
        <w:rPr>
          <w:rFonts w:ascii="Arial;sans-serif" w:hAnsi="Arial;sans-serif"/>
          <w:b w:val="false"/>
          <w:color w:val="000000"/>
          <w:sz w:val="20"/>
        </w:rPr>
        <w:t>is a Founding Partner of PWP and has served as our Chief Financial Officer since 2018. Mr. Barancik has approximately 30 years of investment banking experience. Prior to his current role, Mr. Barancik was a partner in PWP's Advisory business where he was Co-Chair of the Company's Fairness Committee and Co-Head of PWP's Board and Special Committee Advisory Practice. Prior to joining PWP in 2006, Mr. Barancik was a Managing Director at Morgan Stanley, where he worked in the Mergers and Acquisitions department. He began his investment banking career at Morgan Stanley in 1987. Mr. Barancik earned a Bachelor of Science in Economics and a Master’s in Business Administration from the Wharton School at the University of Pennsylvania.</w:t>
      </w:r>
    </w:p>
    <w:p>
      <w:pPr>
        <w:pStyle w:val="TextBody"/>
        <w:spacing w:lineRule="auto" w:line="288" w:before="200" w:after="200"/>
        <w:ind w:left="0" w:right="0" w:firstLine="360"/>
        <w:jc w:val="both"/>
        <w:rPr/>
      </w:pPr>
      <w:r>
        <w:rPr>
          <w:rFonts w:ascii="Arial;sans-serif" w:hAnsi="Arial;sans-serif"/>
          <w:b/>
          <w:i/>
          <w:color w:val="000000"/>
          <w:sz w:val="20"/>
        </w:rPr>
        <w:t>Vladimir Shendelman</w:t>
      </w:r>
      <w:r>
        <w:rPr>
          <w:color w:val="000000"/>
        </w:rPr>
        <w:t xml:space="preserve"> </w:t>
      </w:r>
      <w:r>
        <w:rPr>
          <w:rFonts w:ascii="Arial;sans-serif" w:hAnsi="Arial;sans-serif"/>
          <w:b w:val="false"/>
          <w:color w:val="000000"/>
          <w:sz w:val="20"/>
        </w:rPr>
        <w:t>is a Partner of PWP and has served as our General Counsel since 2014. Mr. Shendelman also serves as the General Counsel of PWP Capital Holdings, which holds the former asset management business of PWP OpCo. Mr. Shendelman has approximately 20 years of legal experience. Prior to joining PWP in 2007, Mr. Shendelman worked as an associate at Davis Polk &amp; Wardwell LLP in their Mergers &amp; Acquisitions, Capital Markets and Investment Management groups. Mr. Shendelman earned a Bachelor of Arts in Economics from Brandeis University and a Juris Doctor from the University of Virginia School of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310"/>
                <wp:effectExtent l="0" t="0" r="0" b="0"/>
                <wp:wrapNone/>
                <wp:docPr id="24" name="Frame21"/>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lineRule="auto" w:line="288" w:before="240" w:after="2"/>
        <w:jc w:val="center"/>
        <w:rPr>
          <w:rFonts w:ascii="Arial;sans-serif" w:hAnsi="Arial;sans-serif"/>
          <w:b/>
          <w:color w:val="000000"/>
          <w:sz w:val="20"/>
        </w:rPr>
      </w:pPr>
      <w:r>
        <w:rPr>
          <w:rFonts w:ascii="Arial;sans-serif" w:hAnsi="Arial;sans-serif"/>
          <w:b/>
          <w:color w:val="000000"/>
          <w:sz w:val="20"/>
        </w:rPr>
        <w:t>DIRECTOR COMPENSATION</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Director Compensation</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For 2022, our non-employee directors were entitled to the following compensation for their service on our board of directors (as applicable): (i) an annual base retainer in the amount of $180,000, 50% of which is paid in the form of restricted stock units (“RSUs”) and 50% of which is paid in cash; (ii) a one-time grant of RSUs with a value of $50,000 upon initial appointment to the board of directors vesting in three equal installments on or about each anniversary of the grant date; (iii) an annual cash retainer of $20,000 for the chair of the audit committee; and (iv) an annual cash retainer of $20,000 for the chair of the compensation committee. Except for the one-time grant of RSUs upon initial appointment to our board of directors, all other RSUs will be granted on or about the date of our general annual stockholder meeting and will vest on the date of the next general annual stockholder meeting.</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Director Compensation Table for 2022</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total 2022 compensation of our non-employee directors is shown in the following table. We do not separately compensate our affiliated directors for their service on our board of directors.</w:t>
      </w:r>
    </w:p>
    <w:tbl>
      <w:tblPr>
        <w:tblW w:w="9459" w:type="dxa"/>
        <w:jc w:val="left"/>
        <w:tblInd w:w="0" w:type="dxa"/>
        <w:tblCellMar>
          <w:top w:w="28" w:type="dxa"/>
          <w:left w:w="28" w:type="dxa"/>
          <w:bottom w:w="28" w:type="dxa"/>
          <w:right w:w="28" w:type="dxa"/>
        </w:tblCellMar>
      </w:tblPr>
      <w:tblGrid>
        <w:gridCol w:w="1131"/>
        <w:gridCol w:w="995"/>
        <w:gridCol w:w="1008"/>
        <w:gridCol w:w="109"/>
        <w:gridCol w:w="109"/>
        <w:gridCol w:w="109"/>
        <w:gridCol w:w="526"/>
        <w:gridCol w:w="1872"/>
        <w:gridCol w:w="271"/>
        <w:gridCol w:w="109"/>
        <w:gridCol w:w="109"/>
        <w:gridCol w:w="109"/>
        <w:gridCol w:w="286"/>
        <w:gridCol w:w="1020"/>
        <w:gridCol w:w="148"/>
        <w:gridCol w:w="109"/>
        <w:gridCol w:w="109"/>
        <w:gridCol w:w="109"/>
        <w:gridCol w:w="211"/>
        <w:gridCol w:w="856"/>
        <w:gridCol w:w="154"/>
      </w:tblGrid>
      <w:tr>
        <w:trPr/>
        <w:tc>
          <w:tcPr>
            <w:tcW w:w="1131"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Fees Earned or Paid in Cash</w:t>
            </w:r>
            <w:r>
              <w:rPr>
                <w:rFonts w:ascii="Arial;sans-serif" w:hAnsi="Arial;sans-serif"/>
                <w:b w:val="false"/>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Stock Awards</w:t>
            </w:r>
            <w:r>
              <w:rPr>
                <w:rFonts w:ascii="Arial;sans-serif" w:hAnsi="Arial;sans-serif"/>
                <w:b w:val="false"/>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Total</w:t>
            </w:r>
          </w:p>
        </w:tc>
      </w:tr>
      <w:tr>
        <w:trPr/>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Daniel G. Cohen</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96,459 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Elizabeth (Beth) Cogan Fascitelli</w:t>
            </w:r>
            <w:r>
              <w:rPr>
                <w:rFonts w:ascii="Arial;sans-serif" w:hAnsi="Arial;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54,545 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145,652 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200,197 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Kristin W. Mugford</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145,652 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200,197 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Jorma Ollila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96,459 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Ivan G. Seidenberg</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96,459 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Jane C. Sherburne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96,459 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(1)Amounts shown in this column reflect the cash annual base retainer fees and committee fees earned for 2022.</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(2)Amounts shown in this column represent the grant date fair value, calculated in accordance with FASB ASC Topic 718, of the time-based RSUs granted to our non-employee directors. For a summary of the assumptions used in the valuation of these awards, please see Note 13 “Equity-Based Compensation” to the consolidated financial statements in our 2022 Form 10-K. As of December 31, 2022, Ms. Fascitelli and Ms. Mugford each held 20,927 outstanding RSUs while the other non-employee directors each held 15,840 outstanding RSUs.</w:t>
      </w:r>
    </w:p>
    <w:p>
      <w:pPr>
        <w:pStyle w:val="TextBody"/>
        <w:spacing w:lineRule="auto" w:line="240" w:before="0" w:after="1"/>
        <w:ind w:left="0" w:right="0" w:hanging="360"/>
        <w:rPr>
          <w:rFonts w:ascii="Arial;sans-serif" w:hAnsi="Arial;sans-serif"/>
          <w:b w:val="false"/>
          <w:color w:val="000000"/>
          <w:sz w:val="16"/>
        </w:rPr>
      </w:pPr>
      <w:r>
        <w:rPr>
          <w:rFonts w:ascii="Arial;sans-serif" w:hAnsi="Arial;sans-serif"/>
          <w:b w:val="false"/>
          <w:color w:val="000000"/>
          <w:sz w:val="16"/>
        </w:rPr>
        <w:t xml:space="preserve">(3)Mr. Cohen and Mr. Seidenberg both resigned from the board of directors in April 2023. </w:t>
      </w:r>
    </w:p>
    <w:p>
      <w:pPr>
        <w:pStyle w:val="TextBody"/>
        <w:spacing w:lineRule="auto" w:line="240" w:before="0" w:after="1"/>
        <w:ind w:left="0" w:right="0" w:hanging="360"/>
        <w:rPr>
          <w:rFonts w:ascii="Arial;sans-serif" w:hAnsi="Arial;sans-serif"/>
          <w:b w:val="false"/>
          <w:color w:val="000000"/>
          <w:sz w:val="16"/>
        </w:rPr>
      </w:pPr>
      <w:r>
        <w:rPr>
          <w:rFonts w:ascii="Arial;sans-serif" w:hAnsi="Arial;sans-serif"/>
          <w:b w:val="false"/>
          <w:color w:val="000000"/>
          <w:sz w:val="16"/>
        </w:rPr>
        <w:t>(4)Ms. Fascitelli and Ms. Mugford were both elected to the board of directors on May 24, 2022.</w:t>
      </w:r>
    </w:p>
    <w:p>
      <w:pPr>
        <w:pStyle w:val="TextBody"/>
        <w:spacing w:before="0" w:after="0"/>
        <w:rPr/>
      </w:pPr>
      <w:r>
        <w:rPr/>
      </w:r>
    </w:p>
    <w:p>
      <w:pPr>
        <w:pStyle w:val="TextBody"/>
        <w:spacing w:before="2" w:after="2"/>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310"/>
                <wp:effectExtent l="0" t="0" r="0" b="0"/>
                <wp:wrapNone/>
                <wp:docPr id="25" name="Frame22"/>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lineRule="auto" w:line="288" w:before="240" w:after="2"/>
        <w:jc w:val="center"/>
        <w:rPr>
          <w:rFonts w:ascii="Arial;sans-serif" w:hAnsi="Arial;sans-serif"/>
          <w:b/>
          <w:color w:val="000000"/>
          <w:sz w:val="20"/>
        </w:rPr>
      </w:pPr>
      <w:r>
        <w:rPr>
          <w:rFonts w:ascii="Arial;sans-serif" w:hAnsi="Arial;sans-serif"/>
          <w:b/>
          <w:color w:val="000000"/>
          <w:sz w:val="20"/>
        </w:rPr>
        <w:t>EXECUTIVE COMPENSATION</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This section describes the compensation of our named executive officers (“NEOs”) for the periods presented below based on the reduced executive compensation disclosure requirements applicable to emerging growth companies.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NEOs for the fiscal year ended December 31, 2022 are:</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Andrew Bednar, Co-President (Chief Executive Officer as of January 1, 2023);</w:t>
      </w:r>
    </w:p>
    <w:p>
      <w:pPr>
        <w:pStyle w:val="TextBody"/>
        <w:spacing w:before="2" w:after="283"/>
        <w:jc w:val="both"/>
        <w:rPr/>
      </w:pPr>
      <w:r>
        <w:rPr/>
      </w:r>
    </w:p>
    <w:p>
      <w:pPr>
        <w:pStyle w:val="TextBody"/>
        <w:spacing w:lineRule="auto" w:line="240" w:before="2" w:after="283"/>
        <w:ind w:left="0" w:right="0" w:hanging="360"/>
        <w:jc w:val="both"/>
        <w:rPr/>
      </w:pPr>
      <w:r>
        <w:rPr>
          <w:color w:val="000000"/>
        </w:rPr>
        <w:t>•</w:t>
      </w:r>
      <w:r>
        <w:rPr>
          <w:rFonts w:ascii="Arial;sans-serif" w:hAnsi="Arial;sans-serif"/>
          <w:b w:val="false"/>
          <w:color w:val="000000"/>
          <w:sz w:val="20"/>
        </w:rPr>
        <w:t>Peter A. Weinberg, Chief Executive Officer and Chairman (Chairman as of January 1, 2023); and</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Dietrich Becker, Co-President (President as of January 1, 2023).</w:t>
      </w:r>
    </w:p>
    <w:p>
      <w:pPr>
        <w:pStyle w:val="TextBody"/>
        <w:spacing w:before="2" w:after="283"/>
        <w:jc w:val="both"/>
        <w:rPr/>
      </w:pPr>
      <w:r>
        <w:rPr/>
      </w:r>
    </w:p>
    <w:p>
      <w:pPr>
        <w:pStyle w:val="TextBody"/>
        <w:spacing w:lineRule="auto" w:line="288" w:before="2" w:after="2"/>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2022, Peter A. Weinberg served as our Chairman and Chief Executive Officer, and Andrew Bednar and Dietrich Becker served as our Co-Presidents. Effective January 1, 2023, Mr. Bednar became our Chief Executive Officer. Mr. Weinberg continues to serve as our Chairman. </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Summary Compensation Table for 2022</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the total compensation paid to or earned by each of our NEOs in the applicable year:</w:t>
      </w:r>
    </w:p>
    <w:tbl>
      <w:tblPr>
        <w:tblW w:w="11085" w:type="dxa"/>
        <w:jc w:val="left"/>
        <w:tblInd w:w="0" w:type="dxa"/>
        <w:tblCellMar>
          <w:top w:w="28" w:type="dxa"/>
          <w:left w:w="28" w:type="dxa"/>
          <w:bottom w:w="28" w:type="dxa"/>
          <w:right w:w="28" w:type="dxa"/>
        </w:tblCellMar>
      </w:tblPr>
      <w:tblGrid>
        <w:gridCol w:w="442"/>
        <w:gridCol w:w="191"/>
        <w:gridCol w:w="193"/>
        <w:gridCol w:w="109"/>
        <w:gridCol w:w="109"/>
        <w:gridCol w:w="109"/>
        <w:gridCol w:w="115"/>
        <w:gridCol w:w="115"/>
        <w:gridCol w:w="116"/>
        <w:gridCol w:w="109"/>
        <w:gridCol w:w="109"/>
        <w:gridCol w:w="109"/>
        <w:gridCol w:w="166"/>
        <w:gridCol w:w="526"/>
        <w:gridCol w:w="109"/>
        <w:gridCol w:w="109"/>
        <w:gridCol w:w="109"/>
        <w:gridCol w:w="109"/>
        <w:gridCol w:w="166"/>
        <w:gridCol w:w="616"/>
        <w:gridCol w:w="109"/>
        <w:gridCol w:w="109"/>
        <w:gridCol w:w="109"/>
        <w:gridCol w:w="109"/>
        <w:gridCol w:w="202"/>
        <w:gridCol w:w="474"/>
        <w:gridCol w:w="128"/>
        <w:gridCol w:w="109"/>
        <w:gridCol w:w="109"/>
        <w:gridCol w:w="109"/>
        <w:gridCol w:w="238"/>
        <w:gridCol w:w="438"/>
        <w:gridCol w:w="119"/>
        <w:gridCol w:w="109"/>
        <w:gridCol w:w="109"/>
        <w:gridCol w:w="109"/>
        <w:gridCol w:w="166"/>
        <w:gridCol w:w="616"/>
        <w:gridCol w:w="109"/>
        <w:gridCol w:w="109"/>
        <w:gridCol w:w="109"/>
        <w:gridCol w:w="109"/>
        <w:gridCol w:w="166"/>
        <w:gridCol w:w="616"/>
        <w:gridCol w:w="109"/>
        <w:gridCol w:w="109"/>
        <w:gridCol w:w="109"/>
        <w:gridCol w:w="109"/>
        <w:gridCol w:w="215"/>
        <w:gridCol w:w="604"/>
        <w:gridCol w:w="142"/>
        <w:gridCol w:w="109"/>
        <w:gridCol w:w="109"/>
        <w:gridCol w:w="109"/>
        <w:gridCol w:w="166"/>
        <w:gridCol w:w="616"/>
        <w:gridCol w:w="154"/>
      </w:tblGrid>
      <w:tr>
        <w:trPr/>
        <w:tc>
          <w:tcPr>
            <w:tcW w:w="44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rFonts w:ascii="Arial;sans-serif" w:hAnsi="Arial;sans-serif"/>
                <w:b/>
                <w:color w:val="000000"/>
                <w:sz w:val="12"/>
              </w:rPr>
            </w:pPr>
            <w:r>
              <w:rPr>
                <w:rFonts w:ascii="Arial;sans-serif" w:hAnsi="Arial;sans-serif"/>
                <w:b/>
                <w:color w:val="000000"/>
                <w:sz w:val="12"/>
              </w:rPr>
              <w:t>Name and</w:t>
            </w:r>
          </w:p>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2"/>
              </w:rPr>
              <w:t>Salary</w:t>
            </w:r>
            <w:r>
              <w:rPr>
                <w:rFonts w:ascii="Arial;sans-serif" w:hAnsi="Arial;sans-serif"/>
                <w:b w:val="false"/>
                <w:color w:val="000000"/>
                <w:sz w:val="8"/>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2"/>
              </w:rPr>
              <w:t>Cash Bonus</w:t>
            </w:r>
            <w:r>
              <w:rPr>
                <w:rFonts w:ascii="Arial;sans-serif" w:hAnsi="Arial;sans-serif"/>
                <w:b w:val="false"/>
                <w:color w:val="000000"/>
                <w:sz w:val="8"/>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2"/>
              </w:rPr>
              <w:t xml:space="preserve">Professional Partners Equity </w:t>
            </w:r>
            <w:r>
              <w:rPr>
                <w:rFonts w:ascii="Arial;sans-serif" w:hAnsi="Arial;sans-serif"/>
                <w:b/>
                <w:color w:val="000000"/>
                <w:sz w:val="8"/>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2"/>
              </w:rPr>
              <w:t xml:space="preserve">Long-Term Incentive Awards </w:t>
            </w:r>
            <w:r>
              <w:rPr>
                <w:rFonts w:ascii="Arial;sans-serif" w:hAnsi="Arial;sans-serif"/>
                <w:b/>
                <w:color w:val="000000"/>
                <w:sz w:val="8"/>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2"/>
              </w:rPr>
              <w:t>Equity Bonus Awards</w:t>
            </w:r>
            <w:r>
              <w:rPr>
                <w:color w:val="000000"/>
              </w:rPr>
              <w:t xml:space="preserve"> </w:t>
            </w:r>
            <w:r>
              <w:rPr>
                <w:rFonts w:ascii="Arial;sans-serif" w:hAnsi="Arial;sans-serif"/>
                <w:b/>
                <w:color w:val="000000"/>
                <w:sz w:val="8"/>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2"/>
              </w:rPr>
              <w:t>Total Stock Awards</w:t>
            </w:r>
            <w:r>
              <w:rPr>
                <w:rFonts w:ascii="Arial;sans-serif" w:hAnsi="Arial;sans-serif"/>
                <w:b w:val="false"/>
                <w:color w:val="000000"/>
                <w:sz w:val="8"/>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2"/>
              </w:rPr>
              <w:t>All Other Compensation</w:t>
            </w:r>
            <w:r>
              <w:rPr>
                <w:rFonts w:ascii="Arial;sans-serif" w:hAnsi="Arial;sans-serif"/>
                <w:b w:val="false"/>
                <w:color w:val="000000"/>
                <w:sz w:val="8"/>
              </w:rPr>
              <w:t>(7)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2"/>
              </w:rPr>
            </w:pPr>
            <w:r>
              <w:rPr>
                <w:rFonts w:ascii="Arial;sans-serif" w:hAnsi="Arial;sans-serif"/>
                <w:b/>
                <w:color w:val="000000"/>
                <w:sz w:val="12"/>
              </w:rPr>
              <w:t>Total</w:t>
            </w:r>
          </w:p>
        </w:tc>
      </w:tr>
      <w:tr>
        <w:trPr/>
        <w:tc>
          <w:tcPr>
            <w:tcW w:w="82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12"/>
              </w:rPr>
            </w:pPr>
            <w:r>
              <w:rPr>
                <w:rFonts w:ascii="Arial;sans-serif" w:hAnsi="Arial;sans-serif"/>
                <w:b/>
                <w:color w:val="000000"/>
                <w:sz w:val="12"/>
              </w:rPr>
              <w:t>Peter A. Weinberg,</w:t>
            </w:r>
          </w:p>
          <w:p>
            <w:pPr>
              <w:pStyle w:val="TableContents"/>
              <w:spacing w:lineRule="auto" w:line="240" w:before="0" w:after="0"/>
              <w:jc w:val="left"/>
              <w:rPr>
                <w:rFonts w:ascii="Arial;sans-serif" w:hAnsi="Arial;sans-serif"/>
                <w:b w:val="false"/>
                <w:i/>
                <w:color w:val="000000"/>
                <w:sz w:val="12"/>
              </w:rPr>
            </w:pPr>
            <w:r>
              <w:rPr>
                <w:rFonts w:ascii="Arial;sans-serif" w:hAnsi="Arial;sans-serif"/>
                <w:b w:val="false"/>
                <w:i/>
                <w:color w:val="000000"/>
                <w:sz w:val="12"/>
              </w:rPr>
              <w:t>Chairman and 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2,690,250 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3,555,680 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3,555,680 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6,756,430 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15,698,000 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26,298,703 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31,521,501 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57,820,204 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10,500 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74,028,704 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12"/>
              </w:rPr>
            </w:pPr>
            <w:r>
              <w:rPr>
                <w:rFonts w:ascii="Arial;sans-serif" w:hAnsi="Arial;sans-serif"/>
                <w:b/>
                <w:color w:val="000000"/>
                <w:sz w:val="12"/>
              </w:rPr>
              <w:t>Dietrich Becker,</w:t>
            </w:r>
          </w:p>
          <w:p>
            <w:pPr>
              <w:pStyle w:val="TableContents"/>
              <w:spacing w:lineRule="auto" w:line="240" w:before="0" w:after="0"/>
              <w:jc w:val="left"/>
              <w:rPr/>
            </w:pPr>
            <w:r>
              <w:rPr>
                <w:rFonts w:ascii="Arial;sans-serif" w:hAnsi="Arial;sans-serif"/>
                <w:b w:val="false"/>
                <w:i/>
                <w:color w:val="000000"/>
                <w:sz w:val="12"/>
              </w:rPr>
              <w:t>Co-President</w:t>
            </w:r>
            <w:r>
              <w:rPr>
                <w:rFonts w:ascii="Arial;sans-serif" w:hAnsi="Arial;sans-serif"/>
                <w:b w:val="false"/>
                <w:color w:val="000000"/>
                <w:sz w:val="8"/>
              </w:rPr>
              <w:t>(8)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474,434 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2,542,440 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2,800,055 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2,800,055 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18,977 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5,835,906 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529,480 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12,466,103 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20,396,958 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22,447,130 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42,844,088 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21,179 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55,860,850 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color w:val="000000"/>
                <w:sz w:val="12"/>
              </w:rPr>
            </w:pPr>
            <w:r>
              <w:rPr>
                <w:rFonts w:ascii="Arial;sans-serif" w:hAnsi="Arial;sans-serif"/>
                <w:b/>
                <w:color w:val="000000"/>
                <w:sz w:val="12"/>
              </w:rPr>
              <w:t>Andrew Bednar,</w:t>
            </w:r>
          </w:p>
          <w:p>
            <w:pPr>
              <w:pStyle w:val="TableContents"/>
              <w:spacing w:lineRule="auto" w:line="240" w:before="0" w:after="0"/>
              <w:jc w:val="left"/>
              <w:rPr>
                <w:rFonts w:ascii="Arial;sans-serif" w:hAnsi="Arial;sans-serif"/>
                <w:b w:val="false"/>
                <w:i/>
                <w:color w:val="000000"/>
                <w:sz w:val="12"/>
              </w:rPr>
            </w:pPr>
            <w:r>
              <w:rPr>
                <w:rFonts w:ascii="Arial;sans-serif" w:hAnsi="Arial;sans-serif"/>
                <w:b w:val="false"/>
                <w:i/>
                <w:color w:val="000000"/>
                <w:sz w:val="12"/>
              </w:rPr>
              <w:t>Co-President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2,527,750 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2,807,505 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2,807,505 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10,500 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5,845,755 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6"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12,498,000 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18,584,975 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22,447,130 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41,032,105 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10,500 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54,040,605 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hanging="360"/>
        <w:rPr>
          <w:rFonts w:ascii="Arial;sans-serif" w:hAnsi="Arial;sans-serif"/>
          <w:b w:val="false"/>
          <w:color w:val="000000"/>
          <w:sz w:val="12"/>
        </w:rPr>
      </w:pPr>
      <w:r>
        <w:rPr>
          <w:rFonts w:ascii="Arial;sans-serif" w:hAnsi="Arial;sans-serif"/>
          <w:b w:val="false"/>
          <w:color w:val="000000"/>
          <w:sz w:val="12"/>
        </w:rPr>
        <w:t>(1)Amounts shown in this column reflect the annual base salary earned by each of our NEOs during the applicable calendar year.</w:t>
      </w:r>
    </w:p>
    <w:p>
      <w:pPr>
        <w:pStyle w:val="TextBody"/>
        <w:spacing w:lineRule="auto" w:line="288" w:before="0" w:after="0"/>
        <w:ind w:left="0" w:right="0" w:hanging="360"/>
        <w:jc w:val="both"/>
        <w:rPr>
          <w:rFonts w:ascii="Arial;sans-serif" w:hAnsi="Arial;sans-serif"/>
          <w:b w:val="false"/>
          <w:color w:val="000000"/>
          <w:sz w:val="12"/>
          <w:highlight w:val="white"/>
        </w:rPr>
      </w:pPr>
      <w:r>
        <w:rPr>
          <w:rFonts w:ascii="Arial;sans-serif" w:hAnsi="Arial;sans-serif"/>
          <w:b w:val="false"/>
          <w:color w:val="000000"/>
          <w:sz w:val="12"/>
          <w:highlight w:val="white"/>
        </w:rPr>
        <w:t>(2)Amounts shown in this column represent the cash bonuses paid to or earned by each of our NEOs in respect of performance during the applicable calendar year. In accordance with SEC rules, the entire cash portion of our annual incentive bonuses for each of 2021 and 2022 performance is reported in the “Cash Bonus” column of the Summary Compensation Table for the applicable year. Our annual incentive bonuses for 2021 and 2022 were paid partly in cash and partly in RSUs granted under the Perella Weinberg Partners 2021 Omnibus Incentive Plan (the “Incentive Plan”), as described in greater detail in the section entitled “—Executive Compensation Elements—Annual Incentive Bonuses” below.</w:t>
      </w:r>
    </w:p>
    <w:p>
      <w:pPr>
        <w:pStyle w:val="TextBody"/>
        <w:spacing w:lineRule="auto" w:line="268" w:before="0" w:after="0"/>
        <w:ind w:left="0" w:right="0" w:hanging="360"/>
        <w:jc w:val="both"/>
        <w:rPr>
          <w:rFonts w:ascii="Arial;sans-serif" w:hAnsi="Arial;sans-serif"/>
          <w:b w:val="false"/>
          <w:color w:val="000000"/>
          <w:sz w:val="12"/>
        </w:rPr>
      </w:pPr>
      <w:r>
        <w:rPr>
          <w:rFonts w:ascii="Arial;sans-serif" w:hAnsi="Arial;sans-serif"/>
          <w:b w:val="false"/>
          <w:color w:val="000000"/>
          <w:sz w:val="12"/>
        </w:rPr>
        <w:t xml:space="preserve">(3)For 2021, as previously reported, amounts shown in this column represent the fair value, calculated in accordance with FASB ASC Topic 718, of equity in Professional Partners delivered to our NEOs in connection with the reorganization of Professional Partners in June 2021 prior to the Business Combination (which have no economic impact on PWP or PWP OpCo), pursuant to which their legacy equity in Professional Partners was cancelled and replaced with a combination of original capital units (“OCUs”), which are fully vested, and value capital units (“VCUs”) and alignment capital units (“ACUs”), which are subject to vesting conditions as set forth below. Such amounts represent receipt by Mr. Weinberg of 1,980,324 VCUs and ACUs, by Mr. Becker of 1,535,916 VCUs and ACUs, and by Mr. Bednar of 1,399,471 VCUs and ACUs, and are based on the closing price of PWP Class A common stock on the date of grant of $13.28 per share. The cancellation of approximately 50% of our NEO’s legacy equity in Professional Partners (which had been fully vested) and the replacement of such equity with a combination of retained OCUs and new grants of VCUs and ACUs in connection with the reorganization of Professional Partners is described in greater detail in the section entitled “—Executive Compensation Elements —Reorganization of Professional Partners” below. </w:t>
      </w:r>
    </w:p>
    <w:p>
      <w:pPr>
        <w:pStyle w:val="TextBody"/>
        <w:spacing w:lineRule="auto" w:line="268" w:before="0" w:after="0"/>
        <w:ind w:left="0" w:right="0" w:hanging="360"/>
        <w:jc w:val="both"/>
        <w:rPr>
          <w:rFonts w:ascii="Arial;sans-serif" w:hAnsi="Arial;sans-serif"/>
          <w:b w:val="false"/>
          <w:color w:val="000000"/>
          <w:sz w:val="12"/>
        </w:rPr>
      </w:pPr>
      <w:r>
        <w:rPr>
          <w:rFonts w:ascii="Arial;sans-serif" w:hAnsi="Arial;sans-serif"/>
          <w:b w:val="false"/>
          <w:color w:val="000000"/>
          <w:sz w:val="12"/>
        </w:rPr>
        <w:t xml:space="preserve">(4)Amounts shown in this column represent the grant date fair value, calculated in accordance with FASB ASC Topic 718, of the performance-based RSUs (the “Long-Term Incentive Awards”) granted to each of our NEOs in August 2021 in connection with the Business Combination, which are subject to vesting conditions as set forth below. The Long-Term Incentive Awards granted to our NEOs are described in greater detail in the section entitled “—Executive Compensation Elements—Long-Term Incentive Awards” below. These values have been increased from the amounts reflected in the 2021 proxy materials due to an immaterial change in certain valuation inputs. In connection with his appointment as our Chief Executive Officer effective as of January 1, 2023, Mr. Bednar received an additional grant of performance-based RSUs with similar time- and performance-based vesting terms as the Long-Term Incentive Awards in the first quarter of 2023 that will be included in the "Long-Term Incentive Awards" column of the Summary Compensation Table for 2023. </w:t>
      </w:r>
    </w:p>
    <w:p>
      <w:pPr>
        <w:pStyle w:val="TextBody"/>
        <w:spacing w:lineRule="auto" w:line="268" w:before="0" w:after="0"/>
        <w:ind w:left="0" w:right="0" w:hanging="360"/>
        <w:jc w:val="both"/>
        <w:rPr/>
      </w:pPr>
      <w:r>
        <w:rPr>
          <w:rFonts w:ascii="Arial;sans-serif" w:hAnsi="Arial;sans-serif"/>
          <w:b w:val="false"/>
          <w:color w:val="000000"/>
          <w:sz w:val="12"/>
          <w:highlight w:val="white"/>
        </w:rPr>
        <w:t>(5)</w:t>
      </w:r>
      <w:r>
        <w:rPr>
          <w:rFonts w:ascii="Arial;sans-serif" w:hAnsi="Arial;sans-serif"/>
          <w:b w:val="false"/>
          <w:color w:val="000000"/>
          <w:sz w:val="12"/>
        </w:rPr>
        <w:t xml:space="preserve">Amounts shown in this column represent the grant date fair value, calculated in accordance with FASB ASC Topic 718, of the </w:t>
      </w:r>
      <w:r>
        <w:rPr>
          <w:rFonts w:ascii="Arial;sans-serif" w:hAnsi="Arial;sans-serif"/>
          <w:b w:val="false"/>
          <w:color w:val="000000"/>
          <w:sz w:val="12"/>
          <w:highlight w:val="white"/>
        </w:rPr>
        <w:t xml:space="preserve">equity-based portion of our annual incentive bonuses </w:t>
      </w:r>
      <w:r>
        <w:rPr>
          <w:rFonts w:ascii="Arial;sans-serif" w:hAnsi="Arial;sans-serif"/>
          <w:b w:val="false"/>
          <w:color w:val="000000"/>
          <w:sz w:val="12"/>
        </w:rPr>
        <w:t xml:space="preserve">(the "Equity Bonus Awards") granted to each of our NEOs for 2021 performance. </w:t>
      </w:r>
      <w:r>
        <w:rPr>
          <w:rFonts w:ascii="Arial;sans-serif" w:hAnsi="Arial;sans-serif"/>
          <w:b w:val="false"/>
          <w:color w:val="000000"/>
          <w:sz w:val="12"/>
          <w:highlight w:val="white"/>
        </w:rPr>
        <w:t xml:space="preserve">The Equity Bonus Awards for 2021 performance were granted in the first quarter of 2022 on the tenth trading day after our earnings release for the year ended December 31, 2021. The amounts set forth in the "Equity Bonus Awards" column with respect to the Equity Bonus Awards granted to each of our NEOs for 2021 performance are based on the closing price of PWP Class A common stock on the date of grant of $9.96 per share. The Equity Bonus Awards for 2022 performance were granted in the first quarter of 2023 on the tenth trading day after our earnings release for the year ended December 31, 2022, and in accordance with SEC rules, the grant date fair value of such awards will not be reported in the “Equity Bonus Awards” column of the Summary Compensation Table for 2022 but will instead be included in the “Equity Bonus Awards” column of the Summary Compensation Table for 2023. The </w:t>
      </w:r>
      <w:r>
        <w:rPr>
          <w:rFonts w:ascii="Arial;sans-serif" w:hAnsi="Arial;sans-serif"/>
          <w:b w:val="false"/>
          <w:color w:val="000000"/>
          <w:sz w:val="12"/>
        </w:rPr>
        <w:t xml:space="preserve">Equity Bonus Awards are service-based RSUs that vest in equal installments over three years, subject generally to continued employment on each vesting date. </w:t>
      </w:r>
    </w:p>
    <w:p>
      <w:pPr>
        <w:pStyle w:val="TextBody"/>
        <w:spacing w:lineRule="auto" w:line="240" w:before="0" w:after="1"/>
        <w:ind w:left="0" w:right="0" w:hanging="360"/>
        <w:jc w:val="both"/>
        <w:rPr>
          <w:rFonts w:ascii="Arial;sans-serif" w:hAnsi="Arial;sans-serif"/>
          <w:b w:val="false"/>
          <w:color w:val="000000"/>
          <w:sz w:val="12"/>
        </w:rPr>
      </w:pPr>
      <w:r>
        <w:rPr>
          <w:rFonts w:ascii="Arial;sans-serif" w:hAnsi="Arial;sans-serif"/>
          <w:b w:val="false"/>
          <w:color w:val="000000"/>
          <w:sz w:val="12"/>
        </w:rPr>
        <w:t>(6)Amounts shown in this column represent the sum of the values set forth in the “Professional Partners Equity,” “Long-Term Incentive Awards” and "Equity Bonus Awards" columns. For the beneficial ownership of shares of the Company's common stock for each of Messrs. Weinberg, Becker and Bednar, see the section entitled "Stock Ownership of Certain Beneficial Owners and Management" below. For a summary of the assumptions used in the valuation of the reorganization-based equity and Long-Term Incentive Awards and Equity Bonus Awards, please see Note 13 “Equity-Based Compensation” to the consolidated financial statements in our 2022 Form 10-K.</w:t>
      </w:r>
    </w:p>
    <w:p>
      <w:pPr>
        <w:pStyle w:val="TextBody"/>
        <w:spacing w:lineRule="auto" w:line="288" w:before="0" w:after="0"/>
        <w:ind w:left="0" w:right="0" w:hanging="360"/>
        <w:jc w:val="both"/>
        <w:rPr>
          <w:rFonts w:ascii="Arial;sans-serif" w:hAnsi="Arial;sans-serif"/>
          <w:b w:val="false"/>
          <w:color w:val="000000"/>
          <w:sz w:val="12"/>
        </w:rPr>
      </w:pPr>
      <w:r>
        <w:rPr>
          <w:rFonts w:ascii="Arial;sans-serif" w:hAnsi="Arial;sans-serif"/>
          <w:b w:val="false"/>
          <w:color w:val="000000"/>
          <w:sz w:val="12"/>
        </w:rPr>
        <w:t>(7)Amounts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“—Executive Compensation Elements—Retirement Arrangements” below.</w:t>
      </w:r>
    </w:p>
    <w:p>
      <w:pPr>
        <w:pStyle w:val="TextBody"/>
        <w:spacing w:lineRule="auto" w:line="288" w:before="0" w:after="100"/>
        <w:ind w:left="0" w:right="0" w:hanging="360"/>
        <w:jc w:val="both"/>
        <w:rPr>
          <w:rFonts w:ascii="Arial;sans-serif" w:hAnsi="Arial;sans-serif"/>
          <w:b w:val="false"/>
          <w:color w:val="000000"/>
          <w:sz w:val="12"/>
        </w:rPr>
      </w:pPr>
      <w:r>
        <w:rPr>
          <w:rFonts w:ascii="Arial;sans-serif" w:hAnsi="Arial;sans-serif"/>
          <w:b w:val="false"/>
          <w:color w:val="000000"/>
          <w:sz w:val="12"/>
        </w:rPr>
        <w:t>(8)Amounts shown in this table for Mr. Becker, other than in the "Professional Partners Equity," "Long-Term incentive Awards," "Equity Bonus Awards" and “Total Stock Awards” columns, have been converted from pounds sterling to U.S. dollars using the exchange rates of approximately $1.38 and $1.23 for 2021 and 2022, respectively.</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310"/>
                <wp:effectExtent l="0" t="0" r="0" b="0"/>
                <wp:wrapNone/>
                <wp:docPr id="26" name="Frame23"/>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lineRule="auto" w:line="288" w:before="240" w:after="180"/>
        <w:rPr>
          <w:rFonts w:ascii="Arial;sans-serif" w:hAnsi="Arial;sans-serif"/>
          <w:b/>
          <w:color w:val="000000"/>
          <w:sz w:val="20"/>
        </w:rPr>
      </w:pPr>
      <w:r>
        <w:rPr>
          <w:rFonts w:ascii="Arial;sans-serif" w:hAnsi="Arial;sans-serif"/>
          <w:b/>
          <w:color w:val="000000"/>
          <w:sz w:val="20"/>
        </w:rPr>
        <w:t>Executive Compensation Elements</w:t>
      </w:r>
    </w:p>
    <w:p>
      <w:pPr>
        <w:pStyle w:val="TextBody"/>
        <w:spacing w:lineRule="auto" w:line="288" w:before="2" w:after="2"/>
        <w:ind w:left="0" w:right="0" w:firstLine="360"/>
        <w:jc w:val="both"/>
        <w:rPr>
          <w:rFonts w:ascii="Arial;sans-serif" w:hAnsi="Arial;sans-serif"/>
          <w:b w:val="false"/>
          <w:color w:val="000000"/>
          <w:sz w:val="20"/>
        </w:rPr>
      </w:pPr>
      <w:r>
        <w:rPr>
          <w:rFonts w:ascii="Arial;sans-serif" w:hAnsi="Arial;sans-serif"/>
          <w:b w:val="false"/>
          <w:color w:val="000000"/>
          <w:sz w:val="20"/>
        </w:rPr>
        <w:t>Each of our NEOs was provided with the following material elements of compensation in 2022 and 2021:</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Base Salary</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provide an annual base salary of $500,000 to each of our NEOs. Consistent with the practice in our industry, base salaries for our NEOs generally comprise a small portion of their total annual compensation. </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Annual Incentive Bonuses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Annual incentive bonuses are the key component of our short-term executive compensation strategy. We did not set specific performance targets upon which annual incentive bonuses would become payable for the applicable year. Instead, the annual incentive bonuses payable to our NEOs in respect of the applicable year are discretionary in amount and are based on a performance evaluation conducted by our compensation committee in consultation with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is consistent with industry practice and as such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2022 and 2021.</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For 2022, the annual incentive bonuses were payable partly in cash and partly in RSUs granted under the Incentive Plan. In February 2023, Messrs. Weinberg, Becker and Bednar received the cash portion of the annual incentive bonuses for 2022. The equity-based portion of the annual incentive bonuses for 2022 was granted in the first quarter of 2023 on the tenth trading day after our earnings release for the year ended December 31, 2022.</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For 2021, the annual incentive bonuses were payable partly in cash and partly in RSUs granted under the Incentive Plan. In December 2021, Messrs. Weinberg, Becker and Bednar received $6.5 million, $3.3 million and $3.3 million, respectively, of the cash portion of their annual incentive bonuses for 2021, subject to their repayment of such amounts upon the occurrence of certain conditions prior to the payment date of the remainder of the cash portion of the annual incentive bonuses in February 2022. Upon the payment date of the remainder of the cash portion of the annual incentive bonuses in February 2022, a portion of the annual incentive bonus became subject to repayment upon the occurrence of certain conditions related to their separation from the Company during a two-year period beginning on the date of such payment. The equity-based portion of their annual incentive bonuses for 2021 was granted in the first quarter of 2022 on the tenth trading day after our earnings release for the year ended December 31, 2021.</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Retirement Arrangements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PWP maintains a 401(k) retirement savings plan for U.S. employees (including Messrs. Weinberg and Bednar) and provides an employer safe harbor non-elective contribution and an employer discretionary contribution to eligible participants. Limited partners of Professional Partners (including Messrs. Weinberg and Bednar) are eligible for the employer safe harbor non-elective contribution and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310"/>
                <wp:effectExtent l="0" t="0" r="0" b="0"/>
                <wp:wrapNone/>
                <wp:docPr id="27" name="Frame24"/>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Employee Benefits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Executive Employment Agreements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entered into employment agreements with each of Messrs. Weinberg, Becker and Bednar, pursuant to which they each continue to serve as our executive officers in their current positions following the closing of the Business Combination. The employment agreements were approved by our compensation committee and amended effective as of January 1, 2023 to reflect the changes in position described above.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employment agreements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also provide for certain grants of equity awards pursuant to the Incentive Plan in the form of Long-Term Incentive Awards, as described in “—Long-Term Incentive Awards” below, and, for Mr. Bednar, in connection with his appointment as our Chief Executive Officer effective as of January 1, 2023, an additional grant of performance-based RSUs subject to similar time- and performance-based vesting terms as the Long-Term Incentive Awards described in “Long Term Incentive Awards” below that was granted in the first quarter of 2023 and will be included in the “Long Term Incentive Awards” column of the Summary Compensation Table for 2023. Either party is permitted to terminate the applicable employment agreement at any time by providing 90 days’ advance written notice; provided that a NEO’s employment may be terminated immediately in the event of a termination for cause.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Each employment agreement incorporates by reference the restrictive covenants applicable to the NEO, including the restrictive covenants set forth in the limited partnership agreement of Professional Partners (as amended, restated, modified or supplemented from time to time, the "Professionals LP Agreement"), as described in “—Reorganization of Professional Partners” below.</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310"/>
                <wp:effectExtent l="0" t="0" r="0" b="0"/>
                <wp:wrapNone/>
                <wp:docPr id="28" name="Frame25"/>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Long-Term Incentive Awards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closing of the Business Combination and in respect of their ongoing participation in the leadership and management of PWP following the closing of the Business Combination, Messrs. Weinberg, Becker and Bednar, as well as a small number of other partners as recommended by Mr. Weinberg in consultation with the compensation committee, received grants in the aggregate amount of 9.5 million Long-Term Incentive Awards in August 2021. The Long-Term Incentive Awards are subject to the achievement of two types of vesting conditions, both of which must be satisfied for the awards to vest: (i) time-based vesting conditions that will be satisfied in two installments on the third and fifth anniversaries of the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 Subject to such linear interpolation, the performance-based vesting conditions will be deemed to be satisfied with respect to 30% of the award at the $15 closing stock price, 65% of the award at the $20 closing stock price, 82.5% of the award at the $25 closing stock price, and 100% of the award at the $30 closing stock price. Once any closing stock price is achieved, such closing stock price will be deemed to be irrevocably satisfied even if the price per share declines thereafter.</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Reorganization of Professional Partners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Limited partners' capital interests in Professional Partners, to the extent attributable to our advisory business (including such capital interests held by PWP’s NEOs) are comprised of (a) OCUs equivalent to approximately 50% of Professional Partners’ share of PWP OpCo, which are owned by all limited partners of Professional Partners who were holding capital as of December 31, 2019, pro-rata in accordance with their capital interests as of December 31, 2019, as adjusted for accretion and/or dilution through the closing of the Business Combination, and/or (b) VCUs, which are owned by certain Partners (subject to an approximately three to five-year vesting period) to the extent of capital interests accrued through the closing of the Business Combination that exceed the value of the OCUs, but subject to a cap intended to give effect to each applicable Partner’s intended ending target ownership ratio. In addition, Professional Partners issued ACUs to certain Partners, including certain of PWP’s NEOs, in a manner intended to give effect to each applicable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(including for PWP's NEOs) will be recorded as equity-based compensation expense at PWP OpCo for accounting purposes, though they will have no economic impact on investors in PWP or PWP OpCo.</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310"/>
                <wp:effectExtent l="0" t="0" r="0" b="0"/>
                <wp:wrapNone/>
                <wp:docPr id="29" name="Frame26"/>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will accrete to all limited partners of Professional Partners. Subject to applicable law and the terms of the Professionals LP Agreement, the general partner of Professional Partners will cause distributions that Professional Partners receives from PWP OpCo to be distributed to the limited partners pro-rata in accordance with such limited partners’ respective ownership of each class of Professional Partners units, including any VCUs and ACUs.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Subject to the redemption procedures and restrictions set forth in the Professionals LP Agreement,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LP Agreement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PWP for such shares in such offering), with the form of consideration determined by PWP.</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Subject to certain exceptions, Professional Partners units held by working Partners are generally subject to a lock-up of approximately three to five years, which may be reinstated or extended for a period of 12 months following such working Partner’s resignation without good reason. For Mr. Perella and certain other working Partners who are retirement-eligible (as well as certain limited partners of Professional Partners who are employed by PWP Capital Holdings), Professional Partners units are generally subject to a lock-up of approximately one to five years and are not be subject to reinstatement or extension of such lock-up following their resignation. No lock-up period for any Partner is expected to extend beyond the five-year anniversary of the closing of the Business Combination. The lock-up generally restricts the sale, pledge, grant of any option, short sale or other disposition of any partnership units with respect to our advisory business, and the entrance into any hedging, swap or other agreement or transaction related to such partnership units. The general partner of Professional Partners and PWP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Certain Partners are subject to certain restrictive covenants set forth in the Professionals LP Agreement,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Holdings or PWP OpCo, and their respective subsidiaries and successors and assigns or (y) one year with respect to any limited partner, investor, prospective limited partner or investor of investment funds sponsored by a PWP Entity (as defined below),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310"/>
                <wp:effectExtent l="0" t="0" r="0" b="0"/>
                <wp:wrapNone/>
                <wp:docPr id="30" name="Frame27"/>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lineRule="auto" w:line="288" w:before="200" w:after="200"/>
        <w:rPr>
          <w:rFonts w:ascii="Arial;sans-serif" w:hAnsi="Arial;sans-serif"/>
          <w:b/>
          <w:color w:val="000000"/>
          <w:sz w:val="20"/>
        </w:rPr>
      </w:pPr>
      <w:r>
        <w:rPr>
          <w:rFonts w:ascii="Arial;sans-serif" w:hAnsi="Arial;sans-serif"/>
          <w:b/>
          <w:color w:val="000000"/>
          <w:sz w:val="20"/>
        </w:rPr>
        <w:t>Outstanding Equity Awards at Fiscal Year End for 2022</w:t>
      </w:r>
    </w:p>
    <w:p>
      <w:pPr>
        <w:pStyle w:val="TextBody"/>
        <w:spacing w:lineRule="auto" w:line="288" w:before="200" w:after="200"/>
        <w:ind w:left="0" w:right="0" w:firstLine="360"/>
        <w:rPr>
          <w:rFonts w:ascii="Arial;sans-serif" w:hAnsi="Arial;sans-serif"/>
          <w:b w:val="false"/>
          <w:color w:val="000000"/>
          <w:sz w:val="20"/>
        </w:rPr>
      </w:pPr>
      <w:r>
        <w:rPr>
          <w:rFonts w:ascii="Arial;sans-serif" w:hAnsi="Arial;sans-serif"/>
          <w:b w:val="false"/>
          <w:color w:val="000000"/>
          <w:sz w:val="20"/>
        </w:rPr>
        <w:t>The following table summarizes the outstanding equity-based awards held by each of our NEOs as of December 31, 2022:</w:t>
      </w:r>
    </w:p>
    <w:tbl>
      <w:tblPr>
        <w:tblW w:w="10205" w:type="dxa"/>
        <w:jc w:val="left"/>
        <w:tblInd w:w="0" w:type="dxa"/>
        <w:tblCellMar>
          <w:top w:w="28" w:type="dxa"/>
          <w:left w:w="28" w:type="dxa"/>
          <w:bottom w:w="28" w:type="dxa"/>
          <w:right w:w="28" w:type="dxa"/>
        </w:tblCellMar>
      </w:tblPr>
      <w:tblGrid>
        <w:gridCol w:w="504"/>
        <w:gridCol w:w="441"/>
        <w:gridCol w:w="447"/>
        <w:gridCol w:w="109"/>
        <w:gridCol w:w="109"/>
        <w:gridCol w:w="109"/>
        <w:gridCol w:w="1420"/>
        <w:gridCol w:w="1232"/>
        <w:gridCol w:w="1236"/>
        <w:gridCol w:w="109"/>
        <w:gridCol w:w="109"/>
        <w:gridCol w:w="109"/>
        <w:gridCol w:w="603"/>
        <w:gridCol w:w="3223"/>
        <w:gridCol w:w="445"/>
      </w:tblGrid>
      <w:tr>
        <w:trPr/>
        <w:tc>
          <w:tcPr>
            <w:tcW w:w="504"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322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Stock Awards</w:t>
            </w:r>
          </w:p>
        </w:tc>
      </w:tr>
      <w:tr>
        <w:trPr/>
        <w:tc>
          <w:tcPr>
            <w:tcW w:w="1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20"/>
              </w:rPr>
              <w:t xml:space="preserve">Number of Shares or Units of Stock That Have Not Vested </w:t>
            </w:r>
            <w:r>
              <w:rPr>
                <w:rFonts w:ascii="Arial;sans-serif" w:hAnsi="Arial;sans-serif"/>
                <w:b w:val="false"/>
                <w:color w:val="000000"/>
                <w:sz w:val="13"/>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20"/>
              </w:rPr>
              <w:t xml:space="preserve">Market Value of Shares or Units of Stock That Have Not Vested </w:t>
            </w:r>
            <w:r>
              <w:rPr>
                <w:rFonts w:ascii="Arial;sans-serif" w:hAnsi="Arial;sans-serif"/>
                <w:b w:val="false"/>
                <w:color w:val="000000"/>
                <w:sz w:val="13"/>
              </w:rPr>
              <w:t>(2)</w:t>
            </w:r>
          </w:p>
        </w:tc>
      </w:tr>
      <w:tr>
        <w:trPr/>
        <w:tc>
          <w:tcPr>
            <w:tcW w:w="13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Peter A. Weinberg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5,637,320 </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55,245,736 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Dietrich Becker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4,167,046 </w:t>
            </w:r>
          </w:p>
        </w:tc>
        <w:tc>
          <w:tcPr>
            <w:tcW w:w="1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w:t>
            </w:r>
          </w:p>
        </w:tc>
        <w:tc>
          <w:tcPr>
            <w:tcW w:w="3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40,837,046 </w:t>
            </w:r>
          </w:p>
        </w:tc>
        <w:tc>
          <w:tcPr>
            <w:tcW w:w="4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Andrew Bednar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4,031,349 </w:t>
            </w:r>
          </w:p>
        </w:tc>
        <w:tc>
          <w:tcPr>
            <w:tcW w:w="1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w:t>
            </w:r>
          </w:p>
        </w:tc>
        <w:tc>
          <w:tcPr>
            <w:tcW w:w="3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39,507,220 </w:t>
            </w:r>
          </w:p>
        </w:tc>
        <w:tc>
          <w:tcPr>
            <w:tcW w:w="4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pPr>
      <w:r>
        <w:rPr>
          <w:rFonts w:ascii="Arial;sans-serif" w:hAnsi="Arial;sans-serif"/>
          <w:b w:val="false"/>
          <w:color w:val="000000"/>
          <w:sz w:val="16"/>
        </w:rPr>
        <w:t xml:space="preserve">(1)Represents (i) Long-Term Incentive Awards that are subject to the achievement of two types of vesting conditions, both of which must be satisfied for the awards to vest: (x) time-based vesting conditions that will be satisfied in two installments on the third and fifth anniversaries of the August 31, 2021 grant date, subject to continued employment (for Messrs. Bednar and Becker, including continued service as co-presidents of PWP, or any equivalent or more senior executive officer roles with PWP, as mutually agreed by the parties) on each vesting date; </w:t>
      </w:r>
      <w:r>
        <w:rPr>
          <w:rFonts w:ascii="Arial;sans-serif" w:hAnsi="Arial;sans-serif"/>
          <w:b w:val="false"/>
          <w:i/>
          <w:color w:val="000000"/>
          <w:sz w:val="16"/>
        </w:rPr>
        <w:t>provided</w:t>
      </w:r>
      <w:r>
        <w:rPr>
          <w:color w:val="000000"/>
        </w:rPr>
        <w:t xml:space="preserve"> </w:t>
      </w:r>
      <w:r>
        <w:rPr>
          <w:rFonts w:ascii="Arial;sans-serif" w:hAnsi="Arial;sans-serif"/>
          <w:b w:val="false"/>
          <w:color w:val="000000"/>
          <w:sz w:val="16"/>
        </w:rPr>
        <w:t>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 (ii) service-based RSUs granted in respect of the equity-based portion of our annual incentive bonuses for 2021 performance that are generally subject to a service-based vesting schedule over a three-year period following the date of grant and (iii) VCUs and ACUs that are generally subject to a service-based vesting schedule over a three to five-year period following the closing of the Business Combination. The vesting of VCUs and ACUs will be recorded as equity-based compensation expense at PWP OpCo for accounting purposes, though they will have no economic impact on investors in PWP or PWP OpCo. The amounts shown do not include OCUs, which are fully-vested.</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(2)The market value of the service-based RSUs shown is based on the closing stock price per share of our Class A common stock on December 31, 2022 ($9.80). The market value of the Long-Term Incentive Awards is based on the number of shares of our Class A common stock that our NEOs would earn as a result of the Long-Term Incentive Awards assuming attainment of 100% of the performance-based vesting conditions during the performance period and the closing price of our Class A common stock on December 31, 2022. The market value of the VCUs and ACUs is also shown based on the closing price of our Class A common stock on December 31, 2022, as units in Professional Partners, once vested, are ultimately exchangeable into shares of our Class A common stock on a one-for-one basis, described in greater detail in the section entitled “—Executive Compensation Elements —Reorganization of Professional Partners” above.</w:t>
      </w:r>
    </w:p>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(3)Represents (i) 356,996 service-based RSUs, (ii) 3,300,000 Long-Term Incentive Awards and (iii) 1,980,324 VCUs and ACUs.</w:t>
      </w:r>
    </w:p>
    <w:p>
      <w:pPr>
        <w:pStyle w:val="TextBody"/>
        <w:spacing w:lineRule="auto" w:line="288" w:before="0" w:after="0"/>
        <w:ind w:left="0" w:right="0" w:hanging="360"/>
        <w:rPr>
          <w:rFonts w:ascii="Arial;sans-serif" w:hAnsi="Arial;sans-serif"/>
          <w:b w:val="false"/>
          <w:color w:val="000000"/>
          <w:sz w:val="16"/>
        </w:rPr>
      </w:pPr>
      <w:r>
        <w:rPr>
          <w:rFonts w:ascii="Arial;sans-serif" w:hAnsi="Arial;sans-serif"/>
          <w:b w:val="false"/>
          <w:color w:val="000000"/>
          <w:sz w:val="16"/>
        </w:rPr>
        <w:t>(4)Represents (i) 281,130 service-based RSUs, (ii) 2,350,000 Long-Term Incentive Awards and (iii) 1,535,916 VCUs and ACUs.</w:t>
      </w:r>
    </w:p>
    <w:p>
      <w:pPr>
        <w:pStyle w:val="TextBody"/>
        <w:spacing w:lineRule="auto" w:line="288" w:before="0" w:after="100"/>
        <w:ind w:left="0" w:right="0" w:hanging="360"/>
        <w:rPr>
          <w:rFonts w:ascii="Arial;sans-serif" w:hAnsi="Arial;sans-serif"/>
          <w:b w:val="false"/>
          <w:color w:val="000000"/>
          <w:sz w:val="16"/>
        </w:rPr>
      </w:pPr>
      <w:r>
        <w:rPr>
          <w:rFonts w:ascii="Arial;sans-serif" w:hAnsi="Arial;sans-serif"/>
          <w:b w:val="false"/>
          <w:color w:val="000000"/>
          <w:sz w:val="16"/>
        </w:rPr>
        <w:t>(5)Represents (i) 281,878 service-based RSUs, (ii) 2,350,000 Long-Term Incentive Awards and (iii) 1,399,471 VCUs and ACUs.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310"/>
                <wp:effectExtent l="0" t="0" r="0" b="0"/>
                <wp:wrapNone/>
                <wp:docPr id="31" name="Frame28"/>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Potential Payments Upon Termination or Change in Control</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Long-Term Incentive Awards are subject to the achievement of time-based and performance-based vesting conditions, both of which must be satisfied for the awards to vest. Upon a termination of employment without cause or resignation for good reason, a pro-rata portion of the Long-Term Incentive Awards will be deemed to have satisfied the time-based vesting conditions, subject to a 50% floor, and will remain outstanding subject to the achievement of the performance-based vesting conditions. Upon a termination of employment due to death or disability, the same treatment will apply except that the Long-Term Incentive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time-based vesting conditions. Upon a termination without cause or resignation for good reason within 24 months following a change in control, any remaining time-based vesting conditions will be deemed to be fully satisfied. For Messrs. Bednar and Becker, if the executive’s role as co-president (or any equivalent or more senior executive officer role, as mutually agreed by the parties) is terminated by the Company without cause but the executive otherwise remains in continuous employment as a working Partner, the Long-Term Incentive Awards will remain outstanding subject to the achievement of the applicable time-based and performance-based vesting conditions based on the executive’s continued employment as a working Partner. If the executive resigns as co-president (or any equivalent or more senior executive officer role, as mutually agreed by the parties) but otherwise remains in continuous employment as a working Partner, then only a pro-rata portion of the Long-Term Incentive Awards will remain outstanding and eligible to vest subject to the achievement of the applicable time-based and performance-based vesting conditions based on the executive’s continued employment as a working Partner.</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Service-based RSUs held by our NEOs generally vest in equal installments on each of the first three anniversaries of the grant date. Upon a termination due to death or disability, any unvested service based RSUs will immediately vest. Upon a termination without cause or resignation for good reason, any unvested service based RSUs will remain outstanding and eligible to be delivered on the regular vesting dates, subject to continued compliance with the applicable restrictive covenants. Upon a qualifying retirement, which may occur upon resignation after having reached age 56 with at least five years of service (provided that total age plus years of service must equal at least 65 years of age), any unvested service based RSUs will remain outstanding and eligible to be delivered on the regular vesting dates, subject to continued compliance with the applicable restrictive covenants. Upon a termination without cause or resignation for good reason within 24 months following a change in control, all unvested service-based RSUs will immediately vest.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Each class of partnership units of Professional Partners held by our NEOs are subject to forfeiture provisions as a result of certain terminations of service or breaches of restrictive covenants. VCUs and ACUs are subject to an approximately three to five-year vesting period following the closing of the Business Combination.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OCUs are fully-vested.</w:t>
      </w:r>
    </w:p>
    <w:p>
      <w:pPr>
        <w:pStyle w:val="TextBody"/>
        <w:spacing w:lineRule="auto" w:line="288" w:before="200" w:after="200"/>
        <w:rPr>
          <w:rFonts w:ascii="Arial;sans-serif" w:hAnsi="Arial;sans-serif"/>
          <w:b/>
          <w:color w:val="000000"/>
          <w:sz w:val="20"/>
        </w:rPr>
      </w:pPr>
      <w:r>
        <w:rPr>
          <w:rFonts w:ascii="Arial;sans-serif" w:hAnsi="Arial;sans-serif"/>
          <w:b/>
          <w:color w:val="000000"/>
          <w:sz w:val="20"/>
        </w:rPr>
        <w:t>Anti-Hedging Policy</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insider trading policy prohibits our directors and employees, including executive officers, from hedging or otherwise engaging in transactions that hedge or offset, or are designed to hedge or offset, any decrease in the market value of Company securities</w:t>
      </w:r>
    </w:p>
    <w:p>
      <w:pPr>
        <w:pStyle w:val="TextBody"/>
        <w:spacing w:before="200" w:after="200"/>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310"/>
                <wp:effectExtent l="0" t="0" r="0" b="0"/>
                <wp:wrapNone/>
                <wp:docPr id="32" name="Frame29"/>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lineRule="auto" w:line="288" w:before="0" w:after="200"/>
        <w:rPr>
          <w:rFonts w:ascii="Arial;sans-serif" w:hAnsi="Arial;sans-serif"/>
          <w:b/>
          <w:color w:val="000000"/>
          <w:sz w:val="20"/>
        </w:rPr>
      </w:pPr>
      <w:r>
        <w:rPr>
          <w:rFonts w:ascii="Arial;sans-serif" w:hAnsi="Arial;sans-serif"/>
          <w:b/>
          <w:color w:val="000000"/>
          <w:sz w:val="20"/>
        </w:rPr>
        <w:t>Equity Compensation Plan Information</w:t>
      </w:r>
    </w:p>
    <w:p>
      <w:pPr>
        <w:pStyle w:val="TextBody"/>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certain information about securities authorized for issuance under the Incentive Plan as of December 31, 2022:</w:t>
      </w:r>
    </w:p>
    <w:tbl>
      <w:tblPr>
        <w:tblW w:w="10205" w:type="dxa"/>
        <w:jc w:val="left"/>
        <w:tblInd w:w="0" w:type="dxa"/>
        <w:tblCellMar>
          <w:top w:w="28" w:type="dxa"/>
          <w:left w:w="28" w:type="dxa"/>
          <w:bottom w:w="28" w:type="dxa"/>
          <w:right w:w="28" w:type="dxa"/>
        </w:tblCellMar>
      </w:tblPr>
      <w:tblGrid>
        <w:gridCol w:w="680"/>
        <w:gridCol w:w="595"/>
        <w:gridCol w:w="601"/>
        <w:gridCol w:w="109"/>
        <w:gridCol w:w="109"/>
        <w:gridCol w:w="109"/>
        <w:gridCol w:w="694"/>
        <w:gridCol w:w="694"/>
        <w:gridCol w:w="696"/>
        <w:gridCol w:w="109"/>
        <w:gridCol w:w="109"/>
        <w:gridCol w:w="109"/>
        <w:gridCol w:w="795"/>
        <w:gridCol w:w="795"/>
        <w:gridCol w:w="797"/>
        <w:gridCol w:w="109"/>
        <w:gridCol w:w="109"/>
        <w:gridCol w:w="109"/>
        <w:gridCol w:w="841"/>
        <w:gridCol w:w="841"/>
        <w:gridCol w:w="1195"/>
      </w:tblGrid>
      <w:tr>
        <w:trPr/>
        <w:tc>
          <w:tcPr>
            <w:tcW w:w="680"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8"/>
              </w:rPr>
              <w:t>Number of Securities to be Issued Upon Exercise of Outstanding Options, Warrants and Rights</w:t>
              <w:br/>
              <w:t>(a)</w:t>
            </w:r>
            <w:r>
              <w:rPr>
                <w:rFonts w:ascii="Arial;sans-serif" w:hAnsi="Arial;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Weighted-Average Exercise Price of Outstanding Options, Warrants and Rights</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Number of Securities Remaining Available for Future Issuance Under Equity Compensation Plans (Excluding Securities Reflected in Column(a))</w:t>
            </w:r>
          </w:p>
          <w:p>
            <w:pPr>
              <w:pStyle w:val="TableContents"/>
              <w:spacing w:lineRule="auto" w:line="240" w:before="0" w:after="0"/>
              <w:jc w:val="center"/>
              <w:rPr>
                <w:rFonts w:ascii="Arial;sans-serif" w:hAnsi="Arial;sans-serif"/>
                <w:b/>
                <w:color w:val="000000"/>
                <w:sz w:val="18"/>
              </w:rPr>
            </w:pPr>
            <w:r>
              <w:rPr>
                <w:rFonts w:ascii="Arial;sans-serif" w:hAnsi="Arial;sans-serif"/>
                <w:b/>
                <w:color w:val="000000"/>
                <w:sz w:val="18"/>
              </w:rPr>
              <w:t>(c)</w:t>
            </w:r>
          </w:p>
        </w:tc>
      </w:tr>
      <w:tr>
        <w:trPr/>
        <w:tc>
          <w:tcPr>
            <w:tcW w:w="18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Equity compensation plans approved by security 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2021 Omnibus Incentive Plan</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21,810,500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7,733,628</w:t>
            </w:r>
          </w:p>
        </w:tc>
      </w:tr>
      <w:tr>
        <w:trPr/>
        <w:tc>
          <w:tcPr>
            <w:tcW w:w="18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Equity compensation plans not approved by security 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8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21,810,500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7"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7"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7,733,628</w:t>
            </w:r>
          </w:p>
        </w:tc>
      </w:tr>
    </w:tbl>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(1)Pursuant to the Incentive Plan, the maximum number of shares of Class A common stock reserved for issuance pursuant to the General Share Reserve under the Incentive Plan that may be issued at any time during the term of the Incentive Plan is 13,980,000, as increased on the first day of each fiscal year of the Company beginning in calendar year 2022 by the number of shares of Class A common stock equal to the excess, if any, of (i) 15% of the number of outstanding shares of Class A common stock and the outstanding units of PWP OpCo that are exchangeable for shares of Class A common stock, in each case, on the last day of the immediately preceding fiscal year, over (ii) the number of shares of Class A common stock reserved and available for issuance in respect to future grants of awards under the Incentive Plan as of the last day of the immediately preceding fiscal year. In addition, the Transaction Pool Share Reserve under the Incentive Plan was comprised of 10,200,000 shares of Class A common stock, reserved for issuance through the one-year anniversary of the Business Combination, of which approximately 7,000,000 shares were granted subject solely to a time-based vesting schedule, and approximately 3,200,000 shares were granted subject to a time-based and performance-based vesting schedule. As a sub-plan under the Incentive Plan, the French Sub-Plan under the Incentive Plan does not contain a separate share reserve, and any awards granted under the French Sub-Plan will reduce the number of shares available for issuance under the Incentive Plan. </w:t>
      </w:r>
    </w:p>
    <w:p>
      <w:pPr>
        <w:pStyle w:val="TextBody"/>
        <w:spacing w:lineRule="auto" w:line="288" w:before="0" w:after="100"/>
        <w:ind w:left="0" w:right="0" w:hanging="360"/>
        <w:jc w:val="both"/>
        <w:rPr>
          <w:rFonts w:ascii="Arial;sans-serif" w:hAnsi="Arial;sans-serif"/>
          <w:b w:val="false"/>
          <w:color w:val="000000"/>
          <w:sz w:val="16"/>
        </w:rPr>
      </w:pPr>
      <w:r>
        <w:rPr>
          <w:rFonts w:ascii="Arial;sans-serif" w:hAnsi="Arial;sans-serif"/>
          <w:b w:val="false"/>
          <w:color w:val="000000"/>
          <w:sz w:val="16"/>
        </w:rPr>
        <w:t>(2)Represents service-based vesting RSUs and a service-based vesting and performance-based vesting RSUs granted pursuant to the General Share Reserve and the Transaction Pool Share Reserve under the Incentive Plan, including the French Sub-Plan under the Incentive Plan. The weighted-average exercise price reported in column (b) of the table is blank because the RSUs do not have an exercise price.</w:t>
      </w:r>
    </w:p>
    <w:p>
      <w:pPr>
        <w:pStyle w:val="TextBody"/>
        <w:spacing w:before="2" w:after="2"/>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310"/>
                <wp:effectExtent l="0" t="0" r="0" b="0"/>
                <wp:wrapNone/>
                <wp:docPr id="33" name="Frame30"/>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lineRule="auto" w:line="288" w:before="240" w:after="2"/>
        <w:jc w:val="center"/>
        <w:rPr>
          <w:rFonts w:ascii="Arial;sans-serif" w:hAnsi="Arial;sans-serif"/>
          <w:b/>
          <w:color w:val="000000"/>
          <w:sz w:val="20"/>
        </w:rPr>
      </w:pPr>
      <w:r>
        <w:rPr>
          <w:rFonts w:ascii="Arial;sans-serif" w:hAnsi="Arial;sans-serif"/>
          <w:b/>
          <w:color w:val="000000"/>
          <w:sz w:val="20"/>
        </w:rPr>
        <w:t>STOCK OWNERSHIP OF CERTAIN BENEFICIAL OWNERS AND MANAGEMENT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information known to the Company regarding the beneficial ownership of shares of the Company’s common stock as of March 31, 2023, by:</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each person who is known to be the beneficial owner of more than 5% of any class of the Company’s outstanding common stock;</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each of the Company’s named executive officers, directors and director nominees; and</w:t>
      </w:r>
    </w:p>
    <w:p>
      <w:pPr>
        <w:pStyle w:val="TextBody"/>
        <w:spacing w:lineRule="auto" w:line="288" w:before="240" w:after="283"/>
        <w:ind w:left="0" w:right="0" w:hanging="360"/>
        <w:jc w:val="both"/>
        <w:rPr/>
      </w:pPr>
      <w:r>
        <w:rPr>
          <w:color w:val="000000"/>
        </w:rPr>
        <w:t>•</w:t>
      </w:r>
      <w:r>
        <w:rPr>
          <w:rFonts w:ascii="Arial;sans-serif" w:hAnsi="Arial;sans-serif"/>
          <w:b w:val="false"/>
          <w:color w:val="000000"/>
          <w:sz w:val="20"/>
        </w:rPr>
        <w:t>all executive officers and directors as a group.</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beneficial ownership of the Company common stock below is based on 42,423,520 shares of Class A common stock, 41,813,971 shares of Class B-1 common stock and 1,964,044 shares of Class B-2 common stock issued and outstanding as of March 31, 2023.</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310"/>
                <wp:effectExtent l="0" t="0" r="0" b="0"/>
                <wp:wrapNone/>
                <wp:docPr id="34" name="Frame31"/>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162"/>
        <w:gridCol w:w="688"/>
        <w:gridCol w:w="693"/>
        <w:gridCol w:w="109"/>
        <w:gridCol w:w="109"/>
        <w:gridCol w:w="109"/>
        <w:gridCol w:w="356"/>
        <w:gridCol w:w="249"/>
        <w:gridCol w:w="250"/>
        <w:gridCol w:w="126"/>
        <w:gridCol w:w="126"/>
        <w:gridCol w:w="126"/>
        <w:gridCol w:w="169"/>
        <w:gridCol w:w="169"/>
        <w:gridCol w:w="154"/>
        <w:gridCol w:w="109"/>
        <w:gridCol w:w="109"/>
        <w:gridCol w:w="109"/>
        <w:gridCol w:w="369"/>
        <w:gridCol w:w="315"/>
        <w:gridCol w:w="250"/>
        <w:gridCol w:w="142"/>
        <w:gridCol w:w="130"/>
        <w:gridCol w:w="130"/>
        <w:gridCol w:w="142"/>
        <w:gridCol w:w="130"/>
        <w:gridCol w:w="130"/>
        <w:gridCol w:w="115"/>
        <w:gridCol w:w="115"/>
        <w:gridCol w:w="116"/>
        <w:gridCol w:w="356"/>
        <w:gridCol w:w="249"/>
        <w:gridCol w:w="250"/>
        <w:gridCol w:w="142"/>
        <w:gridCol w:w="130"/>
        <w:gridCol w:w="130"/>
        <w:gridCol w:w="177"/>
        <w:gridCol w:w="177"/>
        <w:gridCol w:w="138"/>
        <w:gridCol w:w="109"/>
        <w:gridCol w:w="109"/>
        <w:gridCol w:w="109"/>
        <w:gridCol w:w="324"/>
        <w:gridCol w:w="324"/>
        <w:gridCol w:w="475"/>
      </w:tblGrid>
      <w:tr>
        <w:trPr/>
        <w:tc>
          <w:tcPr>
            <w:tcW w:w="116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2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5" w:type="dxa"/>
            <w:gridSpan w:val="3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Class B-1 Common Stock</w:t>
            </w:r>
          </w:p>
        </w:tc>
        <w:tc>
          <w:tcPr>
            <w:tcW w:w="3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Class B-2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 of Combined Voting Power</w:t>
            </w:r>
          </w:p>
        </w:tc>
      </w:tr>
      <w:tr>
        <w:trPr/>
        <w:tc>
          <w:tcPr>
            <w:tcW w:w="2543" w:type="dxa"/>
            <w:gridSpan w:val="3"/>
            <w:tcBorders/>
            <w:shd w:fill="auto" w:val="clear"/>
            <w:tcMar>
              <w:top w:w="0" w:type="dxa"/>
              <w:left w:w="0" w:type="dxa"/>
              <w:bottom w:w="0" w:type="dxa"/>
              <w:right w:w="0" w:type="dxa"/>
            </w:tcMar>
            <w:vAlign w:val="center"/>
          </w:tcPr>
          <w:p>
            <w:pPr>
              <w:pStyle w:val="TableContents"/>
              <w:spacing w:lineRule="auto" w:line="240" w:before="33" w:after="30"/>
              <w:ind w:left="0" w:right="0" w:hanging="180"/>
              <w:jc w:val="both"/>
              <w:rPr/>
            </w:pPr>
            <w:r>
              <w:rPr>
                <w:rFonts w:ascii="Arial;sans-serif" w:hAnsi="Arial;sans-serif"/>
                <w:b/>
                <w:color w:val="000000"/>
                <w:sz w:val="12"/>
              </w:rPr>
              <w:t>Name and Address of Beneficial Owner</w:t>
            </w:r>
            <w:r>
              <w:rPr>
                <w:rFonts w:ascii="Arial;sans-serif" w:hAnsi="Arial;sans-serif"/>
                <w:b/>
                <w:color w:val="000000"/>
                <w:sz w:val="8"/>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Number of Shares</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Number of Shares</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w:t>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Number of Shares</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25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33" w:after="30"/>
              <w:ind w:left="0" w:right="0" w:hanging="180"/>
              <w:jc w:val="both"/>
              <w:rPr>
                <w:rFonts w:ascii="Arial;sans-serif" w:hAnsi="Arial;sans-serif"/>
                <w:b/>
                <w:color w:val="000000"/>
                <w:sz w:val="16"/>
              </w:rPr>
            </w:pPr>
            <w:r>
              <w:rPr>
                <w:rFonts w:ascii="Arial;sans-serif" w:hAnsi="Arial;sans-serif"/>
                <w:b/>
                <w:color w:val="000000"/>
                <w:sz w:val="16"/>
              </w:rPr>
              <w:t>Greater than 5% Beneficial Owners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Fidelity Management &amp; Research Company, LLC(2)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5,358,493</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1.16%</w:t>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Wellington Management Group LLP(3)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4,699,636</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1.02%</w:t>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Westwood Management Corp.(4)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3,888,240</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Adage Capital Advisors, L.L.C.(5)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3,463,837</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BlackRock, Inc.(6)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2,742,205</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Vanguard Group(7)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2,294,826</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Bay Pond Partners, L.P.(8)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2,155,918</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Schroder Investment Management North America Inc.(9)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2,081,259</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PWP Professional Partners 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41,813,971(10)</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90.40%</w:t>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TWCL US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r>
              <w:rPr>
                <w:rFonts w:ascii="Arial;sans-serif" w:hAnsi="Arial;sans-serif"/>
                <w:b w:val="false"/>
                <w:color w:val="000000"/>
                <w:sz w:val="14"/>
              </w:rPr>
              <w:t>(11)</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1,122,264</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 Hook Capital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r>
              <w:rPr>
                <w:rFonts w:ascii="Arial;sans-serif" w:hAnsi="Arial;sans-serif"/>
                <w:b w:val="false"/>
                <w:color w:val="000000"/>
                <w:sz w:val="14"/>
              </w:rPr>
              <w:t>(12)</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841,780</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53" w:after="30"/>
              <w:ind w:left="0" w:right="0" w:hanging="180"/>
              <w:jc w:val="left"/>
              <w:rPr>
                <w:rFonts w:ascii="Arial;sans-serif" w:hAnsi="Arial;sans-serif"/>
                <w:b/>
                <w:color w:val="000000"/>
                <w:sz w:val="16"/>
              </w:rPr>
            </w:pPr>
            <w:r>
              <w:rPr>
                <w:rFonts w:ascii="Arial;sans-serif" w:hAnsi="Arial;sans-serif"/>
                <w:b/>
                <w:color w:val="000000"/>
                <w:sz w:val="16"/>
              </w:rPr>
              <w:t>Named Executive Officers, Directors and Director Nominees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Peter A. Weinberg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61,046(13)</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41,813,971(10)</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841,780</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90.60%</w:t>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Joseph R. Perella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r>
              <w:rPr>
                <w:rFonts w:ascii="Arial;sans-serif" w:hAnsi="Arial;sans-serif"/>
                <w:b w:val="false"/>
                <w:color w:val="000000"/>
                <w:sz w:val="14"/>
              </w:rPr>
              <w:t>(14)</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Robert K. Steel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8,341(15)</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Dietrich Becker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49,666(16)</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Andrew Bednar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45,992(17)</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Jorma Ollila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18,415(18)</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Jane C. Sherburne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20,542(18)</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Elizabeth (Beth) Cogan Fascitelli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15,944(18)</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Kristin W. Mugford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15,944(18)</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14"/>
              </w:rPr>
            </w:pPr>
            <w:r>
              <w:rPr>
                <w:rFonts w:ascii="Arial;sans-serif" w:hAnsi="Arial;sans-serif"/>
                <w:b w:val="false"/>
                <w:color w:val="000000"/>
                <w:sz w:val="14"/>
              </w:rPr>
              <w:t>*</w:t>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company's directors and executive officers as a group (11 persons)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262,599</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41,813,971(10)</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w:t>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841,780</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90.63%</w:t>
            </w:r>
          </w:p>
        </w:tc>
      </w:tr>
    </w:tbl>
    <w:p>
      <w:pPr>
        <w:pStyle w:val="TextBody"/>
        <w:spacing w:lineRule="auto" w:line="333" w:before="0" w:after="18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Less than 1%.</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(1)Unless otherwise noted, the business address of each of the following entities or individuals is 767 Fifth Avenue, New York, New York 10153.</w:t>
      </w:r>
    </w:p>
    <w:p>
      <w:pPr>
        <w:pStyle w:val="TextBody"/>
        <w:spacing w:lineRule="auto" w:line="240"/>
        <w:ind w:left="0" w:right="0" w:hanging="360"/>
        <w:jc w:val="both"/>
        <w:rPr>
          <w:rFonts w:ascii="Arial;sans-serif" w:hAnsi="Arial;sans-serif"/>
          <w:b w:val="false"/>
          <w:color w:val="000000"/>
          <w:sz w:val="16"/>
        </w:rPr>
      </w:pPr>
      <w:r>
        <w:rPr>
          <w:rFonts w:ascii="Arial;sans-serif" w:hAnsi="Arial;sans-serif"/>
          <w:b w:val="false"/>
          <w:color w:val="000000"/>
          <w:sz w:val="16"/>
        </w:rPr>
        <w:t>(2)Based on a Schedule 13G/A filed by FMR LLC with the SEC on February 9, 2023. Reflects the securities beneficially owned, or that may be deemed to be beneficially owned, by FMR LLC, certain of its subsidiaries and affiliates, and other companies (collectively, the “FMR Reporters”) and does not reflect securities, if any, beneficially owned by certain other companies whose beneficial ownership of securities is disaggregated from that of the FMR Reporters in accordance with SEC Release No. 34-39538 (January 12, 1998).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business address of this stockholder is 245 Summer Street, Boston, MA 02210.</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310"/>
                <wp:effectExtent l="0" t="0" r="0" b="0"/>
                <wp:wrapNone/>
                <wp:docPr id="35" name="Frame32"/>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lineRule="auto" w:line="240" w:before="0" w:after="0"/>
        <w:ind w:left="0" w:right="0" w:hanging="360"/>
        <w:jc w:val="both"/>
        <w:rPr>
          <w:rFonts w:ascii="Arial;sans-serif" w:hAnsi="Arial;sans-serif"/>
          <w:b w:val="false"/>
          <w:color w:val="000000"/>
          <w:sz w:val="16"/>
        </w:rPr>
      </w:pPr>
      <w:r>
        <w:rPr>
          <w:rFonts w:ascii="Arial;sans-serif" w:hAnsi="Arial;sans-serif"/>
          <w:b w:val="false"/>
          <w:color w:val="000000"/>
          <w:sz w:val="16"/>
        </w:rPr>
        <w:t>(3)Based on a Schedule 13G/A filed by Wellington Management Group LLP, Wellington Group Holdings LLP, Wellington Investment Advisors Holdings LLP and Wellington Management Company LLP with the SEC on February 6, 2023. (i) Each of Wellington Management Group LLP, Wellington Group Holdings LLP and Wellington Investment Advisors Holdings LLP have shared voting power over 4,233,458 shares of Class A common stock, shared dispositive power over all 4,699,636 shares of Class A common stock, and sole voting and dispositive powers over none of the shares, and (ii) Wellington Management Company LLP has shared voting power over 4,233,458 shares of Class A common stock, shared dispositive power over 4,675,124 shares of Class A common stock, and sole voting and dispositive powers over none of the shares.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office of Wellington Management Group LLP and each of the affiliated funds listed above is c/o Wellington Management Company LLP, 280 Congress Street Boston, MA 02210.</w:t>
      </w:r>
    </w:p>
    <w:p>
      <w:pPr>
        <w:pStyle w:val="TextBody"/>
        <w:spacing w:lineRule="auto" w:line="240" w:before="0" w:after="0"/>
        <w:ind w:left="0" w:right="0" w:hanging="360"/>
        <w:jc w:val="both"/>
        <w:rPr>
          <w:rFonts w:ascii="Arial;sans-serif" w:hAnsi="Arial;sans-serif"/>
          <w:b w:val="false"/>
          <w:color w:val="000000"/>
          <w:sz w:val="16"/>
        </w:rPr>
      </w:pPr>
      <w:r>
        <w:rPr>
          <w:rFonts w:ascii="Arial;sans-serif" w:hAnsi="Arial;sans-serif"/>
          <w:b w:val="false"/>
          <w:color w:val="000000"/>
          <w:sz w:val="16"/>
        </w:rPr>
        <w:t>(4)Based on a Schedule 13G filed by Westwood Management Corp. (“Westwood”) with the SEC on February 25, 2022. Westwood has sole voting power over 3,838,022 of the shares of Class A common stock, shared voting power over 50,218 of the shares of Class A common stock and sole dispositive power over 3,888,240 of the shares of Class A common stock. The address for Westwood is 200 Crescent Court, Suite 1200, Dallas, TX 75201.</w:t>
      </w:r>
    </w:p>
    <w:p>
      <w:pPr>
        <w:pStyle w:val="TextBody"/>
        <w:spacing w:lineRule="auto" w:line="240" w:before="0" w:after="0"/>
        <w:ind w:left="0" w:right="0" w:hanging="360"/>
        <w:jc w:val="both"/>
        <w:rPr>
          <w:rFonts w:ascii="Arial;sans-serif" w:hAnsi="Arial;sans-serif"/>
          <w:b w:val="false"/>
          <w:color w:val="000000"/>
          <w:sz w:val="16"/>
        </w:rPr>
      </w:pPr>
      <w:r>
        <w:rPr>
          <w:rFonts w:ascii="Arial;sans-serif" w:hAnsi="Arial;sans-serif"/>
          <w:b w:val="false"/>
          <w:color w:val="000000"/>
          <w:sz w:val="16"/>
        </w:rPr>
        <w:t>(5)Based on a Schedule 13G/A filed by Adage Capital Partners, L.P., a Delaware limited partnership (“ACP”), Adage Capital Partners GP, L.L.C., a Delaware limited liability company (“ACPGP”), Adage Capital Advisors, L.L.C., a Delaware limited liability company (“AC Advisors”), Robert Atchinson and Phillip Gross with the SEC on February 9, 2023. Each of ACP, ACPGP, AC Advisors, Mr. Atchinson and Mr. Gross has shared voting and shared dispositive power with respect to all of the 3,463,837 of the shares of Class A common stock and sole voting and sole dispositive power with respect to none of the shares of Class A common stock.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but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Class A common stock, but each may be deemed to beneficially own the shares beneficially owned by ACP. The business address of this stockholder is 200 Clarendon Street, 52nd Floor, Boston, MA 02116.</w:t>
      </w:r>
    </w:p>
    <w:p>
      <w:pPr>
        <w:pStyle w:val="TextBody"/>
        <w:spacing w:lineRule="auto" w:line="240" w:before="0" w:after="0"/>
        <w:ind w:left="0" w:right="0" w:hanging="360"/>
        <w:jc w:val="both"/>
        <w:rPr>
          <w:rFonts w:ascii="Arial;sans-serif" w:hAnsi="Arial;sans-serif"/>
          <w:b w:val="false"/>
          <w:color w:val="000000"/>
          <w:sz w:val="16"/>
        </w:rPr>
      </w:pPr>
      <w:r>
        <w:rPr>
          <w:rFonts w:ascii="Arial;sans-serif" w:hAnsi="Arial;sans-serif"/>
          <w:b w:val="false"/>
          <w:color w:val="000000"/>
          <w:sz w:val="16"/>
        </w:rPr>
        <w:t>(6)Based on a Schedule 13G filed by BlackRock, Inc. (“BlackRock”) with the SEC on February 3, 2023. BlackRock, as the parent holding company, was the beneficial owner with sole voting power with respect to 2,697,491 of the shares of Class A common stock, sole dispositive power with respect to 2,742,205 of the shares of Class A common stock and shared voting and shared dispositive power with respect to none of the shares of Class A common stock. The address for BlackRock is 55 East 52nd Street, New York, NY 10055.</w:t>
      </w:r>
    </w:p>
    <w:p>
      <w:pPr>
        <w:pStyle w:val="TextBody"/>
        <w:spacing w:lineRule="auto" w:line="240" w:before="0" w:after="0"/>
        <w:ind w:left="0" w:right="0" w:hanging="360"/>
        <w:jc w:val="both"/>
        <w:rPr>
          <w:rFonts w:ascii="Arial;sans-serif" w:hAnsi="Arial;sans-serif"/>
          <w:b w:val="false"/>
          <w:color w:val="000000"/>
          <w:sz w:val="16"/>
        </w:rPr>
      </w:pPr>
      <w:r>
        <w:rPr>
          <w:rFonts w:ascii="Arial;sans-serif" w:hAnsi="Arial;sans-serif"/>
          <w:b w:val="false"/>
          <w:color w:val="000000"/>
          <w:sz w:val="16"/>
        </w:rPr>
        <w:t>(7)Based on a Schedule 13G filed by The Vanguard Group (“Vanguard”) with the SEC on February 9, 2023. Vanguard has sole voting power with respect to none of the shares of Class A common stock, shared voting power with respect to 62,154 of the shares of Class A common stock, sole dispositive power with respect to 2,193,177 of the shares of Class A common stock and shared dispositive power with respect to 101,649 shares of Class A common stock. The address for Vanguard is 100 Vanguard Blvd., Malvern, PA 19355.</w:t>
      </w:r>
    </w:p>
    <w:p>
      <w:pPr>
        <w:pStyle w:val="TextBody"/>
        <w:spacing w:lineRule="auto" w:line="240" w:before="0" w:after="0"/>
        <w:ind w:left="0" w:right="0" w:hanging="360"/>
        <w:jc w:val="both"/>
        <w:rPr>
          <w:rFonts w:ascii="Arial;sans-serif" w:hAnsi="Arial;sans-serif"/>
          <w:b w:val="false"/>
          <w:color w:val="000000"/>
          <w:sz w:val="16"/>
        </w:rPr>
      </w:pPr>
      <w:r>
        <w:rPr>
          <w:rFonts w:ascii="Arial;sans-serif" w:hAnsi="Arial;sans-serif"/>
          <w:b w:val="false"/>
          <w:color w:val="000000"/>
          <w:sz w:val="16"/>
        </w:rPr>
        <w:t>(8)Based on a Schedule 13G/A filed by Bay Pond Partners, L.P. (“Bay Pond”) with the SEC on February 6, 2023. Bay Pond has shared voting power and shared dispositive power with respect to all of the shares of Class A common stock. The address for Bay Pond is c/o Wellington Management Company LLP, 280 Congress Street, Boston, MA 02210.</w:t>
      </w:r>
    </w:p>
    <w:p>
      <w:pPr>
        <w:pStyle w:val="TextBody"/>
        <w:spacing w:lineRule="auto" w:line="240" w:before="0" w:after="0"/>
        <w:ind w:left="0" w:right="0" w:hanging="360"/>
        <w:jc w:val="both"/>
        <w:rPr>
          <w:rFonts w:ascii="Arial;sans-serif" w:hAnsi="Arial;sans-serif"/>
          <w:b w:val="false"/>
          <w:color w:val="000000"/>
          <w:sz w:val="16"/>
        </w:rPr>
      </w:pPr>
      <w:r>
        <w:rPr>
          <w:rFonts w:ascii="Arial;sans-serif" w:hAnsi="Arial;sans-serif"/>
          <w:b w:val="false"/>
          <w:color w:val="000000"/>
          <w:sz w:val="16"/>
        </w:rPr>
        <w:t>(9)Based on a Schedule 13G filed by Schroder Investment Management North America Inc. (“Schroder”) with the SEC on February 10, 2023. Schroder has sole voting power and sole dispositive power over all of the shares of Class A common stock. Schroder is a registered investment adviser with its respective home country regulator. Schroder is located in the United States at 7 Bryant Park, 19th Floor, New York, NY 10018.</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(10)Shares of Class B-1 common stock are held by Professional Partners. This number correlates to 41.8 million PWP OpCo Class A partnership units held by Professional Partners, which represents 41.8 million shares of Class A common stock that may be issuable upon the exchange of 41.8 million PWP OpCo Class A partnership units. Professional Partners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 Professional Partners. Mr. Weinberg, in his capacity as Chairman,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(11)This number excludes 1,122,264 shares of our Class A common stock that may be issuable upon redemption of the 1,122,264 PWP OpCo Class A partnership units held by TWCL US Inc.</w:t>
      </w:r>
    </w:p>
    <w:p>
      <w:pPr>
        <w:pStyle w:val="TextBody"/>
        <w:spacing w:lineRule="auto" w:line="288"/>
        <w:ind w:left="0" w:right="0" w:hanging="360"/>
        <w:jc w:val="both"/>
        <w:rPr>
          <w:rFonts w:ascii="Arial;sans-serif" w:hAnsi="Arial;sans-serif"/>
          <w:b w:val="false"/>
          <w:color w:val="000000"/>
          <w:sz w:val="16"/>
        </w:rPr>
      </w:pPr>
      <w:r>
        <w:rPr>
          <w:rFonts w:ascii="Arial;sans-serif" w:hAnsi="Arial;sans-serif"/>
          <w:b w:val="false"/>
          <w:color w:val="000000"/>
          <w:sz w:val="16"/>
        </w:rPr>
        <w:t>(12)This number excludes 841,780 shares of our Class A common stock that may be issuable upon redemption of the 841,780 PWP OpCo Class A partnership units held by Red Hook Capital LLC.</w:t>
      </w:r>
      <w:r>
        <w:br w:type="page"/>
      </w:r>
    </w:p>
    <w:p>
      <w:pPr>
        <w:pStyle w:val="TextBody"/>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310"/>
                <wp:effectExtent l="0" t="0" r="0" b="0"/>
                <wp:wrapNone/>
                <wp:docPr id="36" name="Frame33"/>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(13)This number excludes 841,780 shares of our Class A common stock that may be issuable upon redemption of the 841,780 PWP OpCo Class A partnership units that are held directly by Red Hook Capital LLC (“Red Hook”)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PWP OpCo Class A partnership units that are held by Professional Partners on behalf of Peter A. Weinberg and exchanged for 1,412,623 shares of our Class A common stock. These shares of our Class A common stock represent approximately 2.2%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Weinberg would hold on a fully-vested basis, 3,408,134 partnership units of Professional Partners that may be redeemed for 3,408,134 PWP OpCo Class A partnership units that are held by Professional Partners on behalf of Mr. Weinberg and exchanged for 3,408,134 shares of our Class A common stock. These shares of our Class A common stock represent approximately 4.0%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(14)This number excludes 4,072,113 shares of our Class A common stock that may be issuable upon the exchange of 4,072,113 PWP OpCo Class A partnership units that are held by Professional Partners on behalf of Joseph R. Perella that Mr. Perella may receive upon redemption of 4,072,113 partnership units of Professional Partners that Mr. Perella holds or will hold upon on a fully-vested basis within sixty (60) days. These shares of our Class A common stock represent approximately 6.5%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on a fully-vested basis, 4,072,113 partnership units of Professional Partners that may be redeemed for 4,072,113 PWP OpCo Class A partnership units that are held by Professional Partners on behalf of Mr. Perella and exchanged for 4,072,113 shares of our Class A common stock. These shares of our Class A common stock represent approximately 4.7%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(15)This number excludes 708,889 shares of our Class A common stock that may be issuable upon the exchange of 708,889 PWP OpCo Class A partnership units that are held by Professional Partners on behalf of Robert K. Steel that Mr. Steel may receive upon redemption of 708,889 partnership units of Professional Partners that Mr. Steel holds or will hold upon on a fully-vested basis within sixty (60) days. These shares of our Class A common stock represent approximately 1.1%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on a fully-vested basis, 973,753 partnership units of Professional Partners that may be redeemed for 973,753 PWP OpCo Class A partnership units that are held by Professional Partners on behalf of Mr. Steel and exchanged for 973,753 shares of our Class A common stock. These shares of our Class A common stock represent approximately 1.1%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pStyle w:val="TextBody"/>
        <w:spacing w:lineRule="auto" w:line="288"/>
        <w:ind w:left="0" w:right="0" w:hanging="360"/>
        <w:jc w:val="both"/>
        <w:rPr>
          <w:rFonts w:ascii="Arial;sans-serif" w:hAnsi="Arial;sans-serif"/>
          <w:b w:val="false"/>
          <w:color w:val="000000"/>
          <w:sz w:val="16"/>
        </w:rPr>
      </w:pPr>
      <w:r>
        <w:rPr>
          <w:rFonts w:ascii="Arial;sans-serif" w:hAnsi="Arial;sans-serif"/>
          <w:b w:val="false"/>
          <w:color w:val="000000"/>
          <w:sz w:val="16"/>
        </w:rPr>
        <w:t>(16)This number excludes 769,608 shares of our Class A common stock that may be issuable upon the exchange of 769,608 PWP OpCo Class A partnership units that are held by Professional Partners on behalf of Dietrich Becker that Mr. Becker may receive upon redemption of 769,608 partnership units of Professional Partners that Mr. Becker holds or will hold upon on a fully-vested basis within sixty (60) days. These shares of our Class A common stock represent approximately 1.2%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on a fully-vested basis, 2,312,662 partnership units of Professional Partners that may be redeemed for 2,312,662 PWP OpCo Class A partnership units that are held by Professional Partners on behalf of Mr. Becker and exchanged for 2,312,662 shares of our Class A common stock. These shares of our Class A common stock represent approximately 2.7%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r>
        <w:br w:type="page"/>
      </w:r>
    </w:p>
    <w:p>
      <w:pPr>
        <w:pStyle w:val="TextBody"/>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310"/>
                <wp:effectExtent l="0" t="0" r="0" b="0"/>
                <wp:wrapNone/>
                <wp:docPr id="37" name="Frame34"/>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(17)This number excludes 906,243 shares of our Class A common stock that may be issuable upon the exchange of 906,243 PWP OpCo Class A partnership units that are held by Professional Partners on behalf of Andrew Bednar that Mr. Bednar may receive upon redemption of 906,243 partnership units of Professional Partners that Mr. Bednar holds or will hold upon on a fully-vested basis within sixty (60) days. These shares of our Class A common stock represent approximately 1.4%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on a fully-vested basis, 2,312,662 partnership units of Professional Partners that may be redeemed for 2,312,662 PWP OpCo Class A partnership units that are held by Professional Partners on behalf of Mr. Bednar and exchanged for 2,312,662 shares of our Class A common stock. These shares of our Class A common stock represent approximately 2.7%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(18)Includes shares that may be acquired within 60 days of March 31, 2023, upon vesting of shares underlying RSUs.</w:t>
      </w:r>
    </w:p>
    <w:p>
      <w:pPr>
        <w:pStyle w:val="TextBody"/>
        <w:spacing w:before="0" w:after="0"/>
        <w:jc w:val="both"/>
        <w:rPr/>
      </w:pPr>
      <w:r>
        <w:rPr/>
      </w:r>
    </w:p>
    <w:p>
      <w:pPr>
        <w:pStyle w:val="TextBody"/>
        <w:spacing w:before="0" w:after="0"/>
        <w:rPr/>
      </w:pPr>
      <w:r>
        <w:rPr/>
      </w:r>
    </w:p>
    <w:p>
      <w:pPr>
        <w:pStyle w:val="TextBody"/>
        <w:spacing w:before="2" w:after="2"/>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310"/>
                <wp:effectExtent l="0" t="0" r="0" b="0"/>
                <wp:wrapNone/>
                <wp:docPr id="38" name="Frame35"/>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lineRule="auto" w:line="288" w:before="240" w:after="2"/>
        <w:jc w:val="center"/>
        <w:rPr>
          <w:rFonts w:ascii="Arial;sans-serif" w:hAnsi="Arial;sans-serif"/>
          <w:b/>
          <w:color w:val="000000"/>
          <w:sz w:val="20"/>
        </w:rPr>
      </w:pPr>
      <w:r>
        <w:rPr>
          <w:rFonts w:ascii="Arial;sans-serif" w:hAnsi="Arial;sans-serif"/>
          <w:b/>
          <w:color w:val="000000"/>
          <w:sz w:val="20"/>
        </w:rPr>
        <w:t>DELINQUENT SECTION 16(A) REPORTS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Section 16(a) of the Securities Exchange Act of 1934, as amended, requires the Company’s directors and executive officers and persons who own more than 10% of a registered class of the Company’s equity securities (“Reporting Persons”)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To our knowledge, based solely on review of the copies of such reports and any amendments thereto furnished to us during or with respect to our most recent fiscal year, all Section 16(a) filing requirements applicable to the Reporting Persons were satisfied, except that a Form 4 was not filed on a timely basis for: Kristin W. Mugford with respect to the grant of RSUs on May 24, 2022 (which was filed by the Company on Ms. Mugford's behalf).</w:t>
      </w:r>
    </w:p>
    <w:p>
      <w:pPr>
        <w:pStyle w:val="TextBody"/>
        <w:spacing w:before="200" w:after="200"/>
        <w:rPr/>
      </w:pPr>
      <w:r>
        <w:rPr/>
      </w:r>
    </w:p>
    <w:p>
      <w:pPr>
        <w:pStyle w:val="TextBody"/>
        <w:spacing w:before="200" w:after="200"/>
        <w:rPr/>
      </w:pPr>
      <w:r>
        <w:rPr/>
      </w:r>
    </w:p>
    <w:p>
      <w:pPr>
        <w:pStyle w:val="TextBody"/>
        <w:spacing w:before="200" w:after="200"/>
        <w:rPr/>
      </w:pPr>
      <w:r>
        <w:rPr/>
      </w:r>
    </w:p>
    <w:p>
      <w:pPr>
        <w:pStyle w:val="TextBody"/>
        <w:spacing w:before="0" w:after="0"/>
        <w:rPr/>
      </w:pPr>
      <w:r>
        <w:rPr/>
      </w:r>
    </w:p>
    <w:p>
      <w:pPr>
        <w:pStyle w:val="TextBody"/>
        <w:spacing w:before="2" w:after="2"/>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310"/>
                <wp:effectExtent l="0" t="0" r="0" b="0"/>
                <wp:wrapNone/>
                <wp:docPr id="39" name="Frame36"/>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lineRule="auto" w:line="288" w:before="240" w:after="2"/>
        <w:jc w:val="center"/>
        <w:rPr>
          <w:rFonts w:ascii="Arial;sans-serif" w:hAnsi="Arial;sans-serif"/>
          <w:b/>
          <w:color w:val="000000"/>
          <w:sz w:val="20"/>
        </w:rPr>
      </w:pPr>
      <w:r>
        <w:rPr>
          <w:rFonts w:ascii="Arial;sans-serif" w:hAnsi="Arial;sans-serif"/>
          <w:b/>
          <w:color w:val="000000"/>
          <w:sz w:val="20"/>
        </w:rPr>
        <w:t>CERTAIN RELATIONSHIPS AND RELATED PERSON TRANSACTIONS</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Policy and Procedures for Related Person Transactions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 </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FTIV Related Party Transactions</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Registration Rights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FTIV’s initial stockholders were entitled to registration rights pursuant to a registration rights agreement (the "Registration Rights Agreement”), which was amended and restated in connection with the Business Combination. The Amended and Restated Registration Rights Agreement grants the Registration Rights Agreement parties certain registration rights with respect to their registrable securities. For additional information, see “—PWP Related Party Transactions—Amended and Restated Registration Rights Agreement” below.</w:t>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Stockholders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Business Combination, certain individuals entered into the Stockholders Agreement. For additional information, see “—PWP Related Party Transactions —Right of Professional Partners and Stockholders Agreement” below.</w:t>
      </w:r>
      <w:r>
        <w:br w:type="page"/>
      </w:r>
    </w:p>
    <w:p>
      <w:pPr>
        <w:pStyle w:val="TextBody"/>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310"/>
                <wp:effectExtent l="0" t="0" r="0" b="0"/>
                <wp:wrapNone/>
                <wp:docPr id="40" name="Frame37"/>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Support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Concurrently with the execution of the Business Combination agreement (the “Business Combination Agreement”), FTIV entered into a support agreement (the “Support Agreement”) with (i) FinTech Investor Holdings IV, LLC (the “Sponsor”), (ii) PWP OpCo, PWP GP, Professional Partners, Professionals GP (together, the “PWP Entities” and individually, a “PWP Entity”), and (iii) the equity holders of the PWP Entities (together with Sponsor and the PWP Entities, “Voting Parties”),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 (C) the reorganization of Professional Partners,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Subscription Agreements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Concurrently with the execution of the Business Combination Agreement, we entered into subscription agreements with the PIPE investors (the “Subscription Agreements”),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shares of Class A common stock issued in connection with the Subscription Agreements were not registered under the Securities Act of 1933 (the "Securities Act"), and were issued in reliance on the exemption from registration requirements thereof provided by Section 4(a)(2) of the Securities Act and/or Regulation D promulgated thereunder.</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Subscription Agreements for the non-Sponsor PIPE investors, and other than the subscribing Perella Weinberg Partners executives, provide for certain registration rights. In particular, we were required to, as soon as practicable but no later than 30 calendar days following the closing date of the Business Combination file with the SEC (at our sole cost and expense) a registration statement registering the resale of such shares, and use our commercially reasonable efforts to have such registration statement declared effective as soon as practicable after the filing thereof. We filed the registration statement on July 15, 2021, which was declared effective on July 26, 2021.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310"/>
                <wp:effectExtent l="0" t="0" r="0" b="0"/>
                <wp:wrapNone/>
                <wp:docPr id="41" name="Frame38"/>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Sponsor Share Surrender and Share Restriction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of the Business Combination, forfeited an aggregate of 1,023,333 shares of Class B common stock for no consideration and agreed that the 610,000 Placement Shares of Class A common stock underlying the 610,000 units that were initially issued to the Sponsor in a private placement simultaneously with the closing of the IPO (the "Placement Shares") and 6,846,667 Founder Shares held by it would be subject to transfer restrictions for six months following the closing of the Business Combination, which expired on December 24, 2021, and that 80% of the Founder Shares held by it will be subject to transfer restrictions based on certain closing share price thresholds of our Class A common stock for 20 out of any 30 consecutive trading days, specifically:</w:t>
      </w:r>
    </w:p>
    <w:p>
      <w:pPr>
        <w:pStyle w:val="TextBody"/>
        <w:spacing w:lineRule="auto" w:line="288" w:before="200" w:after="200"/>
        <w:ind w:left="0" w:right="0" w:hanging="360"/>
        <w:jc w:val="both"/>
        <w:rPr/>
      </w:pPr>
      <w:r>
        <w:rPr>
          <w:color w:val="000000"/>
        </w:rPr>
        <w:t>•</w:t>
      </w:r>
      <w:r>
        <w:rPr>
          <w:rFonts w:ascii="Arial;sans-serif" w:hAnsi="Arial;sans-serif"/>
          <w:b w:val="false"/>
          <w:color w:val="000000"/>
          <w:sz w:val="20"/>
        </w:rPr>
        <w:t>610,000 Placement Shares and 1,369,334 Founder Shares were not transferable or salable until the date that is the six-month anniversary of the closing of the Business Combination, or December 24, 2021 (the “6-Month Anniversary”);</w:t>
      </w:r>
    </w:p>
    <w:p>
      <w:pPr>
        <w:pStyle w:val="TextBody"/>
        <w:spacing w:lineRule="auto" w:line="288" w:before="200" w:after="200"/>
        <w:ind w:left="0" w:right="0" w:hanging="360"/>
        <w:jc w:val="both"/>
        <w:rPr/>
      </w:pPr>
      <w:r>
        <w:rPr>
          <w:color w:val="000000"/>
        </w:rPr>
        <w:t>•</w:t>
      </w:r>
      <w:r>
        <w:rPr>
          <w:rFonts w:ascii="Arial;sans-serif" w:hAnsi="Arial;sans-serif"/>
          <w:b w:val="false"/>
          <w:color w:val="000000"/>
          <w:sz w:val="20"/>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pStyle w:val="TextBody"/>
        <w:spacing w:lineRule="auto" w:line="240" w:before="2" w:after="2"/>
        <w:ind w:left="0" w:right="0" w:hanging="360"/>
        <w:jc w:val="both"/>
        <w:rPr/>
      </w:pPr>
      <w:r>
        <w:rPr>
          <w:color w:val="000000"/>
        </w:rPr>
        <w:t>•</w:t>
      </w:r>
      <w:r>
        <w:rPr>
          <w:rFonts w:ascii="Arial;sans-serif" w:hAnsi="Arial;sans-serif"/>
          <w:b w:val="false"/>
          <w:color w:val="000000"/>
          <w:sz w:val="20"/>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pStyle w:val="TextBody"/>
        <w:spacing w:lineRule="auto" w:line="288" w:before="200" w:after="200"/>
        <w:ind w:left="0" w:right="0" w:hanging="360"/>
        <w:jc w:val="both"/>
        <w:rPr/>
      </w:pPr>
      <w:r>
        <w:rPr>
          <w:color w:val="000000"/>
        </w:rPr>
        <w:t>•</w:t>
      </w:r>
      <w:r>
        <w:rPr>
          <w:rFonts w:ascii="Arial;sans-serif" w:hAnsi="Arial;sans-serif"/>
          <w:b w:val="false"/>
          <w:color w:val="000000"/>
          <w:sz w:val="20"/>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pStyle w:val="TextBody"/>
        <w:spacing w:lineRule="auto" w:line="288" w:before="200" w:after="200"/>
        <w:ind w:left="0" w:right="0" w:hanging="360"/>
        <w:jc w:val="both"/>
        <w:rPr/>
      </w:pPr>
      <w:r>
        <w:rPr>
          <w:color w:val="000000"/>
        </w:rPr>
        <w:t>•</w:t>
      </w:r>
      <w:r>
        <w:rPr>
          <w:rFonts w:ascii="Arial;sans-serif" w:hAnsi="Arial;sans-serif"/>
          <w:b w:val="false"/>
          <w:color w:val="000000"/>
          <w:sz w:val="20"/>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As of December 24, 2021, the 6-Month Anniversary, all of the Placement Shares and 3,108,001 of the Founder Shares are no longer subject to the transfer restrictions set forth above.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Sponsor distribution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the $15 Threshold is met. 1,738,680 of the shares distributed in the Sponsor Distribution remain subject to transfer restrictions until the $15 Threshold or the $17 Threshold, as applicable, is met.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pursuant to the Sponsor Share Surrender and Share Restriction Agreement, if, prior to the fourth anniversary of the closing of the Business Combination, the closing share price is greater than $12.00 per share or $15.00 per share for any period of 20 out of 30 consecutive trading days (each a “Trigger Date”), then, during the 15 day period following such Trigger Date, the Company shall have the right to purchase from the Sponsor up to 1,000,000 Founder Shares, in aggregate, per Trigger Date for a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310"/>
                <wp:effectExtent l="0" t="0" r="0" b="0"/>
                <wp:wrapNone/>
                <wp:docPr id="42" name="Frame39"/>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purchase price of $12.00 per share or $15.00 per share, respectively, by providing written notice of such repurchase election to the Sponsor, and such repurchase shall be consummated within five business days after the date of such written notice.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On August 9, 2021, the Company repurchased 1,000,000 Founder Shares at a purchase price of $12.00 per share.</w:t>
      </w:r>
    </w:p>
    <w:p>
      <w:pPr>
        <w:pStyle w:val="TextBody"/>
        <w:spacing w:lineRule="auto" w:line="240" w:before="2" w:after="283"/>
        <w:rPr>
          <w:rFonts w:ascii="Arial;sans-serif" w:hAnsi="Arial;sans-serif"/>
          <w:b/>
          <w:color w:val="000000"/>
          <w:sz w:val="20"/>
        </w:rPr>
      </w:pPr>
      <w:r>
        <w:rPr>
          <w:rFonts w:ascii="Arial;sans-serif" w:hAnsi="Arial;sans-serif"/>
          <w:b/>
          <w:color w:val="000000"/>
          <w:sz w:val="20"/>
        </w:rPr>
        <w:t>PWP Related Party Transactions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Amended and Restated Registration Rights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closing of the Business Combination, we entered into the Amended and Restated Registration Rights Agreement, with the Sponsor, Professional Partners, and the third party investor limited partners of PWP OpCo (other than Professional Partners) (each such limited partner, an “ILP”) under the LP Agreement, pursuant to which the Registration Rights Agreement parties will be entitled to registration rights in respect of certain shares of our Class A common stock, par value $.0001 per share and certain of our other equity securities that are held by the Registration Rights Agreement parties from time to time.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Registration Rights Agreement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Registration Rights Agreement parties, which Shelf Registration Statement became effective on July 26, 2021. On July 7, 2022, we filed a post-effective amendment to the Shelf Registration Statement on Form S-3 for the purpose of converting the prior registration statement on Form S-1 into a registration statement on Form S-3.</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Registration Rights Agreement parties have certain “piggy-back” registration rights, subject to customary underwriter cutbacks, issuer suspension periods and certain other conditions. </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Amended and Restated Registration Rights Agreement includes customary indemnification provisions. The Company bears the expenses incurred in connection with the filing of any registration statements filed pursuant to the terms of the Amended and Restated Registration Rights Agreement, including the fees of one legal counsel to each of the Sponsor, Professional Partners and the ILPs.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310"/>
                <wp:effectExtent l="0" t="0" r="0" b="0"/>
                <wp:wrapNone/>
                <wp:docPr id="43" name="Frame40"/>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Right of Professional Partners and Stockholders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On the closing date of the Business Combination, the Company and Professional Partners entered into a Stockholders Agreement, pursuant to which, for so long as the Class B Condition is satisfied,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 (g) the adoption of a stockholder rights plan by the Company; (h) any removal, change of duty or appointment of any officer of the Company that is, or would be, subject to Section 16 of the Exchange Act; (i) any amendment to the Certificate of Incorporation or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 (q) 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Additionally, for so long as the Secondary Class B Condition is satisfied, Professional Partners will have approval rights over the following actions: (a) any amendment to the Certificate of Incorporation or bylaws of the Company that materially and adversely affects in a disproportionate manner the rights of Professional Partners or its limited partners; and (b) any amendment to the PWP OpCo partnership agreement that materially and adversely affects in a disproportionate manner the rights of Professional Partners or its limited partners.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effect of the agreement is that Professional Partners may maintain control over our significant corporate transactions even if it holds less than a majority of the combined total voting power of our shares of Class A and Class B common stock.</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310"/>
                <wp:effectExtent l="0" t="0" r="0" b="0"/>
                <wp:wrapNone/>
                <wp:docPr id="44" name="Frame41"/>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lineRule="auto" w:line="288" w:before="200" w:after="200"/>
        <w:jc w:val="both"/>
        <w:rPr>
          <w:rFonts w:ascii="Arial;sans-serif" w:hAnsi="Arial;sans-serif"/>
          <w:b w:val="false"/>
          <w:color w:val="000000"/>
          <w:sz w:val="20"/>
        </w:rPr>
      </w:pPr>
      <w:r>
        <w:rPr>
          <w:rFonts w:ascii="Arial;sans-serif" w:hAnsi="Arial;sans-serif"/>
          <w:b w:val="false"/>
          <w:color w:val="000000"/>
          <w:sz w:val="20"/>
        </w:rPr>
        <w:t>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Stockholders Agreement will terminate once the Secondary Class B Condition is no longer satisfied.</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Restrictive Covenants of Professional Partner’s Limited Partners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Professional Partner’s limited partners are subject to certain restrictive covenants set forth in the Professionals LP Agreement,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Holdings or PWP OpCo, and their respective subsidiaries and successors and assigns or (y) one year with respect to any limited partner, investor, prospective limited partner or investor of investment funds sponsored by a PWP Entity,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Repurchase of Class A Common Stock</w:t>
      </w:r>
    </w:p>
    <w:p>
      <w:pPr>
        <w:pStyle w:val="TextBody"/>
        <w:spacing w:lineRule="auto" w:line="288" w:before="200" w:after="200"/>
        <w:ind w:left="0" w:right="0" w:firstLine="360"/>
        <w:rPr>
          <w:rFonts w:ascii="Arial;sans-serif" w:hAnsi="Arial;sans-serif"/>
          <w:b w:val="false"/>
          <w:color w:val="000000"/>
          <w:sz w:val="20"/>
        </w:rPr>
      </w:pPr>
      <w:r>
        <w:rPr>
          <w:rFonts w:ascii="Arial;sans-serif" w:hAnsi="Arial;sans-serif"/>
          <w:b w:val="false"/>
          <w:color w:val="000000"/>
          <w:sz w:val="20"/>
        </w:rPr>
        <w:t>On August 9, 2021, the Company repurchased 1,000,000 Founder Shares from the Sponsor at $12.00 per share for a total purchase price of $12.0 million.</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UK ACU Reimbursement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September 2021, Perella Weinberg UK Limited, Professional Partners and certain partners (including one partner who serves as a Company director and 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Agreements with PWP Capital Holdings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Transition Services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PWP is party to the transition services agreement (the “TSA”) with PWP Capital Holdings. Under the TSA, PWP agreed to, and continues to, provide certain corporate services to PWP Capital Holdings. Either party to the TSA may terminate the agreement solely as it 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310"/>
                <wp:effectExtent l="0" t="0" r="0" b="0"/>
                <wp:wrapNone/>
                <wp:docPr id="45" name="Frame42"/>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Plans of Division and Master Separation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separation of the advisory business from the asset management business of PWP OpCo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 Holdings.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PWP is party to a master separation agreement with PWP Capital Holdings relating to the PWP Separation. The agreement sets forth, among other things, the ongoing obligations of PWP OpCo and PWP Capital Holdings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Holdings the financial responsibility for all assets and liabilities associated with the asset management business and operations.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Trademark License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PWP is party to a trademark license agreement with PWP Capital Holdings, under which PWP Capital Holdings has the right to use certain trademarks owned by us and specified therein and that were in use by the asset management business prior to the PWP Separation. The licenses are non-exclusive, non-transferable (except under certain conditions), non-sublicensable (except under certain conditions) and royalty-free. The agreement will last for a period of at least one year, subject to automatic extension, and may be terminated by PWP in the event that PWP Capital Holdings becomes insolvent, makes an assignment for the benefit of its creditors or breaches the agreement and fails to cure such breach, or in its sole discretion upon 60 days’ written notice to PWP Capital Holdings.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Sublease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PWP Separation, PWP subleases a portion of its office space at its New York location to PWP Capital Holdings. In December 2021, PWP executed a sublease amendment to extend the sublease term for 19 months to August 31, 2023 and to reduce the size of the subleased premises. In accordance with the sublease, as amended, PWP Capital Holdings pays to PWP a base rent of $38,440 per month and other lease related charges. The sublease, as amended, does not include a renewal option and PWP has the right to terminate the sublease for any reason after giving 90 days prior written notice.</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Other Agreements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We may enter into engagement letters to provide advisory, investment banking and other services to PWP Capital Holdings. We may also enter into additional support and administration agreements with PWP Capital Holdings on arm’s length terms.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From time-to-time, our asset management business may enter into compensation agreements with our employees, including Andrew Bednar or other officers and directors, to provide consultant and other services to our asset management business.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From time-to-time, we may make loans to or investments in sponsors and other related entities of special purpose acquisition vehicle companies, formed for the purpose of effecting a merger, capital stock exchange, asset acquisition, stock purchase, reorganization or similar transaction with one or more businesses, and our officers and directors may own equity interests in such special acquisition vehicle companies.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310"/>
                <wp:effectExtent l="0" t="0" r="0" b="0"/>
                <wp:wrapNone/>
                <wp:docPr id="46" name="Frame43"/>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From time-to-time, we may make investments in one or more entities, which investments may permit multiple employees, officers or directors to make investments for the benefit of such employee, officer or director.</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Future Internal Restructuring Transaction</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Pursuant to the Professionals LP Agreement,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Professionals LP Agreement and the LP Agreement, PWP GP has agreed to cause PWP OpCo to consummate such merger. The merger is not expected to affect the respective rights or economic interests of us, PWP GP, any ILP or any limited partner of Professional Partners with respect to PWP OpCo.</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Tax Receivable Agreement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closing of the Business Combination, we entered into a Tax Receivable Agreement (the “TRA”) with PWP OpCo, Professional Partners and certain other persons party thereto (the “TRA Parties” and individually, a “TRA Party”) . The Tax Receivable Agreement generally provides for payment by us to ILPs and certain Partners (as defined therein) of 85% of the cash tax savings, if any, in U.S. federal, state, local and foreign income taxes and related interest realized (or deemed realized) in periods after the closing of the Business Combination as a result of (a) the Business Combination and related transactions, (b) exchanges of interests in PWP OpCo for cash or stock of the Company and certain other transactions and (c) payments made under the TRA. We expect to retain the benefit of the remaining 15% of these cash tax savings.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For purposes of the TRA,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TRA. The term of the TRA commenced upon consummation of the Business Combination and will continue until all tax benefits have been utilized or expired, unless the Company exercises its right to terminate the TRA for an amount based on a specified formula to determine the present value of payments remaining to be made under the agreement (including payments that would be made if all PWP OpCo Class A partnership units were then exchanged for our Class A common stock). The TRA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TRA as well.</w:t>
      </w:r>
      <w:r>
        <w:br w:type="page"/>
      </w:r>
    </w:p>
    <w:p>
      <w:pPr>
        <w:pStyle w:val="TextBody"/>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310"/>
                <wp:effectExtent l="0" t="0" r="0" b="0"/>
                <wp:wrapNone/>
                <wp:docPr id="47" name="Frame44"/>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payment obligation under the TRA is an obligation of Perella Weinberg Partners and not an obligation of PWP OpCo. In addition, although we are not aware of any issue that would cause the IRS to challenge a tax basis increase that results in a payment under the TRA, the TRA Parties will not reimburse us for any payments previously made under the TRA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TRA in excess of our actual cash tax savings. While the actual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TRA, the payments that we may make to the TRA Parties could be substantial. Payments made under the TRA are required to be made within 270 days of the filing of the Company's tax returns. Because we generally expect to receive the tax savings prior to making the cash payments to the TRA Parties, we do not expect the cash payments to have a material impact on our liquidity.</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TRA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Furthermore, upon a material breach of our obligations under the TRA that is not cured within the time period specified by the TRA or if, at any time, we elect an early termination of the TRA,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Employee Compensation Paid to Directors</w:t>
      </w:r>
    </w:p>
    <w:p>
      <w:pPr>
        <w:pStyle w:val="TextBody"/>
        <w:spacing w:before="2" w:after="283"/>
        <w:jc w:val="both"/>
        <w:rPr/>
      </w:pPr>
      <w:r>
        <w:rPr/>
      </w:r>
    </w:p>
    <w:p>
      <w:pPr>
        <w:pStyle w:val="TextBody"/>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Messrs. Perella and Steel, two of PWP’s employee directors who are not executive officers, received compensation in respect of their service as working Partners in 2022 in amounts equal to $510,500 and $1,672,960, respectively. For Mr. Steel, $375,960 of such reported compensation represents the fair value, calculated in accordance with FASB ASC Topic 718, of the equity-based portion of our annual incentive bonus granted to him in the first quarter of 2022 to Mr. Steel for 2021 performance.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310"/>
                <wp:effectExtent l="0" t="0" r="0" b="0"/>
                <wp:wrapNone/>
                <wp:docPr id="48" name="Frame45"/>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before="240" w:after="2"/>
        <w:jc w:val="center"/>
        <w:rPr/>
      </w:pPr>
      <w:r>
        <w:rPr/>
      </w:r>
    </w:p>
    <w:p>
      <w:pPr>
        <w:pStyle w:val="TextBody"/>
        <w:spacing w:lineRule="auto" w:line="240" w:before="2" w:after="2"/>
        <w:jc w:val="center"/>
        <w:rPr>
          <w:rFonts w:ascii="Arial;sans-serif" w:hAnsi="Arial;sans-serif"/>
          <w:b/>
          <w:color w:val="000000"/>
          <w:sz w:val="20"/>
        </w:rPr>
      </w:pPr>
      <w:r>
        <w:rPr>
          <w:rFonts w:ascii="Arial;sans-serif" w:hAnsi="Arial;sans-serif"/>
          <w:b/>
          <w:color w:val="000000"/>
          <w:sz w:val="20"/>
        </w:rPr>
        <w:t>PROPOSAL 2: RATIFICATION OF INDEPENDENT AUDITOR APPOINTMENT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Our audit committee has appointed Ernst &amp; Young LLP as our independent registered public accounting firm for the fiscal year ending December 31, 2023. Although stockholder ratification of the appointment of Ernst &amp; Young LLP is not required by law, we are submitting the appointment to our stockholders for ratification as a matter of good corporate governance. The ratification of the appointment of Ernst &amp; Young LLP requires the vote of the holders of a majority of the voting power of the shares represented at the meeting and entitled to vote on such question, voting as a single class. If stockholders do not ratify the appointment of Ernst &amp; Young LLP, the audit committee will reconsider the appointment. Even if stockholders ratify the appointment of Ernst &amp; Young LLP, the audit committee retains the discretion to appoint a different independent auditor at any time if it determines that such a change would be in the best interests of the Company and its stockholders.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Representatives of Ernst &amp; Young LLP are expected to attend the Annual Meeting, will have an opportunity to make a statement if they desire to do so and are expected to be available to respond to appropriate questions.</w:t>
      </w:r>
    </w:p>
    <w:p>
      <w:pPr>
        <w:pStyle w:val="TextBody"/>
        <w:spacing w:lineRule="auto" w:line="288" w:before="240" w:after="283"/>
        <w:ind w:left="0" w:right="0" w:firstLine="360"/>
        <w:jc w:val="both"/>
        <w:rPr>
          <w:rFonts w:ascii="Arial;sans-serif" w:hAnsi="Arial;sans-serif"/>
          <w:b/>
          <w:color w:val="000000"/>
          <w:sz w:val="20"/>
        </w:rPr>
      </w:pPr>
      <w:r>
        <w:rPr>
          <w:rFonts w:ascii="Arial;sans-serif" w:hAnsi="Arial;sans-serif"/>
          <w:b/>
          <w:color w:val="000000"/>
          <w:sz w:val="20"/>
        </w:rPr>
        <w:t>The board of directors recommends that you vote “FOR” the ratification of Ernst &amp; Young LLP as our independent registered public accounting firm for the fiscal year ending December 31, 2023.</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Principal Accountant Fees and Services</w:t>
      </w:r>
    </w:p>
    <w:p>
      <w:pPr>
        <w:pStyle w:val="TextBody"/>
        <w:spacing w:lineRule="auto" w:line="288" w:before="200" w:after="200"/>
        <w:ind w:left="0" w:right="0" w:firstLine="360"/>
        <w:rPr>
          <w:rFonts w:ascii="Arial;sans-serif" w:hAnsi="Arial;sans-serif"/>
          <w:b w:val="false"/>
          <w:color w:val="000000"/>
          <w:sz w:val="20"/>
        </w:rPr>
      </w:pPr>
      <w:r>
        <w:rPr>
          <w:rFonts w:ascii="Arial;sans-serif" w:hAnsi="Arial;sans-serif"/>
          <w:b w:val="false"/>
          <w:color w:val="000000"/>
          <w:sz w:val="20"/>
        </w:rPr>
        <w:t>The following table presents aggregate fees billed to the Company for services rendered by Ernst &amp; Young LLP during the years ended December 31, 2022 and 2021:</w:t>
      </w:r>
    </w:p>
    <w:tbl>
      <w:tblPr>
        <w:tblW w:w="5064" w:type="dxa"/>
        <w:jc w:val="center"/>
        <w:tblInd w:w="0" w:type="dxa"/>
        <w:tblCellMar>
          <w:top w:w="28" w:type="dxa"/>
          <w:left w:w="28" w:type="dxa"/>
          <w:bottom w:w="28" w:type="dxa"/>
          <w:right w:w="28" w:type="dxa"/>
        </w:tblCellMar>
      </w:tblPr>
      <w:tblGrid>
        <w:gridCol w:w="729"/>
        <w:gridCol w:w="637"/>
        <w:gridCol w:w="644"/>
        <w:gridCol w:w="211"/>
        <w:gridCol w:w="1021"/>
        <w:gridCol w:w="109"/>
        <w:gridCol w:w="109"/>
        <w:gridCol w:w="109"/>
        <w:gridCol w:w="109"/>
        <w:gridCol w:w="211"/>
        <w:gridCol w:w="1021"/>
        <w:gridCol w:w="154"/>
      </w:tblGrid>
      <w:tr>
        <w:trPr/>
        <w:tc>
          <w:tcPr>
            <w:tcW w:w="72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362" w:before="33" w:after="30"/>
              <w:jc w:val="both"/>
              <w:rPr/>
            </w:pPr>
            <w:r>
              <w:rPr>
                <w:rFonts w:ascii="Arial;sans-serif" w:hAnsi="Arial;sans-serif"/>
                <w:b w:val="false"/>
                <w:color w:val="000000"/>
                <w:sz w:val="20"/>
              </w:rPr>
              <w:t>Audit Fees</w:t>
            </w:r>
            <w:r>
              <w:rPr>
                <w:color w:val="000000"/>
              </w:rPr>
              <w:t xml:space="preserve"> </w:t>
            </w:r>
            <w:r>
              <w:rPr>
                <w:rFonts w:ascii="Arial;sans-serif" w:hAnsi="Arial;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Arial;sans-serif" w:hAnsi="Arial;sans-serif"/>
                <w:b w:val="false"/>
                <w:color w:val="000000"/>
                <w:sz w:val="20"/>
              </w:rPr>
            </w:pPr>
            <w:r>
              <w:rPr>
                <w:rFonts w:ascii="Arial;sans-serif" w:hAnsi="Arial;sans-serif"/>
                <w:b w:val="false"/>
                <w:color w:val="000000"/>
                <w:sz w:val="20"/>
              </w:rPr>
              <w:t>2,235,500 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2" w:before="0" w:after="283"/>
              <w:jc w:val="right"/>
              <w:rPr>
                <w:rFonts w:ascii="Arial;sans-serif" w:hAnsi="Arial;sans-serif"/>
                <w:b w:val="false"/>
                <w:color w:val="000000"/>
                <w:sz w:val="20"/>
              </w:rPr>
            </w:pPr>
            <w:r>
              <w:rPr>
                <w:rFonts w:ascii="Arial;sans-serif" w:hAnsi="Arial;sans-serif"/>
                <w:b w:val="false"/>
                <w:color w:val="000000"/>
                <w:sz w:val="20"/>
              </w:rPr>
              <w:t>1,914,000 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362" w:before="53" w:after="30"/>
              <w:jc w:val="both"/>
              <w:rPr/>
            </w:pPr>
            <w:r>
              <w:rPr>
                <w:rFonts w:ascii="Arial;sans-serif" w:hAnsi="Arial;sans-serif"/>
                <w:b w:val="false"/>
                <w:color w:val="000000"/>
                <w:sz w:val="20"/>
              </w:rPr>
              <w:t>Audit-Related Fees</w:t>
            </w:r>
            <w:r>
              <w:rPr>
                <w:color w:val="000000"/>
              </w:rPr>
              <w:t xml:space="preserve"> </w:t>
            </w:r>
            <w:r>
              <w:rPr>
                <w:rFonts w:ascii="Arial;sans-serif" w:hAnsi="Arial;sans-serif"/>
                <w:b w:val="false"/>
                <w:color w:val="000000"/>
                <w:sz w:val="13"/>
              </w:rPr>
              <w:t>(2)</w:t>
            </w:r>
          </w:p>
        </w:tc>
        <w:tc>
          <w:tcPr>
            <w:tcW w:w="12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rFonts w:ascii="Arial;sans-serif" w:hAnsi="Arial;sans-serif"/>
                <w:b w:val="false"/>
                <w:color w:val="000000"/>
                <w:sz w:val="20"/>
              </w:rPr>
            </w:pPr>
            <w:r>
              <w:rPr>
                <w:rFonts w:ascii="Arial;sans-serif" w:hAnsi="Arial;sans-serif"/>
                <w:b w:val="false"/>
                <w:color w:val="000000"/>
                <w:sz w:val="20"/>
              </w:rPr>
              <w:t>1,305,000 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Fees</w:t>
            </w:r>
          </w:p>
        </w:tc>
        <w:tc>
          <w:tcPr>
            <w:tcW w:w="12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Other Fees</w:t>
            </w:r>
          </w:p>
        </w:tc>
        <w:tc>
          <w:tcPr>
            <w:tcW w:w="12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312"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Arial;sans-serif" w:hAnsi="Arial;sans-serif"/>
                <w:b w:val="false"/>
                <w:color w:val="000000"/>
                <w:sz w:val="20"/>
              </w:rPr>
            </w:pPr>
            <w:r>
              <w:rPr>
                <w:rFonts w:ascii="Arial;sans-serif" w:hAnsi="Arial;sans-serif"/>
                <w:b w:val="false"/>
                <w:color w:val="000000"/>
                <w:sz w:val="20"/>
              </w:rPr>
              <w:t>2,235,500 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2" w:before="0" w:after="283"/>
              <w:jc w:val="right"/>
              <w:rPr>
                <w:rFonts w:ascii="Arial;sans-serif" w:hAnsi="Arial;sans-serif"/>
                <w:b w:val="false"/>
                <w:color w:val="000000"/>
                <w:sz w:val="20"/>
              </w:rPr>
            </w:pPr>
            <w:r>
              <w:rPr>
                <w:rFonts w:ascii="Arial;sans-serif" w:hAnsi="Arial;sans-serif"/>
                <w:b w:val="false"/>
                <w:color w:val="000000"/>
                <w:sz w:val="20"/>
              </w:rPr>
              <w:t>3,219,000 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(1)Audit Fees include fees for services rendered for the audit and quarterly reviews of our consolidated financial statements, including those filed with the SEC on Forms 10-K and 10-Q, respectively, as well as statutory and financial audits for our United States and foreign consolidated subsidiaries. Additionally, audit fees include other regulatory filings, and similar engagements, such as attest services, comfort letters, consents, and reviews of documents filed with or submitted to the SEC.</w:t>
      </w:r>
    </w:p>
    <w:p>
      <w:pPr>
        <w:pStyle w:val="TextBody"/>
        <w:spacing w:lineRule="auto" w:line="288" w:before="0" w:after="100"/>
        <w:ind w:left="0" w:right="0" w:hanging="360"/>
        <w:rPr>
          <w:rFonts w:ascii="Arial;sans-serif" w:hAnsi="Arial;sans-serif"/>
          <w:b w:val="false"/>
          <w:color w:val="000000"/>
          <w:sz w:val="16"/>
        </w:rPr>
      </w:pPr>
      <w:r>
        <w:rPr>
          <w:rFonts w:ascii="Arial;sans-serif" w:hAnsi="Arial;sans-serif"/>
          <w:b w:val="false"/>
          <w:color w:val="000000"/>
          <w:sz w:val="16"/>
        </w:rPr>
        <w:t>(2)Audit-Related Fees associated with period prior to the Business Combination.</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Audit Committee Pre-Approval</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Since our Business Combination, all services performed by Ernst &amp; Young LLP for the Company and its subsidiaries have been pre-approved by the audit committee.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audit committee has adopted a pre-approval policy, which requires that before the independent auditor is engaged for any services, the audit committee must approve these services, including the fees and terms. Services are reviewed taking into account the terms of the policy, and, for types of services not pre-approved in the policy, the rules of the SEC and the Public Company Accounting Oversight Board.</w:t>
      </w:r>
    </w:p>
    <w:p>
      <w:pPr>
        <w:pStyle w:val="TextBody"/>
        <w:spacing w:before="0" w:after="0"/>
        <w:rPr/>
      </w:pPr>
      <w:r>
        <w:rPr/>
      </w:r>
    </w:p>
    <w:p>
      <w:pPr>
        <w:pStyle w:val="TextBody"/>
        <w:spacing w:before="2" w:after="2"/>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310"/>
                <wp:effectExtent l="0" t="0" r="0" b="0"/>
                <wp:wrapNone/>
                <wp:docPr id="49" name="Frame46"/>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lineRule="auto" w:line="288" w:before="240" w:after="2"/>
        <w:jc w:val="center"/>
        <w:rPr>
          <w:rFonts w:ascii="Arial;sans-serif" w:hAnsi="Arial;sans-serif"/>
          <w:b/>
          <w:color w:val="000000"/>
          <w:sz w:val="20"/>
        </w:rPr>
      </w:pPr>
      <w:r>
        <w:rPr>
          <w:rFonts w:ascii="Arial;sans-serif" w:hAnsi="Arial;sans-serif"/>
          <w:b/>
          <w:color w:val="000000"/>
          <w:sz w:val="20"/>
        </w:rPr>
        <w:t>AUDIT COMMITTEE REPORT</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audit committee is responsible primarily for assisting the board of directors in fulfilling its legal and fiduciary obligations with respect to matters involving the accounting, auditing, financial reporting, internal control and legal compliance functions of the Company and its subsidiaries. The committee assists in the board of directors’ oversight of the integrity of the Company’s financial statements, the Company’s compliance with legal and regulatory requirements, the Company’s independent auditors’ qualifications and independence, and the performance of the Company’s independent auditors and the Company’s internal audit function.</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Company’s management is responsible for the preparation and presentation of the Company’s financial statements, the effectiveness of internal control over financial reporting, and procedures that are reasonably designed to ensure compliance with accounting standards and applicable laws and regulations. The Company’s independent registered public accounting firm, Ernst &amp; Young LLP,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audit committee has reviewed and discussed the audited financial statements for the year ended December 31, 2022 with the Company’s management and Ernst &amp; Young LLP. The audit committee has discussed with the independent auditors the matters required to be discussed by the applicable requirements of the PCAOB and the Securities and Exchange Commission.</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The audit committee has received the written disclosures and the letter from Ernst &amp; Young LLP required by applicable requirements of the PCAOB regarding auditor communications with the audit committee concerning independence, and has discussed with Ernst &amp; Young LLP its independence.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Based on such review and discussions, the audit committee recommended to the Company’s board of directors that the financial statements referred to above be included in the Annual Report on Form 10-K for the fiscal year ended December 31, 2022.</w:t>
      </w:r>
    </w:p>
    <w:p>
      <w:pPr>
        <w:pStyle w:val="TextBody"/>
        <w:spacing w:lineRule="auto" w:line="288" w:before="240" w:after="283"/>
        <w:rPr>
          <w:rFonts w:ascii="Arial;sans-serif" w:hAnsi="Arial;sans-serif"/>
          <w:b w:val="false"/>
          <w:i/>
          <w:color w:val="000000"/>
          <w:sz w:val="20"/>
        </w:rPr>
      </w:pPr>
      <w:r>
        <w:rPr>
          <w:rFonts w:ascii="Arial;sans-serif" w:hAnsi="Arial;sans-serif"/>
          <w:b w:val="false"/>
          <w:i/>
          <w:color w:val="000000"/>
          <w:sz w:val="20"/>
        </w:rPr>
        <w:t>Audit Committee</w:t>
        <w:br/>
        <w:br/>
        <w:t>Jorma Ollila (Chair)</w:t>
        <w:br/>
        <w:t>Jane C. Sherburne</w:t>
      </w:r>
    </w:p>
    <w:p>
      <w:pPr>
        <w:pStyle w:val="TextBody"/>
        <w:spacing w:lineRule="auto" w:line="240" w:before="2" w:after="283"/>
        <w:rPr>
          <w:rFonts w:ascii="Arial;sans-serif" w:hAnsi="Arial;sans-serif"/>
          <w:b w:val="false"/>
          <w:i/>
          <w:color w:val="000000"/>
          <w:sz w:val="20"/>
        </w:rPr>
      </w:pPr>
      <w:r>
        <w:rPr>
          <w:rFonts w:ascii="Arial;sans-serif" w:hAnsi="Arial;sans-serif"/>
          <w:b w:val="false"/>
          <w:i/>
          <w:color w:val="000000"/>
          <w:sz w:val="20"/>
        </w:rPr>
        <w:t>Elizabeth (Beth) Cogan Fascitelli</w:t>
      </w:r>
    </w:p>
    <w:p>
      <w:pPr>
        <w:pStyle w:val="TextBody"/>
        <w:spacing w:before="2" w:after="283"/>
        <w:rPr/>
      </w:pPr>
      <w:r>
        <w:rPr/>
      </w:r>
    </w:p>
    <w:p>
      <w:pPr>
        <w:pStyle w:val="TextBody"/>
        <w:spacing w:before="0" w:after="0"/>
        <w:rPr/>
      </w:pPr>
      <w:r>
        <w:rPr/>
      </w:r>
    </w:p>
    <w:p>
      <w:pPr>
        <w:pStyle w:val="TextBody"/>
        <w:spacing w:before="2" w:after="2"/>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310"/>
                <wp:effectExtent l="0" t="0" r="0" b="0"/>
                <wp:wrapNone/>
                <wp:docPr id="50" name="Frame47"/>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lineRule="auto" w:line="288" w:before="240" w:after="2"/>
        <w:jc w:val="center"/>
        <w:rPr>
          <w:rFonts w:ascii="Arial;sans-serif" w:hAnsi="Arial;sans-serif"/>
          <w:b/>
          <w:color w:val="000000"/>
          <w:sz w:val="20"/>
        </w:rPr>
      </w:pPr>
      <w:r>
        <w:rPr>
          <w:rFonts w:ascii="Arial;sans-serif" w:hAnsi="Arial;sans-serif"/>
          <w:b/>
          <w:color w:val="000000"/>
          <w:sz w:val="20"/>
        </w:rPr>
        <w:t>ADDITIONAL INFORMATION</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Procedures for Submitting Stockholder Proposals and Director Nominations</w:t>
      </w:r>
    </w:p>
    <w:p>
      <w:pPr>
        <w:pStyle w:val="TextBody"/>
        <w:spacing w:lineRule="auto" w:line="288" w:before="200" w:after="200"/>
        <w:ind w:left="0" w:right="0" w:firstLine="360"/>
        <w:jc w:val="both"/>
        <w:rPr/>
      </w:pPr>
      <w:r>
        <w:rPr>
          <w:rFonts w:ascii="Arial;sans-serif" w:hAnsi="Arial;sans-serif"/>
          <w:b w:val="false"/>
          <w:color w:val="000000"/>
          <w:sz w:val="20"/>
        </w:rPr>
        <w:t xml:space="preserve">Stockholder proposals intended to be presented at the 2024 Annual Meeting of Stockholders (the “2024 Annual Meeting”), pursuant to Exchange Act Rule 14a-8 must be delivered to the Corporate Secretary at our principal executive offices no later than </w:t>
      </w:r>
      <w:r>
        <w:rPr>
          <w:rFonts w:ascii="Arial;sans-serif" w:hAnsi="Arial;sans-serif"/>
          <w:b w:val="false"/>
          <w:color w:val="000000"/>
          <w:sz w:val="20"/>
          <w:highlight w:val="white"/>
        </w:rPr>
        <w:t>December 16, 2023</w:t>
      </w:r>
      <w:r>
        <w:rPr>
          <w:rFonts w:ascii="Arial;sans-serif" w:hAnsi="Arial;sans-serif"/>
          <w:b w:val="false"/>
          <w:color w:val="000000"/>
          <w:sz w:val="20"/>
        </w:rPr>
        <w:t>, in order to be included in the our proxy materials for that meeting. Such proposals must also comply with all applicable provisions of Exchange Act Rule 14a-8 and our bylaws.</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Under our bylaws, stockholder proposals submitted for consideration at any annual meeting of stockholders, but not submitted for inclusion in our proxy materials pursuant to Exchange Act Rule 14a-8, including nominations for candidates for election as directors, must be delivered to our Corporate Secretary at our principal executive offices not less than 90 days or more than 120 days prior to the anniversary of the immediately preceding annual meeting of stockholders. Accordingly, stockholder proposals and nominations under our bylaws must be delivered no earlier than January 25, 2024, and no later than February 24, 2024. However, if the annual meeting occurs more than 25 days before or after this anniversary date, proposals must be delivered no later than the close of business on the tenth day following the earlier of (i) the date that the meeting notice is mailed or (ii) the first public announcement of the meeting date. Director nominations for consideration at any special meeting of stockholders called for the purpose of electing directors must be delivered on or before the tenth day following the earlier of (i) the date that the meeting notice is mailed or (ii) the first public announcement of the meeting date.</w:t>
      </w:r>
    </w:p>
    <w:p>
      <w:pPr>
        <w:pStyle w:val="TextBody"/>
        <w:spacing w:lineRule="auto" w:line="288" w:before="200" w:after="200"/>
        <w:ind w:left="0" w:right="0" w:firstLine="360"/>
        <w:jc w:val="both"/>
        <w:rPr>
          <w:rFonts w:ascii="Arial;sans-serif" w:hAnsi="Arial;sans-serif"/>
          <w:b w:val="false"/>
          <w:color w:val="000000"/>
          <w:sz w:val="20"/>
        </w:rPr>
      </w:pPr>
      <w:r>
        <w:rPr>
          <w:rFonts w:ascii="Arial;sans-serif" w:hAnsi="Arial;sans-serif"/>
          <w:b w:val="false"/>
          <w:color w:val="000000"/>
          <w:sz w:val="20"/>
        </w:rPr>
        <w:t>Stockholder proposals and nominations must include all required information concerning the stockholder and the proposal or nominee set forth in our bylaws.</w:t>
      </w:r>
    </w:p>
    <w:p>
      <w:pPr>
        <w:pStyle w:val="TextBody"/>
        <w:spacing w:lineRule="auto" w:line="288" w:before="2" w:after="2"/>
        <w:ind w:left="0" w:right="0" w:firstLine="360"/>
        <w:rPr>
          <w:rFonts w:ascii="Arial;sans-serif" w:hAnsi="Arial;sans-serif"/>
          <w:b w:val="false"/>
          <w:color w:val="000000"/>
          <w:sz w:val="20"/>
        </w:rPr>
      </w:pPr>
      <w:r>
        <w:rPr>
          <w:rFonts w:ascii="Arial;sans-serif" w:hAnsi="Arial;sans-serif"/>
          <w:b w:val="false"/>
          <w:color w:val="000000"/>
          <w:sz w:val="20"/>
        </w:rPr>
        <w:t>In addition to satisfying the requirements of our bylaws, including the deadline for notice of nominations, stockholders who intend to solicit proxies in support of director nominees other than the Company’s nominees must provide notice that sets forth any additional information required by Rule 14a-19 of the Exchange Act no later than March 25, 2024.</w:t>
      </w:r>
    </w:p>
    <w:p>
      <w:pPr>
        <w:pStyle w:val="TextBody"/>
        <w:spacing w:before="20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310"/>
                <wp:effectExtent l="0" t="0" r="0" b="0"/>
                <wp:wrapNone/>
                <wp:docPr id="51" name="Frame48"/>
                <a:graphic xmlns:a="http://schemas.openxmlformats.org/drawingml/2006/main">
                  <a:graphicData uri="http://schemas.microsoft.com/office/word/2010/wordprocessingShape">
                    <wps:wsp>
                      <wps:cNvSpPr txBox="1"/>
                      <wps:spPr>
                        <a:xfrm>
                          <a:off x="0" y="0"/>
                          <a:ext cx="6480175" cy="321310"/>
                        </a:xfrm>
                        <a:prstGeom prst="rect"/>
                      </wps:spPr>
                      <wps:txb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before="200" w:after="283"/>
        <w:jc w:val="center"/>
        <w:rPr/>
      </w:pPr>
      <w:r>
        <w:rPr/>
        <w:drawing>
          <wp:inline distT="0" distB="63500" distL="0" distR="0">
            <wp:extent cx="5943600" cy="7686675"/>
            <wp:effectExtent l="0" t="0" r="0" b="0"/>
            <wp:docPr id="5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 descr=""/>
                    <pic:cNvPicPr>
                      <a:picLocks noChangeAspect="1" noChangeArrowheads="1"/>
                    </pic:cNvPicPr>
                  </pic:nvPicPr>
                  <pic:blipFill>
                    <a:blip r:embed="rId5"/>
                    <a:stretch>
                      <a:fillRect/>
                    </a:stretch>
                  </pic:blipFill>
                  <pic:spPr bwMode="auto">
                    <a:xfrm>
                      <a:off x="0" y="0"/>
                      <a:ext cx="5943600" cy="7686675"/>
                    </a:xfrm>
                    <a:prstGeom prst="rect">
                      <a:avLst/>
                    </a:prstGeom>
                  </pic:spPr>
                </pic:pic>
              </a:graphicData>
            </a:graphic>
          </wp:inline>
        </w:drawing>
      </w:r>
      <w:r>
        <w:br w:type="page"/>
      </w:r>
    </w:p>
    <w:p>
      <w:pPr>
        <w:pStyle w:val="TextBody"/>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200" w:after="283"/>
        <w:jc w:val="center"/>
        <w:rPr/>
      </w:pPr>
      <w:r>
        <w:rPr/>
        <w:drawing>
          <wp:inline distT="0" distB="63500" distL="0" distR="0">
            <wp:extent cx="5943600" cy="7686675"/>
            <wp:effectExtent l="0" t="0" r="0" b="0"/>
            <wp:docPr id="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 descr=""/>
                    <pic:cNvPicPr>
                      <a:picLocks noChangeAspect="1" noChangeArrowheads="1"/>
                    </pic:cNvPicPr>
                  </pic:nvPicPr>
                  <pic:blipFill>
                    <a:blip r:embed="rId6"/>
                    <a:stretch>
                      <a:fillRect/>
                    </a:stretch>
                  </pic:blipFill>
                  <pic:spPr bwMode="auto">
                    <a:xfrm>
                      <a:off x="0" y="0"/>
                      <a:ext cx="5943600" cy="7686675"/>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50</Pages>
  <Words>24789</Words>
  <CharactersWithSpaces>156198</CharactersWithSpaces>
  <Paragraphs>863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