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36525" cy="184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84150"/>
                    </a:xfrm>
                    <a:prstGeom prst="rect">
                      <a:avLst/>
                    </a:prstGeom>
                    <a:noFill/>
                  </pic:spPr>
                </pic:pic>
              </a:graphicData>
            </a:graphic>
          </wp:anchor>
        </w:drawing>
      </w:r>
    </w:p>
    <w:p>
      <w:pPr>
        <w:jc w:val="both"/>
        <w:ind w:left="320" w:right="340" w:hanging="245"/>
        <w:spacing w:after="0" w:line="182" w:lineRule="auto"/>
        <w:tabs>
          <w:tab w:leader="none" w:pos="32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95681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60" w:space="48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FinTech Masala Advisors IV,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06/24/2021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180" w:space="720"/>
            <w:col w:w="3109" w:space="720"/>
            <w:col w:w="3351"/>
          </w:cols>
          <w:pgMar w:left="460" w:top="218"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PHILADELPHIA PA</w:t>
            </w:r>
          </w:p>
        </w:tc>
        <w:tc>
          <w:tcPr>
            <w:tcW w:w="1620" w:type="dxa"/>
            <w:vAlign w:val="bottom"/>
          </w:tcPr>
          <w:p>
            <w:pPr>
              <w:ind w:left="420"/>
              <w:spacing w:after="0"/>
              <w:rPr>
                <w:sz w:val="20"/>
                <w:szCs w:val="20"/>
                <w:color w:val="auto"/>
              </w:rPr>
            </w:pPr>
            <w:r>
              <w:rPr>
                <w:rFonts w:ascii="Arial" w:cs="Arial" w:eastAsia="Arial" w:hAnsi="Arial"/>
                <w:sz w:val="16"/>
                <w:szCs w:val="16"/>
                <w:color w:val="0000FF"/>
              </w:rPr>
              <w:t>19104</w:t>
            </w:r>
          </w:p>
        </w:tc>
      </w:tr>
      <w:tr>
        <w:trPr>
          <w:trHeight w:val="145"/>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7"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jc w:val="right"/>
        <w:ind w:right="220"/>
        <w:spacing w:after="0"/>
        <w:rPr>
          <w:sz w:val="20"/>
          <w:szCs w:val="20"/>
          <w:color w:val="auto"/>
        </w:rPr>
      </w:pPr>
      <w:r>
        <w:rPr>
          <w:rFonts w:ascii="Arial" w:cs="Arial" w:eastAsia="Arial" w:hAnsi="Arial"/>
          <w:sz w:val="13"/>
          <w:szCs w:val="13"/>
          <w:color w:val="auto"/>
        </w:rPr>
        <w:t>Form filed by More than One Reporting Person</w:t>
      </w:r>
    </w:p>
    <w:p>
      <w:pPr>
        <w:spacing w:after="0" w:line="397"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40" w:type="dxa"/>
            <w:vAlign w:val="bottom"/>
            <w:gridSpan w:val="7"/>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6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3"/>
          </w:tcPr>
          <w:p>
            <w:pPr>
              <w:ind w:left="960"/>
              <w:spacing w:after="0"/>
              <w:rPr>
                <w:sz w:val="20"/>
                <w:szCs w:val="20"/>
                <w:color w:val="auto"/>
              </w:rPr>
            </w:pPr>
            <w:r>
              <w:rPr>
                <w:rFonts w:ascii="Arial" w:cs="Arial" w:eastAsia="Arial" w:hAnsi="Arial"/>
                <w:sz w:val="16"/>
                <w:szCs w:val="16"/>
                <w:color w:val="0000FF"/>
              </w:rPr>
              <w:t>06/24/2021</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0"/>
                <w:szCs w:val="10"/>
                <w:color w:val="008000"/>
              </w:rPr>
              <w:t>(3)</w:t>
            </w:r>
          </w:p>
        </w:tc>
        <w:tc>
          <w:tcPr>
            <w:tcW w:w="112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0000FF"/>
              </w:rPr>
              <w:t>4,506,446</w:t>
            </w:r>
          </w:p>
        </w:tc>
        <w:tc>
          <w:tcPr>
            <w:tcW w:w="14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A</w:t>
            </w: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4,506,446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center"/>
              <w:ind w:right="363"/>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(4)</w:t>
            </w:r>
          </w:p>
        </w:tc>
        <w:tc>
          <w:tcPr>
            <w:tcW w:w="940" w:type="dxa"/>
            <w:vAlign w:val="bottom"/>
          </w:tcPr>
          <w:p>
            <w:pPr>
              <w:spacing w:after="0"/>
              <w:rPr>
                <w:sz w:val="15"/>
                <w:szCs w:val="15"/>
                <w:color w:val="auto"/>
              </w:rPr>
            </w:pPr>
          </w:p>
        </w:tc>
        <w:tc>
          <w:tcPr>
            <w:tcW w:w="800" w:type="dxa"/>
            <w:vAlign w:val="bottom"/>
            <w:gridSpan w:val="2"/>
            <w:vMerge w:val="restart"/>
          </w:tcPr>
          <w:p>
            <w:pPr>
              <w:jc w:val="center"/>
              <w:ind w:right="25"/>
              <w:spacing w:after="0"/>
              <w:rPr>
                <w:sz w:val="20"/>
                <w:szCs w:val="20"/>
                <w:color w:val="auto"/>
              </w:rPr>
            </w:pPr>
            <w:r>
              <w:rPr>
                <w:rFonts w:ascii="Arial" w:cs="Arial" w:eastAsia="Arial" w:hAnsi="Arial"/>
                <w:sz w:val="10"/>
                <w:szCs w:val="10"/>
                <w:color w:val="008000"/>
                <w:w w:val="97"/>
              </w:rPr>
              <w:t>(4)</w:t>
            </w:r>
          </w:p>
        </w:tc>
        <w:tc>
          <w:tcPr>
            <w:tcW w:w="640" w:type="dxa"/>
            <w:vAlign w:val="bottom"/>
            <w:vMerge w:val="restart"/>
          </w:tcPr>
          <w:p>
            <w:pPr>
              <w:jc w:val="center"/>
              <w:ind w:right="22"/>
              <w:spacing w:after="0"/>
              <w:rPr>
                <w:sz w:val="20"/>
                <w:szCs w:val="20"/>
                <w:color w:val="auto"/>
              </w:rPr>
            </w:pPr>
            <w:r>
              <w:rPr>
                <w:rFonts w:ascii="Arial" w:cs="Arial" w:eastAsia="Arial" w:hAnsi="Arial"/>
                <w:sz w:val="10"/>
                <w:szCs w:val="10"/>
                <w:color w:val="008000"/>
                <w:w w:val="97"/>
              </w:rPr>
              <w:t>(4)</w:t>
            </w: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5"/>
              <w:spacing w:after="0"/>
              <w:rPr>
                <w:sz w:val="20"/>
                <w:szCs w:val="20"/>
                <w:color w:val="auto"/>
              </w:rPr>
            </w:pPr>
            <w:r>
              <w:rPr>
                <w:rFonts w:ascii="Arial" w:cs="Arial" w:eastAsia="Arial" w:hAnsi="Arial"/>
                <w:sz w:val="16"/>
                <w:szCs w:val="16"/>
                <w:color w:val="0000FF"/>
                <w:w w:val="89"/>
              </w:rPr>
              <w:t>130,496</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06/24/2021</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tcPr>
          <w:p>
            <w:pPr>
              <w:jc w:val="center"/>
              <w:ind w:left="222"/>
              <w:spacing w:after="0" w:line="138" w:lineRule="exact"/>
              <w:rPr>
                <w:sz w:val="20"/>
                <w:szCs w:val="20"/>
                <w:color w:val="auto"/>
              </w:rPr>
            </w:pPr>
            <w:r>
              <w:rPr>
                <w:rFonts w:ascii="Arial" w:cs="Arial" w:eastAsia="Arial" w:hAnsi="Arial"/>
                <w:sz w:val="13"/>
                <w:szCs w:val="13"/>
                <w:color w:val="0000FF"/>
                <w:w w:val="89"/>
              </w:rPr>
              <w:t>130,496</w:t>
            </w: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0.01</w:t>
            </w:r>
          </w:p>
        </w:tc>
        <w:tc>
          <w:tcPr>
            <w:tcW w:w="8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6"/>
              </w:rPr>
              <w:t>5,199,504</w:t>
            </w:r>
          </w:p>
        </w:tc>
        <w:tc>
          <w:tcPr>
            <w:tcW w:w="6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(1)(2)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jc w:val="center"/>
              <w:ind w:right="25"/>
              <w:spacing w:after="0"/>
              <w:rPr>
                <w:sz w:val="20"/>
                <w:szCs w:val="20"/>
                <w:color w:val="auto"/>
              </w:rPr>
            </w:pPr>
            <w:r>
              <w:rPr>
                <w:rFonts w:ascii="Arial" w:cs="Arial" w:eastAsia="Arial" w:hAnsi="Arial"/>
                <w:sz w:val="10"/>
                <w:szCs w:val="10"/>
                <w:color w:val="008000"/>
                <w:w w:val="97"/>
              </w:rPr>
              <w:t>(1)(2)</w:t>
            </w:r>
          </w:p>
        </w:tc>
        <w:tc>
          <w:tcPr>
            <w:tcW w:w="640" w:type="dxa"/>
            <w:vAlign w:val="bottom"/>
            <w:vMerge w:val="restart"/>
          </w:tcPr>
          <w:p>
            <w:pPr>
              <w:jc w:val="center"/>
              <w:ind w:right="22"/>
              <w:spacing w:after="0"/>
              <w:rPr>
                <w:sz w:val="20"/>
                <w:szCs w:val="20"/>
                <w:color w:val="auto"/>
              </w:rPr>
            </w:pPr>
            <w:r>
              <w:rPr>
                <w:rFonts w:ascii="Arial" w:cs="Arial" w:eastAsia="Arial" w:hAnsi="Arial"/>
                <w:sz w:val="10"/>
                <w:szCs w:val="10"/>
                <w:color w:val="008000"/>
                <w:w w:val="97"/>
              </w:rPr>
              <w:t>(1)(2)</w:t>
            </w: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5"/>
              <w:spacing w:after="0"/>
              <w:rPr>
                <w:sz w:val="20"/>
                <w:szCs w:val="20"/>
                <w:color w:val="auto"/>
              </w:rPr>
            </w:pPr>
            <w:r>
              <w:rPr>
                <w:rFonts w:ascii="Arial" w:cs="Arial" w:eastAsia="Arial" w:hAnsi="Arial"/>
                <w:sz w:val="16"/>
                <w:szCs w:val="16"/>
                <w:color w:val="0000FF"/>
                <w:w w:val="89"/>
              </w:rPr>
              <w:t>693,058</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06/24/2021</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ind w:right="363"/>
              <w:spacing w:after="0" w:line="138" w:lineRule="exact"/>
              <w:rPr>
                <w:sz w:val="20"/>
                <w:szCs w:val="20"/>
                <w:color w:val="auto"/>
              </w:rPr>
            </w:pPr>
            <w:r>
              <w:rPr>
                <w:rFonts w:ascii="Arial" w:cs="Arial" w:eastAsia="Arial" w:hAnsi="Arial"/>
                <w:sz w:val="13"/>
                <w:szCs w:val="13"/>
                <w:color w:val="0000FF"/>
              </w:rPr>
              <w:t>D</w:t>
            </w:r>
          </w:p>
        </w:tc>
        <w:tc>
          <w:tcPr>
            <w:tcW w:w="940" w:type="dxa"/>
            <w:vAlign w:val="bottom"/>
          </w:tcPr>
          <w:p>
            <w:pPr>
              <w:jc w:val="center"/>
              <w:ind w:left="222"/>
              <w:spacing w:after="0" w:line="138" w:lineRule="exact"/>
              <w:rPr>
                <w:sz w:val="20"/>
                <w:szCs w:val="20"/>
                <w:color w:val="auto"/>
              </w:rPr>
            </w:pPr>
            <w:r>
              <w:rPr>
                <w:rFonts w:ascii="Arial" w:cs="Arial" w:eastAsia="Arial" w:hAnsi="Arial"/>
                <w:sz w:val="13"/>
                <w:szCs w:val="13"/>
                <w:color w:val="0000FF"/>
                <w:w w:val="89"/>
              </w:rPr>
              <w:t>693,058</w:t>
            </w: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6"/>
              </w:rPr>
              <w:t>4,506,446</w:t>
            </w:r>
          </w:p>
        </w:tc>
        <w:tc>
          <w:tcPr>
            <w:tcW w:w="6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jc w:val="center"/>
              <w:ind w:right="25"/>
              <w:spacing w:after="0"/>
              <w:rPr>
                <w:sz w:val="20"/>
                <w:szCs w:val="20"/>
                <w:color w:val="auto"/>
              </w:rPr>
            </w:pPr>
            <w:r>
              <w:rPr>
                <w:rFonts w:ascii="Arial" w:cs="Arial" w:eastAsia="Arial" w:hAnsi="Arial"/>
                <w:sz w:val="10"/>
                <w:szCs w:val="10"/>
                <w:color w:val="008000"/>
                <w:w w:val="97"/>
              </w:rPr>
              <w:t>(3)</w:t>
            </w:r>
          </w:p>
        </w:tc>
        <w:tc>
          <w:tcPr>
            <w:tcW w:w="640" w:type="dxa"/>
            <w:vAlign w:val="bottom"/>
            <w:vMerge w:val="restart"/>
          </w:tcPr>
          <w:p>
            <w:pPr>
              <w:jc w:val="center"/>
              <w:ind w:right="22"/>
              <w:spacing w:after="0"/>
              <w:rPr>
                <w:sz w:val="20"/>
                <w:szCs w:val="20"/>
                <w:color w:val="auto"/>
              </w:rPr>
            </w:pPr>
            <w:r>
              <w:rPr>
                <w:rFonts w:ascii="Arial" w:cs="Arial" w:eastAsia="Arial" w:hAnsi="Arial"/>
                <w:sz w:val="10"/>
                <w:szCs w:val="10"/>
                <w:color w:val="008000"/>
                <w:w w:val="97"/>
              </w:rPr>
              <w:t>(3)</w:t>
            </w: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4,506,446</w:t>
            </w:r>
          </w:p>
        </w:tc>
        <w:tc>
          <w:tcPr>
            <w:tcW w:w="60" w:type="dxa"/>
            <w:vAlign w:val="bottom"/>
          </w:tcPr>
          <w:p>
            <w:pPr>
              <w:spacing w:after="0"/>
              <w:rPr>
                <w:sz w:val="15"/>
                <w:szCs w:val="15"/>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0"/>
                <w:szCs w:val="10"/>
                <w:color w:val="008000"/>
                <w:w w:val="97"/>
              </w:rPr>
              <w:t>(3)</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06/24/2021</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ind w:right="383"/>
              <w:spacing w:after="0" w:line="138" w:lineRule="exact"/>
              <w:rPr>
                <w:sz w:val="20"/>
                <w:szCs w:val="20"/>
                <w:color w:val="auto"/>
              </w:rPr>
            </w:pPr>
            <w:r>
              <w:rPr>
                <w:rFonts w:ascii="Arial" w:cs="Arial" w:eastAsia="Arial" w:hAnsi="Arial"/>
                <w:sz w:val="13"/>
                <w:szCs w:val="13"/>
                <w:color w:val="0000FF"/>
              </w:rPr>
              <w:t>M</w:t>
            </w:r>
          </w:p>
        </w:tc>
        <w:tc>
          <w:tcPr>
            <w:tcW w:w="940" w:type="dxa"/>
            <w:vAlign w:val="bottom"/>
          </w:tcPr>
          <w:p>
            <w:pPr>
              <w:jc w:val="center"/>
              <w:ind w:left="222"/>
              <w:spacing w:after="0" w:line="138" w:lineRule="exact"/>
              <w:rPr>
                <w:sz w:val="20"/>
                <w:szCs w:val="20"/>
                <w:color w:val="auto"/>
              </w:rPr>
            </w:pPr>
            <w:r>
              <w:rPr>
                <w:rFonts w:ascii="Arial" w:cs="Arial" w:eastAsia="Arial" w:hAnsi="Arial"/>
                <w:sz w:val="13"/>
                <w:szCs w:val="13"/>
                <w:color w:val="0000FF"/>
                <w:w w:val="86"/>
              </w:rPr>
              <w:t>4,506,446</w:t>
            </w:r>
          </w:p>
        </w:tc>
        <w:tc>
          <w:tcPr>
            <w:tcW w:w="8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jc w:val="center"/>
              <w:ind w:left="202"/>
              <w:spacing w:after="0" w:line="138"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-2315210</wp:posOffset>
            </wp:positionV>
            <wp:extent cx="28575" cy="2320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202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20" w:hanging="2"/>
        <w:spacing w:after="0" w:line="231" w:lineRule="auto"/>
        <w:tabs>
          <w:tab w:leader="none" w:pos="16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June 24, 2021 (the "Closing Date"), Perella Weinberg Partners (f/k/a FinTech Acquisition Corp. IV) (the "Issuer") completed the business combination (the "Business Combination") contemplated by that certain Business Combination Agreement, dated as of December 29, 2020, by and among the Issuer, FinTech Investor Holdings IV, LLC ("Holdings"), FinTech Masala Advisors, LLC ("Masala"), PWP Holdings LP ("PWP OpCo"), PWP GP LLC, PWP Professional Partners LP, and Perella Weinberg Partners LLC.</w:t>
      </w:r>
    </w:p>
    <w:p>
      <w:pPr>
        <w:spacing w:after="0" w:line="31" w:lineRule="exact"/>
        <w:rPr>
          <w:rFonts w:ascii="Arial" w:cs="Arial" w:eastAsia="Arial" w:hAnsi="Arial"/>
          <w:sz w:val="13"/>
          <w:szCs w:val="13"/>
          <w:color w:val="008000"/>
        </w:rPr>
      </w:pPr>
    </w:p>
    <w:p>
      <w:pPr>
        <w:ind w:left="40" w:right="200" w:hanging="2"/>
        <w:spacing w:after="0" w:line="228" w:lineRule="auto"/>
        <w:tabs>
          <w:tab w:leader="none" w:pos="16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In connection with the Business Combination, on the Closing Date, upon consummation of the Business Combination, each of the Issuer's outstanding shares of Class B Common Stock automatically converted into one share of Class A Common Stock. However, pursuant to that certain Sponsor Share Surrender And Share Restriction Agreement, dated as of December 29, 2020, by and among the Issuer, Holdings, Masala, and PWP OpCo, as amended, concurrent with the consummation of the Business Combination, these shares of Class B Common Stock were forfeited to the Issuer immediately prior to the Business Combination.</w:t>
      </w:r>
    </w:p>
    <w:p>
      <w:pPr>
        <w:spacing w:after="0" w:line="32" w:lineRule="exact"/>
        <w:rPr>
          <w:rFonts w:ascii="Arial" w:cs="Arial" w:eastAsia="Arial" w:hAnsi="Arial"/>
          <w:sz w:val="13"/>
          <w:szCs w:val="13"/>
          <w:color w:val="008000"/>
        </w:rPr>
      </w:pPr>
    </w:p>
    <w:p>
      <w:pPr>
        <w:ind w:left="160" w:hanging="122"/>
        <w:spacing w:after="0"/>
        <w:tabs>
          <w:tab w:leader="none" w:pos="16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In connection with the Business Combination, on the Closing Date, each of the Issuer's outstanding shares of Class B Common Stock automatically converted into one share of Class A Common Stock.</w:t>
      </w:r>
    </w:p>
    <w:p>
      <w:pPr>
        <w:spacing w:after="0" w:line="61" w:lineRule="exact"/>
        <w:rPr>
          <w:rFonts w:ascii="Arial" w:cs="Arial" w:eastAsia="Arial" w:hAnsi="Arial"/>
          <w:sz w:val="11"/>
          <w:szCs w:val="11"/>
          <w:color w:val="008000"/>
        </w:rPr>
      </w:pPr>
    </w:p>
    <w:p>
      <w:pPr>
        <w:ind w:left="160" w:hanging="122"/>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transferred from the reporting person to Holdings pursuant to certain side letters by and among certain members of Holdings and the reporting person.</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7"/>
              </w:rPr>
              <w:t>/s/ Amanda Abrams, Attorney-</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06/28/2021</w:t>
            </w:r>
          </w:p>
        </w:tc>
        <w:tc>
          <w:tcPr>
            <w:tcW w:w="0" w:type="dxa"/>
            <w:vAlign w:val="bottom"/>
          </w:tcPr>
          <w:p>
            <w:pPr>
              <w:spacing w:after="0"/>
              <w:rPr>
                <w:sz w:val="1"/>
                <w:szCs w:val="1"/>
                <w:color w:val="auto"/>
              </w:rPr>
            </w:pPr>
          </w:p>
        </w:tc>
      </w:tr>
      <w:tr>
        <w:trPr>
          <w:trHeight w:val="80"/>
        </w:trPr>
        <w:tc>
          <w:tcPr>
            <w:tcW w:w="46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89"/>
              </w:rPr>
              <w:t>in-Fact</w:t>
            </w:r>
          </w:p>
        </w:tc>
        <w:tc>
          <w:tcPr>
            <w:tcW w:w="1540" w:type="dxa"/>
            <w:vAlign w:val="bottom"/>
            <w:tcBorders>
              <w:top w:val="single" w:sz="8" w:color="auto"/>
            </w:tcBorders>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60" w:type="dxa"/>
            <w:vAlign w:val="bottom"/>
            <w:tcBorders>
              <w:top w:val="single" w:sz="8" w:color="auto"/>
              <w:bottom w:val="single" w:sz="8" w:color="auto"/>
            </w:tcBorders>
            <w:vMerge w:val="continue"/>
          </w:tcPr>
          <w:p>
            <w:pPr>
              <w:spacing w:after="0"/>
              <w:rPr>
                <w:sz w:val="6"/>
                <w:szCs w:val="6"/>
                <w:color w:val="auto"/>
              </w:rPr>
            </w:pPr>
          </w:p>
        </w:tc>
        <w:tc>
          <w:tcPr>
            <w:tcW w:w="1540" w:type="dxa"/>
            <w:vAlign w:val="bottom"/>
            <w:tcBorders>
              <w:top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1862"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2021-06-28T20:56:02Z</dcterms:created>
  <dcterms:modified xsi:type="dcterms:W3CDTF">2021-06-28T20:56:02Z</dcterms:modified>
</cp:coreProperties>
</file>