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6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-225425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-607695</wp:posOffset>
            </wp:positionV>
            <wp:extent cx="57150" cy="6210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3933190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12065</wp:posOffset>
            </wp:positionV>
            <wp:extent cx="7048500" cy="4583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583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18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PWP Professional Partners LP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Perella Weinberg Partners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PWP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01/21/2022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30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1"/>
        <w:spacing w:after="0"/>
        <w:tabs>
          <w:tab w:leader="none" w:pos="511" w:val="left"/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10% Owner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10153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7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jc w:val="right"/>
        <w:ind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B-1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1,253.931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8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1,253,931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44,354,909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PWP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Holdings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2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1,253,931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LP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8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1,253,931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44,354,909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Units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20" w:hanging="2"/>
        <w:spacing w:after="0" w:line="228" w:lineRule="auto"/>
        <w:tabs>
          <w:tab w:leader="none" w:pos="16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Concurrently with an exchange of PWP Holdings LP Common Units (which represent Class A partnership units of PWP Holdings LP) ("PWP OpCo Units") for shares of Class A common stock ("Class A Shares") or cash by a PWP Holdings LP unitholder ("Unitholder") who also holds shares of Class B-1 common stock ("Class B-1 Shares"), such Unitholder will be required to surrender to the Issuer a number of Class B-1 Shares equal to the number of PWP OpCo Units exchanged, and such Class B-1 Shares will be converted into Class A Shares or, at the option of the Issuer, for an equivalent amount of cash, which will be delivered to such Unitholder at a conversion rate of 0.001 Class A Share for one Class B-1 Share.</w:t>
      </w:r>
    </w:p>
    <w:p>
      <w:pPr>
        <w:spacing w:after="0" w:line="3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a distribution of PWP OpCo Units and an equivalent number of Class B-1 Shares by the Reporting Person to one or more of its limited partners.</w:t>
      </w:r>
    </w:p>
    <w:p>
      <w:pPr>
        <w:spacing w:after="0" w:line="3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hanging="2"/>
        <w:spacing w:after="0" w:line="236" w:lineRule="auto"/>
        <w:tabs>
          <w:tab w:leader="none" w:pos="16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Subject to certain lock-up periods, PWP OpCo Units, upon the surrender of an equal number of Class B-1 Shares, may be exchanged for Class A Shares on a one-for-one basis or, at the option of the Issuer, for an equivalent amount of cash. PWP OpCo Units do not expire.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40" w:right="160"/>
        <w:spacing w:after="0" w:line="31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Solely for purposes of Section 16 of the Securities Exchange Act of 1934, as amended, the Reporting Person may be deemed a director by deputization with respect to the Issuer by virtue of the Reporting Person's right to designate a majority of the Issuer's board of directors, subject to certain conditions, pursuant to the Stockholder's Agreement, dated June 24, 2021, by and between the Issuer and the Reporting Person.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/s/ Mark Polemeni, as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01/25/2022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4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Authorized Person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4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2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67861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2022-01-25T07:43:53Z</dcterms:created>
  <dcterms:modified xsi:type="dcterms:W3CDTF">2022-01-25T07:43:53Z</dcterms:modified>
</cp:coreProperties>
</file>