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175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175885"/>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Weinberg Peter 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08/31/2024</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278"/>
        <w:spacing w:after="0"/>
        <w:rPr>
          <w:sz w:val="20"/>
          <w:szCs w:val="20"/>
          <w:color w:val="auto"/>
        </w:rPr>
      </w:pPr>
      <w:r>
        <w:rPr>
          <w:rFonts w:ascii="Times New Roman" w:cs="Times New Roman" w:eastAsia="Times New Roman" w:hAnsi="Times New Roman"/>
          <w:sz w:val="16"/>
          <w:szCs w:val="16"/>
          <w:color w:val="0000FF"/>
        </w:rPr>
        <w:t>Chairman</w:t>
      </w:r>
    </w:p>
    <w:p>
      <w:pPr>
        <w:spacing w:after="0" w:line="275"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shd w:val="clear" w:color="auto" w:fill="9A9A9A"/>
          </w:tcPr>
          <w:p>
            <w:pPr>
              <w:spacing w:after="0"/>
              <w:rPr>
                <w:sz w:val="3"/>
                <w:szCs w:val="3"/>
                <w:color w:val="auto"/>
              </w:rPr>
            </w:pPr>
          </w:p>
        </w:tc>
        <w:tc>
          <w:tcPr>
            <w:tcW w:w="5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260" w:type="dxa"/>
            <w:vAlign w:val="bottom"/>
            <w:tcBorders>
              <w:right w:val="single" w:sz="8" w:color="9A9A9A"/>
            </w:tcBorders>
            <w:shd w:val="clear" w:color="auto" w:fill="9A9A9A"/>
          </w:tcPr>
          <w:p>
            <w:pPr>
              <w:spacing w:after="0"/>
              <w:rPr>
                <w:sz w:val="3"/>
                <w:szCs w:val="3"/>
                <w:color w:val="auto"/>
              </w:rPr>
            </w:pPr>
          </w:p>
        </w:tc>
        <w:tc>
          <w:tcPr>
            <w:tcW w:w="37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700" w:type="dxa"/>
            <w:vAlign w:val="bottom"/>
            <w:gridSpan w:val="6"/>
            <w:vMerge w:val="continue"/>
          </w:tcPr>
          <w:p>
            <w:pPr>
              <w:spacing w:after="0"/>
              <w:rPr>
                <w:sz w:val="9"/>
                <w:szCs w:val="9"/>
                <w:color w:val="auto"/>
              </w:rPr>
            </w:pPr>
          </w:p>
        </w:tc>
        <w:tc>
          <w:tcPr>
            <w:tcW w:w="36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880" w:type="dxa"/>
            <w:vAlign w:val="bottom"/>
          </w:tcPr>
          <w:p>
            <w:pPr>
              <w:spacing w:after="0"/>
              <w:rPr>
                <w:sz w:val="18"/>
                <w:szCs w:val="18"/>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10153</w:t>
            </w: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Borders>
              <w:top w:val="single" w:sz="8" w:color="EEEEEE"/>
            </w:tcBorders>
          </w:tcPr>
          <w:p>
            <w:pPr>
              <w:spacing w:after="0"/>
              <w:rPr>
                <w:sz w:val="15"/>
                <w:szCs w:val="15"/>
                <w:color w:val="auto"/>
              </w:rPr>
            </w:pPr>
          </w:p>
        </w:tc>
        <w:tc>
          <w:tcPr>
            <w:tcW w:w="11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1"/>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00" w:type="dxa"/>
            <w:vAlign w:val="bottom"/>
            <w:gridSpan w:val="2"/>
          </w:tcPr>
          <w:p>
            <w:pPr>
              <w:ind w:left="8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0000FF"/>
              </w:rPr>
              <w:t>08/31/2024</w:t>
            </w:r>
          </w:p>
        </w:tc>
        <w:tc>
          <w:tcPr>
            <w:tcW w:w="100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431,145</w:t>
            </w:r>
          </w:p>
        </w:tc>
        <w:tc>
          <w:tcPr>
            <w:tcW w:w="80" w:type="dxa"/>
            <w:vAlign w:val="bottom"/>
          </w:tcPr>
          <w:p>
            <w:pPr>
              <w:spacing w:after="0"/>
              <w:rPr>
                <w:sz w:val="22"/>
                <w:szCs w:val="22"/>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5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2,418,214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6"/>
                <w:szCs w:val="16"/>
                <w:color w:val="0000FF"/>
              </w:rPr>
              <w:t>09/03/2024</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500,875</w:t>
            </w:r>
            <w:r>
              <w:rPr>
                <w:rFonts w:ascii="Times New Roman" w:cs="Times New Roman" w:eastAsia="Times New Roman" w:hAnsi="Times New Roman"/>
                <w:sz w:val="20"/>
                <w:szCs w:val="20"/>
                <w:color w:val="008000"/>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19.55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1,917,339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842,621</w:t>
            </w:r>
          </w:p>
        </w:tc>
        <w:tc>
          <w:tcPr>
            <w:tcW w:w="28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Hook</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64"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80" w:type="dxa"/>
            <w:vAlign w:val="bottom"/>
            <w:gridSpan w:val="10"/>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8"/>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tcPr>
          <w:p>
            <w:pPr>
              <w:ind w:left="22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tcPr>
          <w:p>
            <w:pPr>
              <w:ind w:left="220"/>
              <w:spacing w:after="0"/>
              <w:rPr>
                <w:sz w:val="20"/>
                <w:szCs w:val="20"/>
                <w:color w:val="auto"/>
              </w:rPr>
            </w:pPr>
            <w:r>
              <w:rPr>
                <w:rFonts w:ascii="Arial" w:cs="Arial" w:eastAsia="Arial" w:hAnsi="Arial"/>
                <w:sz w:val="11"/>
                <w:szCs w:val="11"/>
                <w:b w:val="1"/>
                <w:bCs w:val="1"/>
                <w:color w:val="auto"/>
              </w:rPr>
              <w:t>Execution Date,</w:t>
            </w:r>
          </w:p>
        </w:tc>
        <w:tc>
          <w:tcPr>
            <w:tcW w:w="16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w w:val="98"/>
              </w:rPr>
              <w:t>Code (Instr.</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w w:val="99"/>
              </w:rPr>
              <w:t>Price of</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ind w:left="2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(4)(5)</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(4)(5)</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431,145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Based Stock</w:t>
            </w: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0000FF"/>
              </w:rPr>
              <w:t>08/31/2024</w:t>
            </w:r>
          </w:p>
        </w:tc>
        <w:tc>
          <w:tcPr>
            <w:tcW w:w="1260" w:type="dxa"/>
            <w:vAlign w:val="bottom"/>
          </w:tcPr>
          <w:p>
            <w:pPr>
              <w:spacing w:after="0"/>
              <w:rPr>
                <w:sz w:val="12"/>
                <w:szCs w:val="12"/>
                <w:color w:val="auto"/>
              </w:rPr>
            </w:pPr>
          </w:p>
        </w:tc>
        <w:tc>
          <w:tcPr>
            <w:tcW w:w="6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tcPr>
          <w:p>
            <w:pPr>
              <w:ind w:left="460"/>
              <w:spacing w:after="0" w:line="139" w:lineRule="exact"/>
              <w:rPr>
                <w:sz w:val="20"/>
                <w:szCs w:val="20"/>
                <w:color w:val="auto"/>
              </w:rPr>
            </w:pPr>
            <w:r>
              <w:rPr>
                <w:rFonts w:ascii="Times New Roman" w:cs="Times New Roman" w:eastAsia="Times New Roman" w:hAnsi="Times New Roman"/>
                <w:sz w:val="13"/>
                <w:szCs w:val="13"/>
                <w:color w:val="0000FF"/>
              </w:rPr>
              <w:t>431,145</w:t>
            </w: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3"/>
                <w:szCs w:val="13"/>
                <w:color w:val="0000FF"/>
              </w:rPr>
              <w:t>1,218,855</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-1720850</wp:posOffset>
            </wp:positionV>
            <wp:extent cx="28575" cy="1726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265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shares of Class A common stock to the Issuer to satisfy tax withholding obligations in connection with the vesting of restricted stock units.</w:t>
      </w:r>
    </w:p>
    <w:p>
      <w:pPr>
        <w:spacing w:after="0" w:line="39" w:lineRule="exact"/>
        <w:rPr>
          <w:rFonts w:ascii="Times New Roman" w:cs="Times New Roman" w:eastAsia="Times New Roman" w:hAnsi="Times New Roman"/>
          <w:sz w:val="13"/>
          <w:szCs w:val="13"/>
          <w:color w:val="008000"/>
        </w:rPr>
      </w:pPr>
    </w:p>
    <w:p>
      <w:pPr>
        <w:ind w:left="40" w:right="16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("PSU") represents a contingent right to receive one share of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PSUs vested on August 31, 2024, upon the achievement of certain service-based and performance-based vesting conditions.</w:t>
      </w:r>
    </w:p>
    <w:p>
      <w:pPr>
        <w:spacing w:after="0" w:line="39" w:lineRule="exact"/>
        <w:rPr>
          <w:rFonts w:ascii="Times New Roman" w:cs="Times New Roman" w:eastAsia="Times New Roman" w:hAnsi="Times New Roman"/>
          <w:sz w:val="13"/>
          <w:szCs w:val="13"/>
          <w:color w:val="008000"/>
        </w:rPr>
      </w:pPr>
    </w:p>
    <w:p>
      <w:pPr>
        <w:ind w:left="40" w:right="14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granted on August 31, 2021 vest based on the achievement of (i) service-based vesting conditions that are satisfied in two equal installments on the third and fifth anniversaries of the grant date, subject to a 50% holdback after the first vesting date, and (ii) performance-based vesting conditions that are satisfied upon the achievement, as measured on the last calendar day of each month, of closing stock prices equal to $15, $20, $25 and $30 (subject to linear interpolation) for 20 out of any 30 consecutive trading days, in each case prior to the fifth anniversary of the grant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Times New Roman" w:cs="Times New Roman" w:eastAsia="Times New Roman" w:hAnsi="Times New Roman"/>
          <w:sz w:val="16"/>
          <w:szCs w:val="16"/>
          <w:color w:val="0000FF"/>
        </w:rPr>
        <w:t xml:space="preserve">/s/ Mark Polemeni, as Attorney- </w:t>
      </w:r>
      <w:r>
        <w:rPr>
          <w:rFonts w:ascii="Times New Roman" w:cs="Times New Roman" w:eastAsia="Times New Roman" w:hAnsi="Times New Roman"/>
          <w:sz w:val="32"/>
          <w:szCs w:val="32"/>
          <w:color w:val="0000FF"/>
          <w:vertAlign w:val="subscript"/>
        </w:rPr>
        <w:t>09/04/2024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94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40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2024-09-04T20:55:57Z</dcterms:created>
  <dcterms:modified xsi:type="dcterms:W3CDTF">2024-09-04T20:55:57Z</dcterms:modified>
</cp:coreProperties>
</file>