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00"/>
          </w:cols>
          <w:pgMar w:left="460" w:top="219" w:right="47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COHEN DANIEL G</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35"/>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Perella Weinberg Partners</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PWP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8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02/21/2023</w:t>
      </w:r>
    </w:p>
    <w:p>
      <w:pPr>
        <w:spacing w:after="0" w:line="20" w:lineRule="exact"/>
        <w:rPr>
          <w:sz w:val="24"/>
          <w:szCs w:val="24"/>
          <w:color w:val="auto"/>
        </w:rPr>
      </w:pPr>
      <w:r>
        <w:rPr>
          <w:sz w:val="24"/>
          <w:szCs w:val="24"/>
          <w:color w:val="auto"/>
        </w:rPr>
        <w:br w:type="column"/>
      </w:r>
    </w:p>
    <w:p>
      <w:pPr>
        <w:ind w:left="5" w:right="42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94" w:lineRule="exact"/>
        <w:rPr>
          <w:sz w:val="24"/>
          <w:szCs w:val="24"/>
          <w:color w:val="auto"/>
        </w:rPr>
      </w:pPr>
    </w:p>
    <w:p>
      <w:pPr>
        <w:jc w:val="right"/>
        <w:ind w:right="30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11" w:lineRule="exact"/>
        <w:rPr>
          <w:sz w:val="24"/>
          <w:szCs w:val="24"/>
          <w:color w:val="auto"/>
        </w:rPr>
      </w:pPr>
    </w:p>
    <w:p>
      <w:pPr>
        <w:sectPr>
          <w:pgSz w:w="11900" w:h="16838" w:orient="portrait"/>
          <w:cols w:equalWidth="0" w:num="3">
            <w:col w:w="3200" w:space="720"/>
            <w:col w:w="3095" w:space="720"/>
            <w:col w:w="3225"/>
          </w:cols>
          <w:pgMar w:left="460" w:top="219" w:right="479" w:bottom="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10153</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040"/>
          </w:cols>
          <w:pgMar w:left="460" w:top="219" w:right="479" w:bottom="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jc w:val="center"/>
              <w:ind w:left="522"/>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22"/>
              <w:spacing w:after="0"/>
              <w:rPr>
                <w:sz w:val="20"/>
                <w:szCs w:val="20"/>
                <w:color w:val="auto"/>
              </w:rPr>
            </w:pPr>
            <w:r>
              <w:rPr>
                <w:rFonts w:ascii="Times New Roman" w:cs="Times New Roman" w:eastAsia="Times New Roman" w:hAnsi="Times New Roman"/>
                <w:sz w:val="17"/>
                <w:szCs w:val="17"/>
                <w:color w:val="0000FF"/>
              </w:rPr>
              <w:t>02/21/2023</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5,484</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10.73</w:t>
            </w:r>
            <w:r>
              <w:rPr>
                <w:rFonts w:ascii="Times New Roman" w:cs="Times New Roman" w:eastAsia="Times New Roman" w:hAnsi="Times New Roman"/>
                <w:sz w:val="22"/>
                <w:szCs w:val="22"/>
                <w:color w:val="008000"/>
                <w:w w:val="95"/>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595,871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22"/>
              <w:spacing w:after="0"/>
              <w:rPr>
                <w:sz w:val="20"/>
                <w:szCs w:val="20"/>
                <w:color w:val="auto"/>
              </w:rPr>
            </w:pPr>
            <w:r>
              <w:rPr>
                <w:rFonts w:ascii="Times New Roman" w:cs="Times New Roman" w:eastAsia="Times New Roman" w:hAnsi="Times New Roman"/>
                <w:sz w:val="17"/>
                <w:szCs w:val="17"/>
                <w:color w:val="0000FF"/>
              </w:rPr>
              <w:t>02/21/2023</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5,484</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10.73</w:t>
            </w:r>
            <w:r>
              <w:rPr>
                <w:rFonts w:ascii="Times New Roman" w:cs="Times New Roman" w:eastAsia="Times New Roman" w:hAnsi="Times New Roman"/>
                <w:sz w:val="22"/>
                <w:szCs w:val="22"/>
                <w:color w:val="008000"/>
                <w:w w:val="95"/>
                <w:vertAlign w:val="superscript"/>
              </w:rPr>
              <w:t>(1)</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595,871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22"/>
              <w:spacing w:after="0"/>
              <w:rPr>
                <w:sz w:val="20"/>
                <w:szCs w:val="20"/>
                <w:color w:val="auto"/>
              </w:rPr>
            </w:pPr>
            <w:r>
              <w:rPr>
                <w:rFonts w:ascii="Times New Roman" w:cs="Times New Roman" w:eastAsia="Times New Roman" w:hAnsi="Times New Roman"/>
                <w:sz w:val="17"/>
                <w:szCs w:val="17"/>
                <w:color w:val="0000FF"/>
              </w:rPr>
              <w:t>02/22/2023</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8,143</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10.6</w:t>
            </w:r>
            <w:r>
              <w:rPr>
                <w:rFonts w:ascii="Times New Roman" w:cs="Times New Roman" w:eastAsia="Times New Roman" w:hAnsi="Times New Roman"/>
                <w:sz w:val="22"/>
                <w:szCs w:val="22"/>
                <w:color w:val="008000"/>
                <w:w w:val="92"/>
                <w:vertAlign w:val="superscript"/>
              </w:rPr>
              <w:t>(4)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587,728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22"/>
              <w:spacing w:after="0"/>
              <w:rPr>
                <w:sz w:val="20"/>
                <w:szCs w:val="20"/>
                <w:color w:val="auto"/>
              </w:rPr>
            </w:pPr>
            <w:r>
              <w:rPr>
                <w:rFonts w:ascii="Times New Roman" w:cs="Times New Roman" w:eastAsia="Times New Roman" w:hAnsi="Times New Roman"/>
                <w:sz w:val="17"/>
                <w:szCs w:val="17"/>
                <w:color w:val="0000FF"/>
              </w:rPr>
              <w:t>02/22/2023</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8,143</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10.6</w:t>
            </w:r>
            <w:r>
              <w:rPr>
                <w:rFonts w:ascii="Times New Roman" w:cs="Times New Roman" w:eastAsia="Times New Roman" w:hAnsi="Times New Roman"/>
                <w:sz w:val="22"/>
                <w:szCs w:val="22"/>
                <w:color w:val="008000"/>
                <w:w w:val="92"/>
                <w:vertAlign w:val="superscript"/>
              </w:rPr>
              <w:t>(4)</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587,728</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22"/>
              <w:spacing w:after="0"/>
              <w:rPr>
                <w:sz w:val="20"/>
                <w:szCs w:val="20"/>
                <w:color w:val="auto"/>
              </w:rPr>
            </w:pPr>
            <w:r>
              <w:rPr>
                <w:rFonts w:ascii="Times New Roman" w:cs="Times New Roman" w:eastAsia="Times New Roman" w:hAnsi="Times New Roman"/>
                <w:sz w:val="17"/>
                <w:szCs w:val="17"/>
                <w:color w:val="0000FF"/>
              </w:rPr>
              <w:t>02/23/2023</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447</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10.54</w:t>
            </w:r>
            <w:r>
              <w:rPr>
                <w:rFonts w:ascii="Times New Roman" w:cs="Times New Roman" w:eastAsia="Times New Roman" w:hAnsi="Times New Roman"/>
                <w:sz w:val="22"/>
                <w:szCs w:val="22"/>
                <w:color w:val="008000"/>
                <w:w w:val="95"/>
                <w:vertAlign w:val="superscript"/>
              </w:rPr>
              <w:t>(5)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587,281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jc w:val="center"/>
              <w:ind w:left="522"/>
              <w:spacing w:after="0"/>
              <w:rPr>
                <w:sz w:val="20"/>
                <w:szCs w:val="20"/>
                <w:color w:val="auto"/>
              </w:rPr>
            </w:pPr>
            <w:r>
              <w:rPr>
                <w:rFonts w:ascii="Times New Roman" w:cs="Times New Roman" w:eastAsia="Times New Roman" w:hAnsi="Times New Roman"/>
                <w:sz w:val="17"/>
                <w:szCs w:val="17"/>
                <w:color w:val="0000FF"/>
              </w:rPr>
              <w:t>02/23/2023</w:t>
            </w:r>
          </w:p>
        </w:tc>
        <w:tc>
          <w:tcPr>
            <w:tcW w:w="114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447</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10.54</w:t>
            </w:r>
            <w:r>
              <w:rPr>
                <w:rFonts w:ascii="Times New Roman" w:cs="Times New Roman" w:eastAsia="Times New Roman" w:hAnsi="Times New Roman"/>
                <w:sz w:val="22"/>
                <w:szCs w:val="22"/>
                <w:color w:val="008000"/>
                <w:w w:val="95"/>
                <w:vertAlign w:val="superscript"/>
              </w:rPr>
              <w:t>(5)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587,281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line="281" w:lineRule="exact"/>
              <w:rPr>
                <w:sz w:val="20"/>
                <w:szCs w:val="20"/>
                <w:color w:val="auto"/>
              </w:rPr>
            </w:pPr>
            <w:r>
              <w:rPr>
                <w:rFonts w:ascii="Times New Roman" w:cs="Times New Roman" w:eastAsia="Times New Roman" w:hAnsi="Times New Roman"/>
                <w:sz w:val="32"/>
                <w:szCs w:val="32"/>
                <w:color w:val="0000FF"/>
                <w:vertAlign w:val="subscript"/>
              </w:rPr>
              <w:t>LLC</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65"/>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80,852</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420" w:type="dxa"/>
            <w:vAlign w:val="bottom"/>
            <w:tcBorders>
              <w:bottom w:val="single" w:sz="8" w:color="2C2C2C"/>
            </w:tcBorders>
          </w:tcPr>
          <w:p>
            <w:pPr>
              <w:spacing w:after="0"/>
              <w:rPr>
                <w:sz w:val="5"/>
                <w:szCs w:val="5"/>
                <w:color w:val="auto"/>
              </w:rPr>
            </w:pPr>
          </w:p>
        </w:tc>
        <w:tc>
          <w:tcPr>
            <w:tcW w:w="17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11,951</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Advisors</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IV,</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3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11,951</w:t>
            </w:r>
          </w:p>
        </w:tc>
        <w:tc>
          <w:tcPr>
            <w:tcW w:w="9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bl>
    <w:p>
      <w:pPr>
        <w:ind w:left="10220"/>
        <w:spacing w:after="0"/>
        <w:rPr>
          <w:sz w:val="20"/>
          <w:szCs w:val="20"/>
          <w:color w:val="auto"/>
        </w:rPr>
      </w:pPr>
      <w:r>
        <w:rPr>
          <w:rFonts w:ascii="Times New Roman" w:cs="Times New Roman" w:eastAsia="Times New Roman" w:hAnsi="Times New Roman"/>
          <w:sz w:val="17"/>
          <w:szCs w:val="17"/>
          <w:color w:val="0000FF"/>
        </w:rPr>
        <w:t>Advisors</w:t>
      </w:r>
    </w:p>
    <w:p>
      <w:pPr>
        <w:spacing w:after="0" w:line="11"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IV,</w:t>
      </w:r>
    </w:p>
    <w:p>
      <w:pPr>
        <w:spacing w:after="0" w:line="18" w:lineRule="exact"/>
        <w:rPr>
          <w:sz w:val="24"/>
          <w:szCs w:val="24"/>
          <w:color w:val="auto"/>
        </w:rPr>
      </w:pPr>
    </w:p>
    <w:p>
      <w:pPr>
        <w:ind w:left="102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(7)</w:t>
      </w:r>
    </w:p>
    <w:p>
      <w:pPr>
        <w:sectPr>
          <w:pgSz w:w="11900" w:h="16838" w:orient="portrait"/>
          <w:cols w:equalWidth="0" w:num="1">
            <w:col w:w="10960"/>
          </w:cols>
          <w:pgMar w:left="460" w:top="219" w:right="479" w:bottom="0"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7044055" cy="47174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044055" cy="4717415"/>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DGC</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57,923</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213"/>
        </w:trPr>
        <w:tc>
          <w:tcPr>
            <w:tcW w:w="2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133,603</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Masala</w:t>
            </w:r>
          </w:p>
        </w:tc>
        <w:tc>
          <w:tcPr>
            <w:tcW w:w="0" w:type="dxa"/>
            <w:vAlign w:val="bottom"/>
          </w:tcPr>
          <w:p>
            <w:pPr>
              <w:spacing w:after="0"/>
              <w:rPr>
                <w:sz w:val="1"/>
                <w:szCs w:val="1"/>
                <w:color w:val="auto"/>
              </w:rPr>
            </w:pPr>
          </w:p>
        </w:tc>
      </w:tr>
      <w:tr>
        <w:trPr>
          <w:trHeight w:val="213"/>
        </w:trPr>
        <w:tc>
          <w:tcPr>
            <w:tcW w:w="24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DGC</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133,602</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FinTech</w:t>
            </w: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200"/>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(10)</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$10.60 to $10.875,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20" w:right="80" w:firstLine="7"/>
        <w:spacing w:after="0" w:line="244"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FinTech Masala, LLC ("Masala LLC"), FinTech Investor Holdings IV, LLC ("Holdings"), and FinTech Masala Advisors IV, LLC ("Masala"). FinTech Masala Holdings, LLC ("Manager HoldCo") is the sole member of Masala LLC. Each of Holdings and Masala is managed by Cohen Sponsor Interests IV, LLC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Masala LLC, except to the extent of his pecuniary interest therein, and this report shall not be deemed an admission that the reporting person is the beneficial owner of such securities for any other purpose.</w:t>
      </w:r>
    </w:p>
    <w:p>
      <w:pPr>
        <w:spacing w:after="0" w:line="26" w:lineRule="exact"/>
        <w:rPr>
          <w:rFonts w:ascii="Times New Roman" w:cs="Times New Roman" w:eastAsia="Times New Roman" w:hAnsi="Times New Roman"/>
          <w:sz w:val="13"/>
          <w:szCs w:val="13"/>
          <w:color w:val="008000"/>
        </w:rPr>
      </w:pPr>
    </w:p>
    <w:p>
      <w:pPr>
        <w:jc w:val="both"/>
        <w:ind w:left="20" w:right="22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LLC, Holdings, and Masala. Manager HoldCo is the sole member of Masala LLC. Each of Holdings and Masala is managed by Manager, which, in turn, is indirectly owned by Manager HoldCo. DGC Family FinTech Trust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4" w:lineRule="exact"/>
        <w:rPr>
          <w:rFonts w:ascii="Times New Roman" w:cs="Times New Roman" w:eastAsia="Times New Roman" w:hAnsi="Times New Roman"/>
          <w:sz w:val="13"/>
          <w:szCs w:val="13"/>
          <w:color w:val="008000"/>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$10.60 to $10.65,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jc w:val="both"/>
        <w:ind w:left="20" w:right="14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ranging from $10.50 to $10.59, inclusive. The reporting person undertakes to provide to the Issuer, any security holder of the Issuer, or the staff of the Securities and Exchange Commission, upon request, full information regarding the number of shares sold at each separate price within the range set forth above.</w:t>
      </w:r>
    </w:p>
    <w:p>
      <w:pPr>
        <w:spacing w:after="0" w:line="20" w:lineRule="exact"/>
        <w:rPr>
          <w:rFonts w:ascii="Times New Roman" w:cs="Times New Roman" w:eastAsia="Times New Roman" w:hAnsi="Times New Roman"/>
          <w:sz w:val="13"/>
          <w:szCs w:val="13"/>
          <w:color w:val="008000"/>
        </w:rPr>
      </w:pPr>
    </w:p>
    <w:p>
      <w:pPr>
        <w:ind w:left="20" w:right="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The reporting person is a member of Masala. The amount reported consists of the reporting person's pecuniary interest therein. The reporting person disclaims beneficial ownership of any other securities held directly by Masala, except to the extent of his pecuniary interest therein, and this report shall not be deemed an admission that the reporting person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20" w:right="28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Masala. The Trust is a member of Masala. The children of the reporting person are beneficiaries of the Trust. The amount reported consists of the Trust's pecuniary interest therein. Each of the reporting person and the Trust disclaims beneficial ownership of any other securities held directly by Masala, except to the extent of his or its respective pecuniary interest therein, and this report shall not be deemed an admission that the reporting person or the Trust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the Trust. The children of the reporting person are beneficiaries of the Trust.</w:t>
      </w:r>
    </w:p>
    <w:p>
      <w:pPr>
        <w:spacing w:after="0" w:line="5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Holdings and Masala, each of which is managed by Manager, which, in turn, is indirectly owned by Manager HoldCo. The reporting person owns one-third of Manager HoldCo. The amount reported consists of the reporting person's pecuniary interest therein. The reporting person disclaims beneficial ownership of any other securities held directly by Holdings and Masala, except to the extent of his pecuniary interest therein, and this report shall not be deemed an admission that the reporting person is the beneficial owner of such securities for any other purpose.</w:t>
      </w:r>
    </w:p>
    <w:p>
      <w:pPr>
        <w:spacing w:after="0" w:line="20" w:lineRule="exact"/>
        <w:rPr>
          <w:rFonts w:ascii="Times New Roman" w:cs="Times New Roman" w:eastAsia="Times New Roman" w:hAnsi="Times New Roman"/>
          <w:sz w:val="13"/>
          <w:szCs w:val="13"/>
          <w:color w:val="008000"/>
        </w:rPr>
      </w:pPr>
    </w:p>
    <w:p>
      <w:pPr>
        <w:ind w:left="20" w:right="180" w:firstLine="7"/>
        <w:spacing w:after="0" w:line="247" w:lineRule="auto"/>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held directly by Holdings and Masala, each of which is managed by Manager, which, in turn, is indirectly owned by Manager HoldCo. The Trust owns one-third of Manager HoldCo. The amount reported consists of the Trust's pecuniary interest therein. Each of the reporting person and the Trust disclaims beneficial ownership of any other securities held directly by Holdings and Masala, except to the extent of his or its respective pecuniary interest therein, and this report shall not be deemed an admission that the reporting person or the Trust is the beneficial owner of such securities for any other purpose.</w:t>
      </w:r>
    </w:p>
    <w:p>
      <w:pPr>
        <w:spacing w:after="0" w:line="2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0"/>
          <w:szCs w:val="20"/>
          <w:color w:val="auto"/>
        </w:rPr>
      </w:pPr>
    </w:p>
    <w:tbl>
      <w:tblPr>
        <w:tblLayout w:type="fixed"/>
        <w:tblInd w:w="656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Mark Polemeni, Attorney-</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02/23/2023</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2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80"/>
      </w:cols>
      <w:pgMar w:left="480" w:top="19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47745" TargetMode="External"/><Relationship Id="rId13"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2023-02-23T20:08:20Z</dcterms:created>
  <dcterms:modified xsi:type="dcterms:W3CDTF">2023-02-23T20:08:20Z</dcterms:modified>
</cp:coreProperties>
</file>